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35" w:rsidRDefault="004C3435" w:rsidP="000B5223"/>
    <w:p w:rsidR="00783998" w:rsidRDefault="008C5B5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Smlouva o poskytování poradenských služeb</w:t>
      </w:r>
    </w:p>
    <w:p w:rsidR="00783998" w:rsidRDefault="00783998">
      <w:pPr>
        <w:widowControl w:val="0"/>
        <w:tabs>
          <w:tab w:val="left" w:pos="1402"/>
        </w:tabs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4C3435" w:rsidRDefault="004C3435">
      <w:pPr>
        <w:widowControl w:val="0"/>
        <w:tabs>
          <w:tab w:val="left" w:pos="1402"/>
        </w:tabs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783998" w:rsidRDefault="00783998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</w:p>
    <w:p w:rsidR="00783998" w:rsidRDefault="00783998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Smluvní strany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BDO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Advisory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8C5B54" w:rsidRP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B54">
        <w:rPr>
          <w:rFonts w:ascii="Arial" w:hAnsi="Arial" w:cs="Arial"/>
          <w:bCs/>
          <w:color w:val="000000"/>
          <w:sz w:val="20"/>
          <w:szCs w:val="20"/>
        </w:rPr>
        <w:t>Se sídlem Karolinská 661/4, 186 Praha 8</w:t>
      </w:r>
    </w:p>
    <w:p w:rsid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B54">
        <w:rPr>
          <w:rFonts w:ascii="Arial" w:hAnsi="Arial" w:cs="Arial"/>
          <w:bCs/>
          <w:color w:val="000000"/>
          <w:sz w:val="20"/>
          <w:szCs w:val="20"/>
        </w:rPr>
        <w:t xml:space="preserve">IČ: </w:t>
      </w:r>
      <w:r>
        <w:rPr>
          <w:rFonts w:ascii="Arial" w:hAnsi="Arial" w:cs="Arial"/>
          <w:bCs/>
          <w:color w:val="000000"/>
          <w:sz w:val="20"/>
          <w:szCs w:val="20"/>
        </w:rPr>
        <w:t>272 44 784</w:t>
      </w:r>
    </w:p>
    <w:p w:rsid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Zapsaná do obchodního rejstříku vedeného Městským soudem v Praze, spisová značka C 107235, jednající panem Radovanem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Haukem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, jednatelem</w:t>
      </w:r>
    </w:p>
    <w:p w:rsid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Dále jen 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Poradce</w:t>
      </w:r>
      <w:r>
        <w:rPr>
          <w:rFonts w:ascii="Arial" w:hAnsi="Arial" w:cs="Arial"/>
          <w:bCs/>
          <w:color w:val="000000"/>
          <w:sz w:val="20"/>
          <w:szCs w:val="20"/>
        </w:rPr>
        <w:t>“</w:t>
      </w:r>
    </w:p>
    <w:p w:rsid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C5B54" w:rsidRPr="008C5B54" w:rsidRDefault="008C5B54" w:rsidP="008C5B54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 </w:t>
      </w:r>
    </w:p>
    <w:p w:rsidR="00783998" w:rsidRPr="008C5B54" w:rsidRDefault="008C5B54" w:rsidP="008C5B54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EA5820" w:rsidRPr="008C5B54" w:rsidRDefault="00C62D32" w:rsidP="008C5B54">
      <w:pPr>
        <w:widowControl w:val="0"/>
        <w:tabs>
          <w:tab w:val="left" w:pos="1701"/>
          <w:tab w:val="left" w:pos="3969"/>
          <w:tab w:val="left" w:pos="4395"/>
        </w:tabs>
        <w:autoSpaceDE w:val="0"/>
        <w:ind w:left="566" w:right="56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684F">
        <w:rPr>
          <w:rFonts w:ascii="Arial" w:hAnsi="Arial" w:cs="Arial"/>
          <w:b/>
          <w:i/>
          <w:color w:val="000000"/>
          <w:sz w:val="20"/>
          <w:szCs w:val="20"/>
        </w:rPr>
        <w:t>S</w:t>
      </w:r>
      <w:r w:rsidRPr="00A3684F">
        <w:rPr>
          <w:rFonts w:ascii="Arial" w:hAnsi="Arial" w:cs="Arial"/>
          <w:b/>
          <w:color w:val="000000"/>
          <w:sz w:val="20"/>
          <w:szCs w:val="20"/>
        </w:rPr>
        <w:t>tř</w:t>
      </w:r>
      <w:r w:rsidR="008C5B54">
        <w:rPr>
          <w:rFonts w:ascii="Arial" w:hAnsi="Arial" w:cs="Arial"/>
          <w:b/>
          <w:color w:val="000000"/>
          <w:sz w:val="20"/>
          <w:szCs w:val="20"/>
        </w:rPr>
        <w:t xml:space="preserve">ední odborné učiliště, </w:t>
      </w:r>
      <w:r w:rsidR="008C5B54" w:rsidRPr="008C5B54">
        <w:rPr>
          <w:rFonts w:ascii="Arial" w:hAnsi="Arial" w:cs="Arial"/>
          <w:b/>
          <w:color w:val="000000"/>
          <w:sz w:val="20"/>
          <w:szCs w:val="20"/>
        </w:rPr>
        <w:t>Prah</w:t>
      </w:r>
      <w:r w:rsidR="00EA5820" w:rsidRPr="008C5B54">
        <w:rPr>
          <w:rFonts w:ascii="Arial" w:hAnsi="Arial" w:cs="Arial"/>
          <w:b/>
          <w:color w:val="000000"/>
          <w:sz w:val="20"/>
          <w:szCs w:val="20"/>
        </w:rPr>
        <w:t>a 4, Ohradní 57</w:t>
      </w:r>
    </w:p>
    <w:p w:rsidR="008C5B54" w:rsidRDefault="00EA5820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8C5B54">
        <w:rPr>
          <w:rFonts w:ascii="Arial" w:hAnsi="Arial" w:cs="Arial"/>
          <w:color w:val="000000"/>
          <w:sz w:val="20"/>
          <w:szCs w:val="20"/>
        </w:rPr>
        <w:t xml:space="preserve">Se sídlem </w:t>
      </w:r>
      <w:r>
        <w:rPr>
          <w:rFonts w:ascii="Arial" w:hAnsi="Arial" w:cs="Arial"/>
          <w:color w:val="000000"/>
          <w:sz w:val="20"/>
          <w:szCs w:val="20"/>
        </w:rPr>
        <w:t>Ohradní 126/57</w:t>
      </w:r>
      <w:r w:rsidR="008C5B54">
        <w:rPr>
          <w:rFonts w:ascii="Arial" w:hAnsi="Arial" w:cs="Arial"/>
          <w:color w:val="000000"/>
          <w:sz w:val="20"/>
          <w:szCs w:val="20"/>
        </w:rPr>
        <w:t>, 140 00</w:t>
      </w:r>
      <w:r>
        <w:rPr>
          <w:rFonts w:ascii="Arial" w:hAnsi="Arial" w:cs="Arial"/>
          <w:color w:val="000000"/>
          <w:sz w:val="20"/>
          <w:szCs w:val="20"/>
        </w:rPr>
        <w:t xml:space="preserve"> Praha 4 </w:t>
      </w:r>
      <w:r w:rsidR="00AE689A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Michle</w:t>
      </w:r>
      <w:r w:rsidR="008C5B5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C5B54" w:rsidRDefault="008C5B54" w:rsidP="008C5B54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>IČO: 14891531</w:t>
      </w:r>
    </w:p>
    <w:p w:rsidR="008C5B54" w:rsidRDefault="008C5B54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>DIČ: CZ14891531</w:t>
      </w:r>
    </w:p>
    <w:p w:rsidR="007C40CF" w:rsidRDefault="008C5B54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Z</w:t>
      </w:r>
      <w:r w:rsidR="007C40CF">
        <w:rPr>
          <w:rFonts w:ascii="Arial" w:hAnsi="Arial" w:cs="Arial"/>
          <w:color w:val="000000"/>
          <w:sz w:val="20"/>
          <w:szCs w:val="20"/>
        </w:rPr>
        <w:t>astoupen</w:t>
      </w:r>
      <w:r>
        <w:rPr>
          <w:rFonts w:ascii="Arial" w:hAnsi="Arial" w:cs="Arial"/>
          <w:color w:val="000000"/>
          <w:sz w:val="20"/>
          <w:szCs w:val="20"/>
        </w:rPr>
        <w:t xml:space="preserve">a: </w:t>
      </w:r>
      <w:r w:rsidR="007C40CF">
        <w:rPr>
          <w:rFonts w:ascii="Arial" w:hAnsi="Arial" w:cs="Arial"/>
          <w:color w:val="000000"/>
          <w:sz w:val="20"/>
          <w:szCs w:val="20"/>
        </w:rPr>
        <w:t xml:space="preserve"> Karlem Dvořákem, ředitelem</w:t>
      </w:r>
    </w:p>
    <w:p w:rsidR="00AE689A" w:rsidRDefault="00AE689A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</w:p>
    <w:p w:rsidR="008C5B54" w:rsidRDefault="008C5B54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Dále jen „</w:t>
      </w:r>
      <w:r>
        <w:rPr>
          <w:rFonts w:ascii="Arial" w:hAnsi="Arial" w:cs="Arial"/>
          <w:b/>
          <w:color w:val="000000"/>
          <w:sz w:val="20"/>
          <w:szCs w:val="20"/>
        </w:rPr>
        <w:t>Klient</w:t>
      </w:r>
      <w:r>
        <w:rPr>
          <w:rFonts w:ascii="Arial" w:hAnsi="Arial" w:cs="Arial"/>
          <w:color w:val="000000"/>
          <w:sz w:val="20"/>
          <w:szCs w:val="20"/>
        </w:rPr>
        <w:t>“</w:t>
      </w:r>
    </w:p>
    <w:p w:rsidR="008C5B54" w:rsidRDefault="008C5B54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8C5B54" w:rsidRDefault="008C5B54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8C5B54" w:rsidRDefault="008C5B54" w:rsidP="008C5B54">
      <w:pPr>
        <w:widowControl w:val="0"/>
        <w:tabs>
          <w:tab w:val="left" w:pos="1701"/>
          <w:tab w:val="left" w:pos="3969"/>
          <w:tab w:val="left" w:pos="4395"/>
        </w:tabs>
        <w:autoSpaceDE w:val="0"/>
        <w:ind w:left="567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Poradce a Klient (dále společně jen „Smluvní strany“) uzavírají tuto Smlouvu o poradenské činnosti (dále jen „Smlouva“) ve smyslu ustanovení § 1 746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 . zákona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č. 89/2012 Sb., </w:t>
      </w:r>
    </w:p>
    <w:p w:rsidR="008C5B54" w:rsidRPr="008C5B54" w:rsidRDefault="008C5B54" w:rsidP="008C5B54">
      <w:pPr>
        <w:widowControl w:val="0"/>
        <w:tabs>
          <w:tab w:val="left" w:pos="1701"/>
          <w:tab w:val="left" w:pos="3969"/>
          <w:tab w:val="left" w:pos="4395"/>
        </w:tabs>
        <w:autoSpaceDE w:val="0"/>
        <w:ind w:left="567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Občanský zákoník, ve znění pozdějších předpisů (dále jen „Občanský zákoník“)</w:t>
      </w:r>
    </w:p>
    <w:p w:rsidR="00783998" w:rsidRDefault="00AE689A" w:rsidP="000B5223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4C3435" w:rsidRDefault="004C3435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8C5B54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I.</w:t>
      </w:r>
      <w:r w:rsidR="0078399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Předmět </w:t>
      </w:r>
      <w:r w:rsidR="008C5B54">
        <w:rPr>
          <w:rFonts w:ascii="Arial" w:hAnsi="Arial" w:cs="Arial"/>
          <w:b/>
          <w:bCs/>
          <w:color w:val="000000"/>
          <w:sz w:val="20"/>
          <w:szCs w:val="20"/>
        </w:rPr>
        <w:t>Smlouvy</w:t>
      </w:r>
    </w:p>
    <w:p w:rsidR="00783998" w:rsidRDefault="00783998" w:rsidP="00783998">
      <w:pPr>
        <w:widowControl w:val="0"/>
        <w:tabs>
          <w:tab w:val="left" w:pos="567"/>
          <w:tab w:val="left" w:pos="11178"/>
        </w:tabs>
        <w:autoSpaceDE w:val="0"/>
        <w:ind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8C5B54" w:rsidP="007C40CF">
      <w:pPr>
        <w:widowControl w:val="0"/>
        <w:numPr>
          <w:ilvl w:val="0"/>
          <w:numId w:val="5"/>
        </w:numPr>
        <w:tabs>
          <w:tab w:val="left" w:pos="567"/>
          <w:tab w:val="left" w:pos="3982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Poradce se zavazuje za podmínek stanovených touto Smlouvou zaji</w:t>
      </w:r>
      <w:r w:rsidR="000B5223">
        <w:rPr>
          <w:rFonts w:ascii="Arial" w:hAnsi="Arial" w:cs="Arial"/>
          <w:color w:val="000000"/>
          <w:sz w:val="20"/>
          <w:szCs w:val="20"/>
        </w:rPr>
        <w:t>stit pro Klienta činnosti v oblastech specifikovaných dále v čl. II. této Smlouvy v rozsahu smluveném s Klientem dle jeho konkrétních potřeb.</w:t>
      </w:r>
    </w:p>
    <w:p w:rsidR="00783998" w:rsidRDefault="00783998" w:rsidP="007C40CF">
      <w:pPr>
        <w:widowControl w:val="0"/>
        <w:tabs>
          <w:tab w:val="left" w:pos="567"/>
          <w:tab w:val="left" w:pos="3982"/>
        </w:tabs>
        <w:autoSpaceDE w:val="0"/>
        <w:ind w:right="566" w:firstLine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0B5223" w:rsidP="007C40CF">
      <w:pPr>
        <w:widowControl w:val="0"/>
        <w:numPr>
          <w:ilvl w:val="0"/>
          <w:numId w:val="5"/>
        </w:numPr>
        <w:tabs>
          <w:tab w:val="left" w:pos="567"/>
          <w:tab w:val="left" w:pos="3982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Klient se zavazuje zaplatit Poradci za jím provedené činnosti podle této Smlouvy, odměnu stanovenou dále v čl. IV této Smlouvy a poskytovat Poradci veškerou součinnost potřebnou pro výkon sjednané činnosti podle této smlouvy.</w:t>
      </w:r>
    </w:p>
    <w:p w:rsidR="00783998" w:rsidRPr="00783998" w:rsidRDefault="00783998" w:rsidP="007C40CF">
      <w:pPr>
        <w:widowControl w:val="0"/>
        <w:tabs>
          <w:tab w:val="left" w:pos="270"/>
          <w:tab w:val="left" w:pos="567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Pr="004C3435" w:rsidRDefault="000B5223" w:rsidP="007C40CF">
      <w:pPr>
        <w:widowControl w:val="0"/>
        <w:numPr>
          <w:ilvl w:val="0"/>
          <w:numId w:val="5"/>
        </w:numPr>
        <w:tabs>
          <w:tab w:val="left" w:pos="567"/>
          <w:tab w:val="left" w:pos="2538"/>
        </w:tabs>
        <w:autoSpaceDE w:val="0"/>
        <w:ind w:right="566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Poradce prohlašuje, že je odborně způsobilou osobou k výkonu sjednaných činností podle této smlouvy, má odborné znalosti práva a praxi v oblasti ochrany osobních údajů a je schopen zajistit plnění úkolů konkrétně jmenovaného Pověřence pro ochranu osobních údajů.</w:t>
      </w:r>
    </w:p>
    <w:p w:rsidR="004C3435" w:rsidRDefault="004C3435" w:rsidP="007C40CF">
      <w:pPr>
        <w:pStyle w:val="Odstavecseseznamem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4C3435" w:rsidRDefault="004C3435" w:rsidP="004C3435">
      <w:pPr>
        <w:pStyle w:val="Odstavecseseznamem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6972BA" w:rsidRDefault="006972BA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FB463E" w:rsidRDefault="00FB463E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FB463E" w:rsidRDefault="00FB463E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FB463E" w:rsidRPr="003B28D3" w:rsidRDefault="00FB463E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783998" w:rsidRDefault="000B5223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II.</w:t>
      </w:r>
    </w:p>
    <w:p w:rsidR="00783998" w:rsidRDefault="000B5223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Poskytované služby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585E" w:rsidRDefault="0004585E" w:rsidP="0004585E">
      <w:pPr>
        <w:pStyle w:val="Odstavecseseznamem"/>
        <w:widowControl w:val="0"/>
        <w:numPr>
          <w:ilvl w:val="0"/>
          <w:numId w:val="8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04585E">
        <w:rPr>
          <w:rFonts w:ascii="Arial" w:hAnsi="Arial" w:cs="Arial"/>
          <w:color w:val="000000"/>
          <w:sz w:val="20"/>
          <w:szCs w:val="20"/>
        </w:rPr>
        <w:t xml:space="preserve">Poradce se zavazuje poskytovat, dle této Smlouvy, Klientovi poradenskou činnost a služby související s implementací a dodržováním nařízením Evropského parlamentu a Rady EU (2016/679 ze dne 27. dubna 2016 o ochraně fyzických osob v souvislosti se </w:t>
      </w:r>
      <w:r w:rsidRPr="0004585E">
        <w:rPr>
          <w:rFonts w:ascii="Arial" w:hAnsi="Arial" w:cs="Arial"/>
          <w:color w:val="000000"/>
          <w:sz w:val="20"/>
          <w:szCs w:val="20"/>
        </w:rPr>
        <w:lastRenderedPageBreak/>
        <w:t>zpracováním osobních údajů a o volném pohybu těchto údajů a o zrušení směrnice 95/46/ES (dále jen „GDPR“), spočívající zejména v poskytnutí:</w:t>
      </w:r>
    </w:p>
    <w:p w:rsidR="0004585E" w:rsidRDefault="0004585E" w:rsidP="0004585E">
      <w:pPr>
        <w:widowControl w:val="0"/>
        <w:tabs>
          <w:tab w:val="left" w:pos="2534"/>
        </w:tabs>
        <w:autoSpaceDE w:val="0"/>
        <w:ind w:left="92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4585E" w:rsidRDefault="0004585E" w:rsidP="0004585E">
      <w:pPr>
        <w:pStyle w:val="Odstavecseseznamem"/>
        <w:widowControl w:val="0"/>
        <w:numPr>
          <w:ilvl w:val="0"/>
          <w:numId w:val="9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Konzultantské činnosti při řešení problematiky ochrany osobních údajů v návaznosti na výše zmiňované nařízení GDPR;</w:t>
      </w:r>
    </w:p>
    <w:p w:rsidR="0004585E" w:rsidRDefault="0004585E" w:rsidP="0004585E">
      <w:pPr>
        <w:pStyle w:val="Odstavecseseznamem"/>
        <w:widowControl w:val="0"/>
        <w:numPr>
          <w:ilvl w:val="0"/>
          <w:numId w:val="9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Nezbytné součinnosti při odstraňování nálezů popsaných ve zprávě Zpráva nezávislého autora o ověření shody s požadavky GDPR;</w:t>
      </w:r>
    </w:p>
    <w:p w:rsidR="0004585E" w:rsidRPr="0004585E" w:rsidRDefault="0004585E" w:rsidP="0004585E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4585E" w:rsidRPr="00E82EDD" w:rsidRDefault="0004585E" w:rsidP="0004585E">
      <w:pPr>
        <w:pStyle w:val="Odstavecseseznamem"/>
        <w:widowControl w:val="0"/>
        <w:numPr>
          <w:ilvl w:val="0"/>
          <w:numId w:val="8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Poradce se zavazuje poskytovat dle této Smlouvy, Klientovi služby související s dodržováním Obecného nařízení o ochraně osobních údajů (dále také „GDPR“), které vstoupilo v platnost dne 24. května 2016 a vnitrostátních právních předpisů na ochranu osobních údajů, a to zejména činností „Pověřence na ochranu osobních údajů“ s cílem monitorování souladu s Obecným nařízením ochraně osobních údajů (GDPR), a to v rozsahu:</w:t>
      </w:r>
    </w:p>
    <w:p w:rsidR="00E82EDD" w:rsidRPr="00E82EDD" w:rsidRDefault="00E82EDD" w:rsidP="00E82EDD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4585E" w:rsidRDefault="0004585E" w:rsidP="00E82EDD">
      <w:pPr>
        <w:pStyle w:val="Odstavecseseznamem"/>
        <w:widowControl w:val="0"/>
        <w:numPr>
          <w:ilvl w:val="0"/>
          <w:numId w:val="11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E82EDD">
        <w:rPr>
          <w:rFonts w:ascii="Arial" w:hAnsi="Arial" w:cs="Arial"/>
          <w:color w:val="000000"/>
          <w:sz w:val="20"/>
          <w:szCs w:val="20"/>
        </w:rPr>
        <w:t>poskytování informací a poradenství klientovi i jeho zaměstnancům, kteří provádějí zpracování osobních údajů, o jejich povinnostech</w:t>
      </w:r>
      <w:r w:rsidR="00E82EDD">
        <w:rPr>
          <w:rFonts w:ascii="Arial" w:hAnsi="Arial" w:cs="Arial"/>
          <w:color w:val="000000"/>
          <w:sz w:val="20"/>
          <w:szCs w:val="20"/>
        </w:rPr>
        <w:t>;</w:t>
      </w:r>
    </w:p>
    <w:p w:rsidR="00E82EDD" w:rsidRDefault="00E82EDD" w:rsidP="00E82EDD">
      <w:pPr>
        <w:pStyle w:val="Odstavecseseznamem"/>
        <w:widowControl w:val="0"/>
        <w:numPr>
          <w:ilvl w:val="0"/>
          <w:numId w:val="11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průběžn</w:t>
      </w:r>
      <w:r w:rsidR="00AB2633">
        <w:rPr>
          <w:rFonts w:ascii="Arial" w:hAnsi="Arial" w:cs="Arial"/>
          <w:color w:val="000000"/>
          <w:sz w:val="20"/>
          <w:szCs w:val="20"/>
        </w:rPr>
        <w:t>é monitorování souladu Klienta s nařízením GDPR v oblasti ochrany osobních údajů a s koncepcemi klienta v oblasti ochrany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AB2633" w:rsidRDefault="00224F0D" w:rsidP="00E82EDD">
      <w:pPr>
        <w:pStyle w:val="Odstavecseseznamem"/>
        <w:widowControl w:val="0"/>
        <w:numPr>
          <w:ilvl w:val="0"/>
          <w:numId w:val="11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224F0D" w:rsidRDefault="00224F0D" w:rsidP="00E82EDD">
      <w:pPr>
        <w:pStyle w:val="Odstavecseseznamem"/>
        <w:widowControl w:val="0"/>
        <w:numPr>
          <w:ilvl w:val="0"/>
          <w:numId w:val="11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spolupráce a komunikace s dozorovým úřadem; poradenská činnost při řízení před dozorovým úřadem nebo soudem;</w:t>
      </w:r>
    </w:p>
    <w:p w:rsidR="00224F0D" w:rsidRDefault="00224F0D" w:rsidP="00E82EDD">
      <w:pPr>
        <w:pStyle w:val="Odstavecseseznamem"/>
        <w:widowControl w:val="0"/>
        <w:numPr>
          <w:ilvl w:val="0"/>
          <w:numId w:val="11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783998" w:rsidRDefault="00224F0D" w:rsidP="00C30FF5">
      <w:pPr>
        <w:pStyle w:val="Odstavecseseznamem"/>
        <w:widowControl w:val="0"/>
        <w:numPr>
          <w:ilvl w:val="0"/>
          <w:numId w:val="11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114DB4">
        <w:rPr>
          <w:rFonts w:ascii="Arial" w:hAnsi="Arial" w:cs="Arial"/>
          <w:color w:val="000000"/>
          <w:sz w:val="20"/>
          <w:szCs w:val="20"/>
        </w:rPr>
        <w:t xml:space="preserve">Pověřenec dohlíží na soulad činnosti zaměstnavatele s GDPR a dalšími předpisy v oblasti ochrany osobních údajů podle vlastního plánu dohledové činnosti a na základě vyhodnocení podnětů </w:t>
      </w:r>
      <w:r w:rsidR="00114DB4" w:rsidRPr="00114DB4">
        <w:rPr>
          <w:rFonts w:ascii="Arial" w:hAnsi="Arial" w:cs="Arial"/>
          <w:color w:val="000000"/>
          <w:sz w:val="20"/>
          <w:szCs w:val="20"/>
        </w:rPr>
        <w:t>zaměstnavatele</w:t>
      </w:r>
      <w:r w:rsidRPr="00114DB4">
        <w:rPr>
          <w:rFonts w:ascii="Arial" w:hAnsi="Arial" w:cs="Arial"/>
          <w:color w:val="000000"/>
          <w:sz w:val="20"/>
          <w:szCs w:val="20"/>
        </w:rPr>
        <w:t xml:space="preserve">, ostatních zaměstnanců, kontrolních orgánů a subjektů údajů. Pověřenec poskytuje zaměstnavateli </w:t>
      </w:r>
      <w:r w:rsidR="00114DB4" w:rsidRPr="00114DB4">
        <w:rPr>
          <w:rFonts w:ascii="Arial" w:hAnsi="Arial" w:cs="Arial"/>
          <w:color w:val="000000"/>
          <w:sz w:val="20"/>
          <w:szCs w:val="20"/>
        </w:rPr>
        <w:t>a ostatním zaměstnancům informace z oboru své působnosti podle aktuálních potřeb, v souladu s 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EU a rozhodování činnost soudů v oblasti ochrany osobních údajů a přiměřeným způsobem o těchto skutečnostech informuje zaměstnavatele a ostatní zaměstnance.</w:t>
      </w:r>
      <w:r w:rsidRPr="00114DB4">
        <w:rPr>
          <w:rFonts w:ascii="Arial" w:hAnsi="Arial" w:cs="Arial"/>
          <w:color w:val="000000"/>
          <w:sz w:val="20"/>
          <w:szCs w:val="20"/>
        </w:rPr>
        <w:t xml:space="preserve"> </w:t>
      </w:r>
      <w:r w:rsidR="00114DB4" w:rsidRPr="00114DB4">
        <w:rPr>
          <w:rFonts w:ascii="Arial" w:hAnsi="Arial" w:cs="Arial"/>
          <w:color w:val="000000"/>
          <w:sz w:val="20"/>
          <w:szCs w:val="20"/>
        </w:rPr>
        <w:t>Pověřenec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 oblasti informačních a komunikačních technologií s pravidly ochrany osobních údajů. Pověřenec přijímá a vyhodnocuje podání subjektů údajů v záležitostech souvisejících se zpracováním jejich osobních údajů a výkonem jejich práv podle GDPR. V případě, že nemůže podání vyřídit sám, postupuje je v souladu s vnitřními předpisy zaměstnavatele k vyřízení příslušným útvarům, popřípadě si vyžádá od příslušných útvarů podkladová stanoviska a následně podání vyřizuje. Pověřenec vede záznamy o činnostech zpracování podle čl. 3</w:t>
      </w:r>
      <w:r w:rsidR="00C30FF5">
        <w:rPr>
          <w:rFonts w:ascii="Arial" w:hAnsi="Arial" w:cs="Arial"/>
          <w:color w:val="000000"/>
          <w:sz w:val="20"/>
          <w:szCs w:val="20"/>
        </w:rPr>
        <w:t>0</w:t>
      </w:r>
      <w:r w:rsidR="00114DB4" w:rsidRPr="00114DB4">
        <w:rPr>
          <w:rFonts w:ascii="Arial" w:hAnsi="Arial" w:cs="Arial"/>
          <w:color w:val="000000"/>
          <w:sz w:val="20"/>
          <w:szCs w:val="20"/>
        </w:rPr>
        <w:t xml:space="preserve"> GDPR. Pověřenec navrhuje </w:t>
      </w:r>
      <w:r w:rsidR="00C30FF5">
        <w:rPr>
          <w:rFonts w:ascii="Arial" w:hAnsi="Arial" w:cs="Arial"/>
          <w:color w:val="000000"/>
          <w:sz w:val="20"/>
          <w:szCs w:val="20"/>
        </w:rPr>
        <w:t xml:space="preserve">zaměstnavateli opatření k dosahování plného souladu s GDPR a dalšími předpisy v oblasti ochrany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 </w:t>
      </w:r>
    </w:p>
    <w:p w:rsidR="00C30FF5" w:rsidRDefault="00C30FF5" w:rsidP="00C30FF5">
      <w:pPr>
        <w:pStyle w:val="Odstavecseseznamem"/>
        <w:widowControl w:val="0"/>
        <w:numPr>
          <w:ilvl w:val="0"/>
          <w:numId w:val="8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Poradce se zavazuje, dle této Smlouvy, Klientovi poskytnout e-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learningové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školení zaměstnanců v oblasti GDPR.</w:t>
      </w:r>
    </w:p>
    <w:p w:rsidR="00C30FF5" w:rsidRDefault="00C30FF5" w:rsidP="00C30FF5">
      <w:pPr>
        <w:pStyle w:val="Odstavecseseznamem"/>
        <w:widowControl w:val="0"/>
        <w:numPr>
          <w:ilvl w:val="0"/>
          <w:numId w:val="8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se dohodly, že jakékoli rozšíření služeb poskytovaných Poradcem dle této Smlouvy nad rámec stanovený v odst. 1. tohoto článku, bude sjednáno písemným dodatkem k této Smlouvě, v němž bude stanovena další poradenská činnost a odměna, kterou bude Klient hradit.</w:t>
      </w:r>
    </w:p>
    <w:p w:rsidR="00C30FF5" w:rsidRDefault="00C30FF5" w:rsidP="00C30FF5">
      <w:pPr>
        <w:pStyle w:val="Odstavecseseznamem"/>
        <w:widowControl w:val="0"/>
        <w:numPr>
          <w:ilvl w:val="0"/>
          <w:numId w:val="8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</w:t>
      </w:r>
      <w:r w:rsidR="00CC6122">
        <w:rPr>
          <w:rFonts w:ascii="Arial" w:hAnsi="Arial" w:cs="Arial"/>
          <w:color w:val="000000"/>
          <w:sz w:val="20"/>
          <w:szCs w:val="20"/>
        </w:rPr>
        <w:t>rozšíření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C6122">
        <w:rPr>
          <w:rFonts w:ascii="Arial" w:hAnsi="Arial" w:cs="Arial"/>
          <w:color w:val="000000"/>
          <w:sz w:val="20"/>
          <w:szCs w:val="20"/>
        </w:rPr>
        <w:t>služeb podle této smlouvy se nepovažuje posouzení shody činností klienta s doposud platnými právními předpisy nebo v budoucnu přijatými vnitrostátními právními předpisy nebo předpisy EU upravujícími ochranu osobních údajů a případně schváleným a závaznými kodexy chování dle článku 40 obecného nařízení o ochraně osobních údajů.</w:t>
      </w:r>
    </w:p>
    <w:p w:rsidR="00CC6122" w:rsidRDefault="00CC6122" w:rsidP="00CC6122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CC6122" w:rsidRDefault="00CC6122" w:rsidP="00CC6122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CC6122" w:rsidRDefault="00CC6122" w:rsidP="00CC6122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III.</w:t>
      </w:r>
    </w:p>
    <w:p w:rsidR="00CC6122" w:rsidRDefault="00CC6122" w:rsidP="00CC6122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C6122" w:rsidRDefault="00CC6122" w:rsidP="00CC6122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Práva a povinnosti Smluvních stran</w:t>
      </w:r>
    </w:p>
    <w:p w:rsidR="00CC6122" w:rsidRDefault="00CC6122" w:rsidP="00CC6122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C6122" w:rsidRDefault="00CC6122" w:rsidP="00CC6122">
      <w:pPr>
        <w:pStyle w:val="Odstavecseseznamem"/>
        <w:widowControl w:val="0"/>
        <w:numPr>
          <w:ilvl w:val="0"/>
          <w:numId w:val="12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Poradce se zavazuje vykonávat poradenskou činnost dle této Smlouvy s veškerou odbornou péčí, chránit obecně a jemu známé zájmy Klienta a informovat Klienta průběžně o plnění předmětu této Smlouvy.</w:t>
      </w:r>
    </w:p>
    <w:p w:rsidR="00CC6122" w:rsidRDefault="00CC6122" w:rsidP="00CC6122">
      <w:pPr>
        <w:pStyle w:val="Odstavecseseznamem"/>
        <w:widowControl w:val="0"/>
        <w:numPr>
          <w:ilvl w:val="0"/>
          <w:numId w:val="12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Klient je povinen poskytovat Poradci veškerou potřebnou součinnost a veškeré informace a podklady potřebné k plnění činností Poradce.</w:t>
      </w:r>
    </w:p>
    <w:p w:rsidR="00CC6122" w:rsidRDefault="00CC6122" w:rsidP="00CC6122">
      <w:pPr>
        <w:pStyle w:val="Odstavecseseznamem"/>
        <w:widowControl w:val="0"/>
        <w:numPr>
          <w:ilvl w:val="0"/>
          <w:numId w:val="12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sjednaly, že budou vzájemně spolupracovat a aktivně přistupovat k řešení jednotlivých oblastí činností poskytovaných dle této Smlouvy.</w:t>
      </w:r>
    </w:p>
    <w:p w:rsidR="00CC6122" w:rsidRDefault="00CC6122" w:rsidP="00CC6122">
      <w:pPr>
        <w:pStyle w:val="Odstavecseseznamem"/>
        <w:widowControl w:val="0"/>
        <w:numPr>
          <w:ilvl w:val="0"/>
          <w:numId w:val="12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Poradce je povinen vykonávat činnosti dle této Smlouvy v dohodnutých nebo právními předpisy stanovených termínech.</w:t>
      </w:r>
    </w:p>
    <w:p w:rsidR="00CC6122" w:rsidRDefault="00CC6122" w:rsidP="00CC6122">
      <w:pPr>
        <w:pStyle w:val="Odstavecseseznamem"/>
        <w:widowControl w:val="0"/>
        <w:numPr>
          <w:ilvl w:val="0"/>
          <w:numId w:val="12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Každá ze Smluvních stran určuje kontaktní osobu/osoby, které budou zabezpečovat vzájemné předávání informací a spolupráci, předávání potřebných dokumentů, podkladu a výsledků činnosti dle této Smlouvy. Dojde-li ke změně v osobách pověřených k výkonu komunikace dle tohoto odstavce, je kterákoli ze Smluvních stran oprávněna pouze písemných oznámením, předaným druhé Smluvní straně, provést změnu či doplnění. Smluvní strany sjednaly, že takové změny a doplnění nejsou</w:t>
      </w:r>
      <w:r w:rsidR="00811737">
        <w:rPr>
          <w:rFonts w:ascii="Arial" w:hAnsi="Arial" w:cs="Arial"/>
          <w:color w:val="000000"/>
          <w:sz w:val="20"/>
          <w:szCs w:val="20"/>
        </w:rPr>
        <w:t xml:space="preserve"> považovány za změny této Smlouvy a nebudou prováděny formou dodatku k této Smlouvě.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osobou na strany Poradce je: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Miroslav Kvapil,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MSc</w:t>
      </w:r>
      <w:proofErr w:type="spellEnd"/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Tel: 734 647 700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65BD8">
          <w:rPr>
            <w:rStyle w:val="Hypertextovodkaz"/>
            <w:rFonts w:ascii="Arial" w:hAnsi="Arial" w:cs="Arial"/>
            <w:sz w:val="20"/>
            <w:szCs w:val="20"/>
          </w:rPr>
          <w:t>miroslav.kvapil@bdo.cz</w:t>
        </w:r>
      </w:hyperlink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Pověřenec: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Eva Šmídová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Tel: 731 609 403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 w:history="1">
        <w:r w:rsidRPr="00A65BD8">
          <w:rPr>
            <w:rStyle w:val="Hypertextovodkaz"/>
            <w:rFonts w:ascii="Arial" w:hAnsi="Arial" w:cs="Arial"/>
            <w:sz w:val="20"/>
            <w:szCs w:val="20"/>
          </w:rPr>
          <w:t>gdpr@bdo.cz</w:t>
        </w:r>
      </w:hyperlink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osobou na straně Klienta je: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Karel Dvořák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Tel: 603 442 438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 w:rsidRPr="00A65BD8">
          <w:rPr>
            <w:rStyle w:val="Hypertextovodkaz"/>
            <w:rFonts w:ascii="Arial" w:hAnsi="Arial" w:cs="Arial"/>
            <w:sz w:val="20"/>
            <w:szCs w:val="20"/>
          </w:rPr>
          <w:t>karel.dvorak@ohradni.cz</w:t>
        </w:r>
      </w:hyperlink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IV.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Odměna náhrada nákladů</w:t>
      </w:r>
    </w:p>
    <w:p w:rsidR="00811737" w:rsidRDefault="00811737" w:rsidP="00811737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11737" w:rsidRDefault="00811737" w:rsidP="00811737">
      <w:pPr>
        <w:pStyle w:val="Odstavecseseznamem"/>
        <w:widowControl w:val="0"/>
        <w:numPr>
          <w:ilvl w:val="0"/>
          <w:numId w:val="13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Klient se zavazuje zaplatit Poradci za služby poskytované dle čl. II této Smlouvy odměnu dle následujícího:</w:t>
      </w:r>
    </w:p>
    <w:p w:rsidR="00811737" w:rsidRDefault="00811737" w:rsidP="00811737">
      <w:pPr>
        <w:pStyle w:val="Odstavecseseznamem"/>
        <w:widowControl w:val="0"/>
        <w:numPr>
          <w:ilvl w:val="0"/>
          <w:numId w:val="14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služby provedené dle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čl.II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., odst. 1 této Smlouvy jednorázovou odměnu </w:t>
      </w:r>
      <w:r>
        <w:rPr>
          <w:rFonts w:ascii="Arial" w:hAnsi="Arial" w:cs="Arial"/>
          <w:color w:val="000000"/>
          <w:sz w:val="20"/>
          <w:szCs w:val="20"/>
        </w:rPr>
        <w:lastRenderedPageBreak/>
        <w:t>v celkové výši 15.000,- Kč (bez DPH v zákonné výši) na základě faktury vystavené Poradcem se splatností 21 kalendářních dní ode dne doručení.</w:t>
      </w:r>
    </w:p>
    <w:p w:rsidR="00811737" w:rsidRDefault="00811737" w:rsidP="00811737">
      <w:pPr>
        <w:pStyle w:val="Odstavecseseznamem"/>
        <w:widowControl w:val="0"/>
        <w:numPr>
          <w:ilvl w:val="0"/>
          <w:numId w:val="14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služby provedené dle čl. II.,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této Smlouvy měsíční odměnu v celkové výši 2.400,- Kč (bez DPH v zákonné výši) na základě faktury vystavené </w:t>
      </w:r>
      <w:r>
        <w:rPr>
          <w:rFonts w:ascii="Arial" w:hAnsi="Arial" w:cs="Arial"/>
          <w:color w:val="000000"/>
          <w:sz w:val="20"/>
          <w:szCs w:val="20"/>
        </w:rPr>
        <w:t>Poradcem se splatností 21 kalendářních dní ode dne doručení.</w:t>
      </w:r>
    </w:p>
    <w:p w:rsidR="00650B87" w:rsidRDefault="00811737" w:rsidP="00650B87">
      <w:pPr>
        <w:pStyle w:val="Odstavecseseznamem"/>
        <w:widowControl w:val="0"/>
        <w:numPr>
          <w:ilvl w:val="0"/>
          <w:numId w:val="14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811737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služby provedené dle čl. II.,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této Smlouvy měsíční odměnu v celkové výši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.400,- Kč (bez DPH v zákonné výši)</w:t>
      </w:r>
      <w:r>
        <w:rPr>
          <w:rFonts w:ascii="Arial" w:hAnsi="Arial" w:cs="Arial"/>
          <w:color w:val="000000"/>
          <w:sz w:val="20"/>
          <w:szCs w:val="20"/>
        </w:rPr>
        <w:t xml:space="preserve"> pro všechny zaměstnance Klienta přihlášené do e-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learningového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kurzu. Výše uvedené bude </w:t>
      </w:r>
      <w:r w:rsidR="00650B87">
        <w:rPr>
          <w:rFonts w:ascii="Arial" w:hAnsi="Arial" w:cs="Arial"/>
          <w:color w:val="000000"/>
          <w:sz w:val="20"/>
          <w:szCs w:val="20"/>
        </w:rPr>
        <w:t xml:space="preserve">Klientem proplaceno na základě Poradcem vystavené faktury </w:t>
      </w:r>
      <w:r w:rsidR="00650B87">
        <w:rPr>
          <w:rFonts w:ascii="Arial" w:hAnsi="Arial" w:cs="Arial"/>
          <w:color w:val="000000"/>
          <w:sz w:val="20"/>
          <w:szCs w:val="20"/>
        </w:rPr>
        <w:t>se splatností 21 kalendářních dní ode dne doručení.</w:t>
      </w:r>
      <w:r w:rsidR="00650B87">
        <w:rPr>
          <w:rFonts w:ascii="Arial" w:hAnsi="Arial" w:cs="Arial"/>
          <w:color w:val="000000"/>
          <w:sz w:val="20"/>
          <w:szCs w:val="20"/>
        </w:rPr>
        <w:t xml:space="preserve"> E-</w:t>
      </w:r>
      <w:proofErr w:type="spellStart"/>
      <w:r w:rsidR="00650B87">
        <w:rPr>
          <w:rFonts w:ascii="Arial" w:hAnsi="Arial" w:cs="Arial"/>
          <w:color w:val="000000"/>
          <w:sz w:val="20"/>
          <w:szCs w:val="20"/>
        </w:rPr>
        <w:t>learningové</w:t>
      </w:r>
      <w:proofErr w:type="spellEnd"/>
      <w:r w:rsidR="00650B87">
        <w:rPr>
          <w:rFonts w:ascii="Arial" w:hAnsi="Arial" w:cs="Arial"/>
          <w:color w:val="000000"/>
          <w:sz w:val="20"/>
          <w:szCs w:val="20"/>
        </w:rPr>
        <w:t xml:space="preserve"> školení je možné využívat neomezeně po dobu devíti měsíců od podpisu této Smlouvy.</w:t>
      </w:r>
    </w:p>
    <w:p w:rsidR="00650B87" w:rsidRDefault="00650B87" w:rsidP="00650B87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650B87" w:rsidRDefault="00650B87" w:rsidP="00650B87">
      <w:pPr>
        <w:pStyle w:val="Odstavecseseznamem"/>
        <w:widowControl w:val="0"/>
        <w:numPr>
          <w:ilvl w:val="0"/>
          <w:numId w:val="13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Odměna stanovená v odst. 1. tohoto článku zahrnuje veškeré náklady Poradce na činnosti vykonávané dle této Smlouvy, a to zejména cestovní náhrady, běžné náklady spojené s poskytnutím služeb dle této Smlouvy (tj. tel. hovorné,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faxovné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poštovné včetně kurýrních poplatků, jazykové překlady, notářské a jiné úřední poplatky, náklady na </w:t>
      </w:r>
      <w:r w:rsidR="00063C56">
        <w:rPr>
          <w:rFonts w:ascii="Arial" w:hAnsi="Arial" w:cs="Arial"/>
          <w:color w:val="000000"/>
          <w:sz w:val="20"/>
          <w:szCs w:val="20"/>
        </w:rPr>
        <w:t>foto kopírování</w:t>
      </w:r>
      <w:r>
        <w:rPr>
          <w:rFonts w:ascii="Arial" w:hAnsi="Arial" w:cs="Arial"/>
          <w:color w:val="000000"/>
          <w:sz w:val="20"/>
          <w:szCs w:val="20"/>
        </w:rPr>
        <w:t>, technické nosiče, a kancelářské potřeby).</w:t>
      </w:r>
    </w:p>
    <w:p w:rsidR="00650B87" w:rsidRDefault="00650B87" w:rsidP="00650B87">
      <w:pPr>
        <w:pStyle w:val="Odstavecseseznamem"/>
        <w:widowControl w:val="0"/>
        <w:numPr>
          <w:ilvl w:val="0"/>
          <w:numId w:val="13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Bude-li Klient v prodlení s placením odměny v termínech a výších dle tohoto článku, je povinen uhradit Poradci úroky z prodlení ve výši 0,05 % z dlužné částky za každý den prodlení. Nebude-li Poradce řádně plnit předmět této smlouvy, je povinen uhradit Klientovi 1.000,- Kč denně za každý den prodlení s plněním.</w:t>
      </w:r>
    </w:p>
    <w:p w:rsidR="00650B87" w:rsidRDefault="00650B87" w:rsidP="00650B87">
      <w:pPr>
        <w:pStyle w:val="Odstavecseseznamem"/>
        <w:widowControl w:val="0"/>
        <w:numPr>
          <w:ilvl w:val="0"/>
          <w:numId w:val="13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Případě, že faktura nebude mít zákonem č. 235/2004 Sb., o dani z přidané hodnoty, ve znění pozdějších předpisů stanovené náležitosti nebo bude obsahovat </w:t>
      </w:r>
      <w:r w:rsidR="00063C56">
        <w:rPr>
          <w:rFonts w:ascii="Arial" w:hAnsi="Arial" w:cs="Arial"/>
          <w:color w:val="000000"/>
          <w:sz w:val="20"/>
          <w:szCs w:val="20"/>
        </w:rPr>
        <w:t>chybné údaje, je Klient oprávněn tuto fakturu ve lhůtě její splatnosti vrátit Poradce, aniž by se tím Klient dostal do prodlení s úhradou faktury. Nová lhůta splatnosti počíná, běžel dnem obdržení opravené nebo nově vystavené faktury. Důvod případného vrácení faktury musí být Klientem jednoznačně vymezen.</w:t>
      </w: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V.</w:t>
      </w: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Chráněné informace</w:t>
      </w: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3C56" w:rsidRDefault="00063C56" w:rsidP="00063C56">
      <w:pPr>
        <w:pStyle w:val="Odstavecseseznamem"/>
        <w:widowControl w:val="0"/>
        <w:numPr>
          <w:ilvl w:val="0"/>
          <w:numId w:val="15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Veškeré informace sdělené kteroukoliv ze Smluvních stran při plnění povinností dle této Smlouvy, jsou považování za přísně důvěrné a nesmí být zpřístupněny či jakýmkoliv jiným způsobem sděleny třetí osobě, s výjimkou informací, které byly v okamžiku sdělení veřejně známé nebo informací, které Smluvní strany získaly od třetích osob nebo jejich poskytnutí upravuje platný právní předpis.</w:t>
      </w:r>
    </w:p>
    <w:p w:rsidR="00063C56" w:rsidRDefault="00063C56" w:rsidP="00063C56">
      <w:pPr>
        <w:pStyle w:val="Odstavecseseznamem"/>
        <w:widowControl w:val="0"/>
        <w:numPr>
          <w:ilvl w:val="0"/>
          <w:numId w:val="15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Poradce je oprávněn poskytovat při nabídce poradenských služeb jako reference údaje o realizovaném projektu, týkající se názvu projektu, názvu a identifikace Klienta, stručného popisu vykonané práce v rozsahu poskytované poradenské činnosti. </w:t>
      </w: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VI.</w:t>
      </w: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3C56" w:rsidRDefault="00063C56" w:rsidP="00063C56">
      <w:pPr>
        <w:widowControl w:val="0"/>
        <w:tabs>
          <w:tab w:val="left" w:pos="2534"/>
        </w:tabs>
        <w:autoSpaceDE w:val="0"/>
        <w:ind w:right="56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3C56" w:rsidRDefault="00063C56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Právní vztahy výslovně neupravené touto Smlouvou se řídí ustanovením Občanského zákoníku v platném znění a platnými právními předpisy upravujícími ochranu osobních údajů.</w:t>
      </w:r>
    </w:p>
    <w:p w:rsidR="00063C56" w:rsidRDefault="00063C56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063C56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 a účinnosti dnem jejího řádného zveřejnění v registru smluv, které zajistí Poradce.</w:t>
      </w:r>
    </w:p>
    <w:p w:rsidR="00063C56" w:rsidRDefault="00063C56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063C56">
        <w:rPr>
          <w:rFonts w:ascii="Arial" w:hAnsi="Arial" w:cs="Arial"/>
          <w:color w:val="000000"/>
          <w:sz w:val="20"/>
          <w:szCs w:val="20"/>
        </w:rPr>
        <w:t>Poradce je pojištěn na škody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63C56">
        <w:rPr>
          <w:rFonts w:ascii="Arial" w:hAnsi="Arial" w:cs="Arial"/>
          <w:color w:val="000000"/>
          <w:sz w:val="20"/>
          <w:szCs w:val="20"/>
        </w:rPr>
        <w:t>oblasti</w:t>
      </w:r>
      <w:r>
        <w:rPr>
          <w:rFonts w:ascii="Arial" w:hAnsi="Arial" w:cs="Arial"/>
          <w:color w:val="000000"/>
          <w:sz w:val="20"/>
          <w:szCs w:val="20"/>
        </w:rPr>
        <w:t xml:space="preserve"> GDPR do výš 150 mil. Kč. Při podpisu smlouvy předloží klientovi kopii této smlouvy nebo potvrzení pojišťovny o sjednaném pojištění. Poradce je povinen být v uvedeném rozsahu pojištěn po celou dobu trvání této smlouvy a na základě výzvy klienta je povinen předložit potvrzení o trvání </w:t>
      </w:r>
      <w:r w:rsidR="004C06D5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ojištění.  </w:t>
      </w:r>
    </w:p>
    <w:p w:rsidR="004C06D5" w:rsidRDefault="004C06D5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Poradce odpovídá klientovi za škody, která mu vznikne v důsledku jeho pochybení, nečinnosti nebo jiného vadného plnění a to na základě objektivního principu.</w:t>
      </w:r>
    </w:p>
    <w:p w:rsidR="004C06D5" w:rsidRDefault="004C06D5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Tato Smlouva je uzavírána na dobu neurčitou. Každá Smluvní strana může Smlouvu i </w:t>
      </w:r>
      <w:r>
        <w:rPr>
          <w:rFonts w:ascii="Arial" w:hAnsi="Arial" w:cs="Arial"/>
          <w:color w:val="000000"/>
          <w:sz w:val="20"/>
          <w:szCs w:val="20"/>
        </w:rPr>
        <w:lastRenderedPageBreak/>
        <w:t>před jejím skončením jednostranně vypovědět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4C06D5" w:rsidRDefault="004C06D5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Ustanovení této Smlouvy lze měnit a doplňovat pouze formou písemných dodatků podepsaných oběma Smluvními stranami.</w:t>
      </w:r>
    </w:p>
    <w:p w:rsidR="004C06D5" w:rsidRDefault="004C06D5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Smlouva se sepisuje ve (2)dvou vyhotoveních s platností originálu, přičemž každá ze Smluvních stran obdrží po (1) jednom vyhotovení Smlouvy.</w:t>
      </w:r>
    </w:p>
    <w:p w:rsidR="004C06D5" w:rsidRDefault="004C06D5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Pokud by tato Smlouva trpěla právními vadami, zejména a pokud by některé z jejích ustanovení bylo v rozporu s českým právním řádem, v důsledku čehož by mohla být posuzována jako neplatná, považuje se toto ustanovení za samostatné a Smlouva se posuzuje, jako by takové ustanovení někdy neobsahovala.</w:t>
      </w:r>
    </w:p>
    <w:p w:rsidR="004C06D5" w:rsidRDefault="004C06D5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této Smlouvy se zavazují, že v případě sporů o obsah a plnění této Smlouvy vynaloží veškeré úsilí, které lze spravedlivě požadovat k tomu, aby byly tyto spory vyřešeny smírnou cestou, zejména aby byly odstraněny okolnosti vedoucí ke vzniku práva od Smlouvy odstoupit, nebo způsobují neplatnost. </w:t>
      </w:r>
    </w:p>
    <w:p w:rsidR="004C06D5" w:rsidRDefault="004C06D5" w:rsidP="00063C56">
      <w:pPr>
        <w:pStyle w:val="Odstavecseseznamem"/>
        <w:widowControl w:val="0"/>
        <w:numPr>
          <w:ilvl w:val="0"/>
          <w:numId w:val="16"/>
        </w:numPr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Tato smlouva bude zveřejněna v registru smluv dle zákona č. 340/2015 Sb. o zvláštních podmínkách účinnosti některých smluv, uveřejňování těchto smluv a o registru </w:t>
      </w:r>
      <w:r w:rsidR="000E7B19"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z w:val="20"/>
          <w:szCs w:val="20"/>
        </w:rPr>
        <w:t xml:space="preserve"> (zákon o registru smluv) a to bez uvedení citlivých </w:t>
      </w:r>
      <w:r w:rsidR="000E7B19">
        <w:rPr>
          <w:rFonts w:ascii="Arial" w:hAnsi="Arial" w:cs="Arial"/>
          <w:color w:val="000000"/>
          <w:sz w:val="20"/>
          <w:szCs w:val="20"/>
        </w:rPr>
        <w:t>údajů (obchodní tajemství, osobní údaje). Zveřejnění smlouvy zajistí Poradce.</w:t>
      </w:r>
    </w:p>
    <w:p w:rsidR="004C06D5" w:rsidRPr="004C06D5" w:rsidRDefault="004C06D5" w:rsidP="004C06D5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Pr="00650B87" w:rsidRDefault="00224F0D" w:rsidP="00650B87">
      <w:pPr>
        <w:widowControl w:val="0"/>
        <w:tabs>
          <w:tab w:val="left" w:pos="2534"/>
        </w:tabs>
        <w:autoSpaceDE w:val="0"/>
        <w:ind w:left="360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224F0D" w:rsidRDefault="00224F0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E7B19" w:rsidRDefault="003A28BC" w:rsidP="000E7B19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4B0E84">
        <w:rPr>
          <w:rFonts w:ascii="Arial" w:hAnsi="Arial" w:cs="Arial"/>
          <w:color w:val="000000"/>
          <w:sz w:val="20"/>
          <w:szCs w:val="20"/>
        </w:rPr>
        <w:t xml:space="preserve"> Praze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4B0E84">
        <w:rPr>
          <w:rFonts w:ascii="Arial" w:hAnsi="Arial" w:cs="Arial"/>
          <w:color w:val="000000"/>
          <w:sz w:val="20"/>
          <w:szCs w:val="20"/>
        </w:rPr>
        <w:t xml:space="preserve"> </w:t>
      </w:r>
      <w:r w:rsidR="001F174D">
        <w:rPr>
          <w:rFonts w:ascii="Arial" w:hAnsi="Arial" w:cs="Arial"/>
          <w:color w:val="000000"/>
          <w:sz w:val="20"/>
          <w:szCs w:val="20"/>
        </w:rPr>
        <w:t>…………………</w:t>
      </w:r>
      <w:proofErr w:type="gramStart"/>
      <w:r w:rsidR="001F174D">
        <w:rPr>
          <w:rFonts w:ascii="Arial" w:hAnsi="Arial" w:cs="Arial"/>
          <w:color w:val="000000"/>
          <w:sz w:val="20"/>
          <w:szCs w:val="20"/>
        </w:rPr>
        <w:t>…..</w:t>
      </w:r>
      <w:r w:rsidR="000E7B19">
        <w:rPr>
          <w:rFonts w:ascii="Arial" w:hAnsi="Arial" w:cs="Arial"/>
          <w:color w:val="000000"/>
          <w:sz w:val="20"/>
          <w:szCs w:val="20"/>
        </w:rPr>
        <w:t xml:space="preserve">                                       </w:t>
      </w:r>
      <w:r w:rsidR="000E7B19">
        <w:rPr>
          <w:rFonts w:ascii="Arial" w:hAnsi="Arial" w:cs="Arial"/>
          <w:color w:val="000000"/>
          <w:sz w:val="20"/>
          <w:szCs w:val="20"/>
        </w:rPr>
        <w:t>V Praze</w:t>
      </w:r>
      <w:proofErr w:type="gramEnd"/>
      <w:r w:rsidR="000E7B19">
        <w:rPr>
          <w:rFonts w:ascii="Arial" w:hAnsi="Arial" w:cs="Arial"/>
          <w:color w:val="000000"/>
          <w:sz w:val="20"/>
          <w:szCs w:val="20"/>
        </w:rPr>
        <w:t xml:space="preserve"> dne ……………………..</w:t>
      </w:r>
    </w:p>
    <w:p w:rsidR="000E7B19" w:rsidRDefault="000E7B19" w:rsidP="000E7B19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0E7B19">
      <w:pPr>
        <w:widowControl w:val="0"/>
        <w:tabs>
          <w:tab w:val="left" w:pos="611"/>
          <w:tab w:val="left" w:pos="5529"/>
        </w:tabs>
        <w:autoSpaceDE w:val="0"/>
        <w:ind w:right="56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237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237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237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096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sectPr w:rsidR="00F7081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48" w:rsidRDefault="00356A48" w:rsidP="00C35F8B">
      <w:r>
        <w:separator/>
      </w:r>
    </w:p>
  </w:endnote>
  <w:endnote w:type="continuationSeparator" w:id="0">
    <w:p w:rsidR="00356A48" w:rsidRDefault="00356A48" w:rsidP="00C3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8B" w:rsidRDefault="00C35F8B">
    <w:pPr>
      <w:pStyle w:val="Zpat"/>
    </w:pPr>
  </w:p>
  <w:p w:rsidR="003B28D3" w:rsidRDefault="003B28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48" w:rsidRDefault="00356A48" w:rsidP="00C35F8B">
      <w:r>
        <w:separator/>
      </w:r>
    </w:p>
  </w:footnote>
  <w:footnote w:type="continuationSeparator" w:id="0">
    <w:p w:rsidR="00356A48" w:rsidRDefault="00356A48" w:rsidP="00C3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10748B"/>
    <w:multiLevelType w:val="hybridMultilevel"/>
    <w:tmpl w:val="3F7E4458"/>
    <w:lvl w:ilvl="0" w:tplc="67C438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21D2A"/>
    <w:multiLevelType w:val="hybridMultilevel"/>
    <w:tmpl w:val="71C03F7A"/>
    <w:lvl w:ilvl="0" w:tplc="8C2C0606">
      <w:start w:val="1"/>
      <w:numFmt w:val="lowerRoman"/>
      <w:lvlText w:val="%1."/>
      <w:lvlJc w:val="left"/>
      <w:pPr>
        <w:ind w:left="16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0A9105A2"/>
    <w:multiLevelType w:val="hybridMultilevel"/>
    <w:tmpl w:val="91389E4E"/>
    <w:lvl w:ilvl="0" w:tplc="45BA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A3C1D"/>
    <w:multiLevelType w:val="hybridMultilevel"/>
    <w:tmpl w:val="C4384FF2"/>
    <w:lvl w:ilvl="0" w:tplc="0BF4C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7A4C"/>
    <w:multiLevelType w:val="hybridMultilevel"/>
    <w:tmpl w:val="B2AAADA8"/>
    <w:lvl w:ilvl="0" w:tplc="F6BEA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B616D"/>
    <w:multiLevelType w:val="hybridMultilevel"/>
    <w:tmpl w:val="BDC4B0C0"/>
    <w:lvl w:ilvl="0" w:tplc="0405001B">
      <w:start w:val="1"/>
      <w:numFmt w:val="lowerRoman"/>
      <w:lvlText w:val="%1."/>
      <w:lvlJc w:val="right"/>
      <w:pPr>
        <w:ind w:left="1605" w:hanging="360"/>
      </w:p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3B6E22C4"/>
    <w:multiLevelType w:val="hybridMultilevel"/>
    <w:tmpl w:val="08FE49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01A41"/>
    <w:multiLevelType w:val="hybridMultilevel"/>
    <w:tmpl w:val="B450F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E6D76"/>
    <w:multiLevelType w:val="hybridMultilevel"/>
    <w:tmpl w:val="0742AA94"/>
    <w:lvl w:ilvl="0" w:tplc="06A41D4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EE02D1C"/>
    <w:multiLevelType w:val="hybridMultilevel"/>
    <w:tmpl w:val="9BD01A44"/>
    <w:lvl w:ilvl="0" w:tplc="0405000F">
      <w:start w:val="1"/>
      <w:numFmt w:val="decimal"/>
      <w:lvlText w:val="%1."/>
      <w:lvlJc w:val="left"/>
      <w:pPr>
        <w:ind w:left="1605" w:hanging="360"/>
      </w:p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64F13C43"/>
    <w:multiLevelType w:val="hybridMultilevel"/>
    <w:tmpl w:val="7BEA3B18"/>
    <w:lvl w:ilvl="0" w:tplc="EB1AE42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6E3660EF"/>
    <w:multiLevelType w:val="hybridMultilevel"/>
    <w:tmpl w:val="EB50F802"/>
    <w:lvl w:ilvl="0" w:tplc="29B8E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14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8"/>
    <w:rsid w:val="00020028"/>
    <w:rsid w:val="0004585E"/>
    <w:rsid w:val="00063C56"/>
    <w:rsid w:val="000B5223"/>
    <w:rsid w:val="000E7B19"/>
    <w:rsid w:val="00114DB4"/>
    <w:rsid w:val="00125F81"/>
    <w:rsid w:val="001F174D"/>
    <w:rsid w:val="00224F0D"/>
    <w:rsid w:val="00247BB0"/>
    <w:rsid w:val="002944B5"/>
    <w:rsid w:val="002B58AE"/>
    <w:rsid w:val="00356A48"/>
    <w:rsid w:val="00360B66"/>
    <w:rsid w:val="00383849"/>
    <w:rsid w:val="003A106B"/>
    <w:rsid w:val="003A28BC"/>
    <w:rsid w:val="003B28D3"/>
    <w:rsid w:val="003C0B07"/>
    <w:rsid w:val="003C7D6D"/>
    <w:rsid w:val="004B0E84"/>
    <w:rsid w:val="004C06D5"/>
    <w:rsid w:val="004C3435"/>
    <w:rsid w:val="0052349D"/>
    <w:rsid w:val="00544D46"/>
    <w:rsid w:val="005611BF"/>
    <w:rsid w:val="005A548B"/>
    <w:rsid w:val="005D559F"/>
    <w:rsid w:val="005F161A"/>
    <w:rsid w:val="00650B87"/>
    <w:rsid w:val="00650F5E"/>
    <w:rsid w:val="006972BA"/>
    <w:rsid w:val="0073518B"/>
    <w:rsid w:val="00776780"/>
    <w:rsid w:val="00783998"/>
    <w:rsid w:val="007C40CF"/>
    <w:rsid w:val="00811737"/>
    <w:rsid w:val="008121F6"/>
    <w:rsid w:val="0083475E"/>
    <w:rsid w:val="008369EB"/>
    <w:rsid w:val="008466F1"/>
    <w:rsid w:val="0088515C"/>
    <w:rsid w:val="008C5B54"/>
    <w:rsid w:val="009B58D8"/>
    <w:rsid w:val="009C22F5"/>
    <w:rsid w:val="00A3684F"/>
    <w:rsid w:val="00AB2633"/>
    <w:rsid w:val="00AD7BE9"/>
    <w:rsid w:val="00AE4858"/>
    <w:rsid w:val="00AE689A"/>
    <w:rsid w:val="00B944C0"/>
    <w:rsid w:val="00C30FF5"/>
    <w:rsid w:val="00C35F8B"/>
    <w:rsid w:val="00C42CF5"/>
    <w:rsid w:val="00C53862"/>
    <w:rsid w:val="00C62D32"/>
    <w:rsid w:val="00CC6122"/>
    <w:rsid w:val="00CD5F71"/>
    <w:rsid w:val="00D1689F"/>
    <w:rsid w:val="00DF5857"/>
    <w:rsid w:val="00E33767"/>
    <w:rsid w:val="00E57F47"/>
    <w:rsid w:val="00E82EDD"/>
    <w:rsid w:val="00E8515E"/>
    <w:rsid w:val="00EA1E7F"/>
    <w:rsid w:val="00EA5820"/>
    <w:rsid w:val="00F7081A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964AFC-7801-4364-93D5-FB81C86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E689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35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5F8B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35F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5F8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D5F71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11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vapil@bd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rel.dvorak@ohrad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r@bd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7AF1-F8BE-43AE-93B9-0C429004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5</Pages>
  <Words>1940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 Ohradní</Company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Yvona Petrošová</cp:lastModifiedBy>
  <cp:revision>4</cp:revision>
  <cp:lastPrinted>2018-04-25T13:28:00Z</cp:lastPrinted>
  <dcterms:created xsi:type="dcterms:W3CDTF">2018-06-08T12:22:00Z</dcterms:created>
  <dcterms:modified xsi:type="dcterms:W3CDTF">2018-06-10T10:26:00Z</dcterms:modified>
</cp:coreProperties>
</file>