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37" w:rsidRDefault="00F24F60">
      <w:pPr>
        <w:pStyle w:val="Bodytext70"/>
        <w:framePr w:w="9422" w:h="1073" w:hRule="exact" w:wrap="none" w:vAnchor="page" w:hAnchor="page" w:x="1154" w:y="2203"/>
        <w:shd w:val="clear" w:color="auto" w:fill="auto"/>
        <w:ind w:left="840"/>
      </w:pPr>
      <w:r>
        <w:t xml:space="preserve">DODATEK Č. </w:t>
      </w:r>
      <w:r>
        <w:rPr>
          <w:rStyle w:val="Bodytext7NotBold"/>
        </w:rPr>
        <w:t xml:space="preserve">1 KE </w:t>
      </w:r>
      <w:r>
        <w:t xml:space="preserve">SMLOUVĚ </w:t>
      </w:r>
      <w:r>
        <w:rPr>
          <w:rStyle w:val="Bodytext7NotBold"/>
        </w:rPr>
        <w:t>O DÍLO</w:t>
      </w:r>
    </w:p>
    <w:p w:rsidR="00251F37" w:rsidRDefault="00F24F60">
      <w:pPr>
        <w:pStyle w:val="Bodytext20"/>
        <w:framePr w:w="9422" w:h="1073" w:hRule="exact" w:wrap="none" w:vAnchor="page" w:hAnchor="page" w:x="1154" w:y="2203"/>
        <w:shd w:val="clear" w:color="auto" w:fill="auto"/>
        <w:spacing w:after="0"/>
        <w:ind w:right="100" w:firstLine="0"/>
      </w:pPr>
      <w:r>
        <w:t>evidované u zhotovitele pod číslem jednacím 1375/15</w:t>
      </w:r>
    </w:p>
    <w:p w:rsidR="00251F37" w:rsidRDefault="00F24F60">
      <w:pPr>
        <w:pStyle w:val="Bodytext20"/>
        <w:framePr w:w="9422" w:h="518" w:hRule="exact" w:wrap="none" w:vAnchor="page" w:hAnchor="page" w:x="1154" w:y="4041"/>
        <w:shd w:val="clear" w:color="auto" w:fill="auto"/>
        <w:spacing w:after="0" w:line="226" w:lineRule="exact"/>
        <w:ind w:firstLine="0"/>
        <w:jc w:val="both"/>
      </w:pPr>
      <w:r>
        <w:t xml:space="preserve">Tuto </w:t>
      </w:r>
      <w:r>
        <w:t>smlouvu uzavírají v souladu s ustanovením § 2586 a násl. zákona č. 89/2012 Sb,, občanského zákoníku, ve znění pozdějších předpisů, tyto 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749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95ptBold"/>
              </w:rPr>
              <w:t>Zhotovitel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95ptBold"/>
              </w:rPr>
              <w:t>MÚZO Praha s.r.o.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Sídlo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Politických vězňů 15, 110 00 Praha 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Zastoupený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Inq. Petrem </w:t>
            </w:r>
            <w:r>
              <w:rPr>
                <w:rStyle w:val="Bodytext21"/>
              </w:rPr>
              <w:t>Zaoralem a Janem Maršíkem, jednateli s.r.o.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Druh organizace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Bodytext21"/>
              </w:rPr>
              <w:t>společnost s ručením omezeným, zapsaná v obchodním rejstříku vedeném Městským soudem v Praze oddíl C, vložka 24646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49622897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DIČ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CZ49622897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Bankovní spojení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12" w:h="2256" w:wrap="none" w:vAnchor="page" w:hAnchor="page" w:x="1601" w:y="507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ČSOB Praha, č. ú. 482804123/0300</w:t>
            </w:r>
          </w:p>
        </w:tc>
      </w:tr>
    </w:tbl>
    <w:p w:rsidR="00251F37" w:rsidRDefault="00F24F60">
      <w:pPr>
        <w:pStyle w:val="Bodytext20"/>
        <w:framePr w:w="9422" w:h="281" w:hRule="exact" w:wrap="none" w:vAnchor="page" w:hAnchor="page" w:x="1154" w:y="7765"/>
        <w:shd w:val="clear" w:color="auto" w:fill="auto"/>
        <w:spacing w:after="0"/>
        <w:ind w:right="100" w:firstLine="0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754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95ptBold"/>
              </w:rPr>
              <w:t>Objednatel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 w:line="234" w:lineRule="exact"/>
              <w:ind w:firstLine="0"/>
              <w:jc w:val="left"/>
            </w:pPr>
            <w:r>
              <w:rPr>
                <w:rStyle w:val="Bodytext295ptBold"/>
              </w:rPr>
              <w:t>Česká filharmonie</w:t>
            </w:r>
          </w:p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1"/>
              </w:rPr>
              <w:t>:</w:t>
            </w:r>
          </w:p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tabs>
                <w:tab w:val="left" w:pos="662"/>
                <w:tab w:val="left" w:pos="2227"/>
                <w:tab w:val="left" w:pos="3168"/>
                <w:tab w:val="left" w:pos="5059"/>
              </w:tabs>
              <w:spacing w:after="0"/>
              <w:ind w:firstLine="0"/>
              <w:jc w:val="both"/>
            </w:pPr>
            <w:r>
              <w:rPr>
                <w:rStyle w:val="Bodytext21"/>
              </w:rPr>
              <w:t>....</w:t>
            </w:r>
            <w:r>
              <w:rPr>
                <w:rStyle w:val="Bodytext21"/>
              </w:rPr>
              <w:tab/>
              <w:t>■ ■</w:t>
            </w:r>
            <w:r>
              <w:rPr>
                <w:rStyle w:val="Bodytext21"/>
              </w:rPr>
              <w:tab/>
              <w:t>- ■</w:t>
            </w:r>
            <w:r>
              <w:rPr>
                <w:rStyle w:val="Bodytext21"/>
              </w:rPr>
              <w:tab/>
              <w:t>'</w:t>
            </w:r>
            <w:r>
              <w:rPr>
                <w:rStyle w:val="Bodytext21"/>
              </w:rPr>
              <w:tab/>
              <w:t>i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Sídlo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Alšovo nábřeží 79/12, 110 00 Praha 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Zastoupený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MqA. Davidem Marečkem, PhD., generálním ředitelem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Druh orqanizace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Příspěvková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00023264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DIČ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CZ00023264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Bankovní spojení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22" w:h="1982" w:wrap="none" w:vAnchor="page" w:hAnchor="page" w:x="1606" w:y="845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ČSOB Praha, č. ú. </w:t>
            </w:r>
            <w:r>
              <w:rPr>
                <w:rStyle w:val="Bodytext21"/>
              </w:rPr>
              <w:t>478646783/0300</w:t>
            </w:r>
          </w:p>
        </w:tc>
      </w:tr>
    </w:tbl>
    <w:p w:rsidR="00251F37" w:rsidRDefault="00251F37">
      <w:pPr>
        <w:rPr>
          <w:sz w:val="2"/>
          <w:szCs w:val="2"/>
        </w:rPr>
        <w:sectPr w:rsidR="00251F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37" w:rsidRDefault="00F24F60">
      <w:pPr>
        <w:pStyle w:val="Bodytext90"/>
        <w:framePr w:w="9629" w:h="863" w:hRule="exact" w:wrap="none" w:vAnchor="page" w:hAnchor="page" w:x="1113" w:y="1606"/>
        <w:shd w:val="clear" w:color="auto" w:fill="auto"/>
        <w:spacing w:before="0" w:after="139"/>
        <w:ind w:left="960"/>
      </w:pPr>
      <w:r>
        <w:lastRenderedPageBreak/>
        <w:t>Změna článku 3, odst. 3.1</w:t>
      </w:r>
    </w:p>
    <w:p w:rsidR="00251F37" w:rsidRDefault="00F24F60">
      <w:pPr>
        <w:pStyle w:val="Bodytext20"/>
        <w:framePr w:w="9629" w:h="863" w:hRule="exact" w:wrap="none" w:vAnchor="page" w:hAnchor="page" w:x="1113" w:y="1606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226" w:lineRule="exact"/>
        <w:ind w:left="780" w:hanging="500"/>
        <w:jc w:val="left"/>
      </w:pPr>
      <w:r>
        <w:t xml:space="preserve">Níže je uveden seznam modulů, ke kterým je poskytnuta </w:t>
      </w:r>
      <w:r>
        <w:t>Licence, dále pak počty uživatelů v jednotlivých modulech.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2088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75ptBold"/>
              </w:rPr>
              <w:t>Tlustý klient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75ptBold"/>
              </w:rPr>
              <w:t>Modul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75ptBold"/>
              </w:rPr>
              <w:t>Počet uživatelů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Podvoiné účetnictví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5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Závazky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Pohledávky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Banka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Pokladna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Příkazy k úhradě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Smlouvy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5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Oblednávky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Evidence maietku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Skladové hospodářství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Cestovní příkazy tuzemské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2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Cestovní příkazy zahraniční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7" w:h="2808" w:wrap="none" w:vAnchor="page" w:hAnchor="page" w:x="1881" w:y="2654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2</w:t>
            </w:r>
          </w:p>
        </w:tc>
      </w:tr>
    </w:tbl>
    <w:p w:rsidR="00251F37" w:rsidRDefault="00F24F60">
      <w:pPr>
        <w:pStyle w:val="Tablecaption20"/>
        <w:framePr w:w="4229" w:h="632" w:hRule="exact" w:wrap="none" w:vAnchor="page" w:hAnchor="page" w:x="1334" w:y="5907"/>
        <w:shd w:val="clear" w:color="auto" w:fill="auto"/>
      </w:pPr>
      <w:r>
        <w:t>Nový odstavec 3.11. v článku 3</w:t>
      </w:r>
    </w:p>
    <w:p w:rsidR="00251F37" w:rsidRDefault="00F24F60">
      <w:pPr>
        <w:pStyle w:val="Tablecaption0"/>
        <w:framePr w:w="4229" w:h="632" w:hRule="exact" w:wrap="none" w:vAnchor="page" w:hAnchor="page" w:x="1334" w:y="5907"/>
        <w:shd w:val="clear" w:color="auto" w:fill="auto"/>
        <w:spacing w:before="0"/>
      </w:pPr>
      <w:r>
        <w:t>3.11 Celková cena Licence EIS JASU® CS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2088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75ptBold"/>
              </w:rPr>
              <w:t>Licence EIS JASU® CS verze Enterprise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87" w:lineRule="exact"/>
              <w:ind w:left="440" w:firstLine="0"/>
              <w:jc w:val="left"/>
            </w:pPr>
            <w:r>
              <w:rPr>
                <w:rStyle w:val="Bodytext275ptBold"/>
              </w:rPr>
              <w:t>Základní cena (Kč bez DPH1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Úprava dle dodatku č.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9 920,00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Základní cena Licence EIS</w:t>
            </w:r>
            <w:r>
              <w:rPr>
                <w:rStyle w:val="Bodytext275pt"/>
              </w:rPr>
              <w:t xml:space="preserve"> JASU® CS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152 656,00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Celková cena Licence EIS JASU® CS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72" w:h="1013" w:wrap="none" w:vAnchor="page" w:hAnchor="page" w:x="1881" w:y="648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162 576,00</w:t>
            </w:r>
          </w:p>
        </w:tc>
      </w:tr>
    </w:tbl>
    <w:p w:rsidR="00251F37" w:rsidRDefault="00F24F60">
      <w:pPr>
        <w:pStyle w:val="Heading30"/>
        <w:framePr w:w="9629" w:h="3102" w:hRule="exact" w:wrap="none" w:vAnchor="page" w:hAnchor="page" w:x="1113" w:y="7832"/>
        <w:shd w:val="clear" w:color="auto" w:fill="auto"/>
        <w:spacing w:before="0" w:after="135"/>
        <w:ind w:left="960"/>
      </w:pPr>
      <w:bookmarkStart w:id="0" w:name="bookmark0"/>
      <w:r>
        <w:t>Změna článku 8, odst. 8.1.1</w:t>
      </w:r>
      <w:bookmarkEnd w:id="0"/>
    </w:p>
    <w:p w:rsidR="00251F37" w:rsidRDefault="00F24F60">
      <w:pPr>
        <w:pStyle w:val="Bodytext20"/>
        <w:framePr w:w="9629" w:h="3102" w:hRule="exact" w:wrap="none" w:vAnchor="page" w:hAnchor="page" w:x="1113" w:y="7832"/>
        <w:numPr>
          <w:ilvl w:val="0"/>
          <w:numId w:val="2"/>
        </w:numPr>
        <w:shd w:val="clear" w:color="auto" w:fill="auto"/>
        <w:tabs>
          <w:tab w:val="left" w:pos="950"/>
        </w:tabs>
        <w:spacing w:after="245" w:line="230" w:lineRule="exact"/>
        <w:ind w:left="960"/>
        <w:jc w:val="both"/>
      </w:pPr>
      <w:r>
        <w:t xml:space="preserve">Cena včetně DPH za pořízení Licence systému EIS JASU® CS bude fakturována ke dni vystavení protokolu o předání instalačních médií viz odstavec 3.2. Cena za </w:t>
      </w:r>
      <w:r>
        <w:t>upravený rozsah Licence (používané moduly a počty uživatelů jednotlivých modulů) bude fakturována ke dní předání aktualizovaných licenčních souborů. K těmto dnům se považuje za uskutečněné zdanitelné plnění podle zákona o dani z přidané hodnoty v platném z</w:t>
      </w:r>
      <w:r>
        <w:t>nění.</w:t>
      </w:r>
    </w:p>
    <w:p w:rsidR="00251F37" w:rsidRDefault="00F24F60">
      <w:pPr>
        <w:pStyle w:val="Heading30"/>
        <w:framePr w:w="9629" w:h="3102" w:hRule="exact" w:wrap="none" w:vAnchor="page" w:hAnchor="page" w:x="1113" w:y="7832"/>
        <w:shd w:val="clear" w:color="auto" w:fill="auto"/>
        <w:spacing w:before="0" w:after="131"/>
        <w:ind w:left="960"/>
      </w:pPr>
      <w:bookmarkStart w:id="1" w:name="bookmark1"/>
      <w:r>
        <w:t>Změna článku 8, odst. 8.2.1</w:t>
      </w:r>
      <w:bookmarkEnd w:id="1"/>
    </w:p>
    <w:p w:rsidR="00251F37" w:rsidRDefault="00F24F60">
      <w:pPr>
        <w:pStyle w:val="Bodytext20"/>
        <w:framePr w:w="9629" w:h="3102" w:hRule="exact" w:wrap="none" w:vAnchor="page" w:hAnchor="page" w:x="1113" w:y="7832"/>
        <w:numPr>
          <w:ilvl w:val="0"/>
          <w:numId w:val="3"/>
        </w:numPr>
        <w:shd w:val="clear" w:color="auto" w:fill="auto"/>
        <w:tabs>
          <w:tab w:val="left" w:pos="950"/>
        </w:tabs>
        <w:spacing w:after="0" w:line="235" w:lineRule="exact"/>
        <w:ind w:left="960"/>
        <w:jc w:val="both"/>
      </w:pPr>
      <w:r>
        <w:t>Roční servisní poplatek činí 18 % z celkové základní ceny Licence bez DPH uvedené v odstavci 3.11. K takto určené ceně se připočítává DPH dle sazby stanovené zákonem o DPH v platném znění.</w:t>
      </w:r>
    </w:p>
    <w:p w:rsidR="00251F37" w:rsidRDefault="00F24F60">
      <w:pPr>
        <w:pStyle w:val="Bodytext20"/>
        <w:framePr w:w="9629" w:h="532" w:hRule="exact" w:wrap="none" w:vAnchor="page" w:hAnchor="page" w:x="1113" w:y="11341"/>
        <w:shd w:val="clear" w:color="auto" w:fill="auto"/>
        <w:spacing w:after="0" w:line="235" w:lineRule="exact"/>
        <w:ind w:left="280" w:firstLine="0"/>
        <w:jc w:val="left"/>
      </w:pPr>
      <w:r>
        <w:t xml:space="preserve">Doplatek za rozšíření licencí </w:t>
      </w:r>
      <w:r>
        <w:t>proti smlouvě o dílo tj. 9 920,- Kč bez DPH, 12 003,- Kč včetně 21 % DPH bude uhrazen na základě faktury - daňového dokladu zaslaného zhotovitelem.</w:t>
      </w:r>
    </w:p>
    <w:p w:rsidR="00251F37" w:rsidRDefault="00F24F60">
      <w:pPr>
        <w:pStyle w:val="Bodytext20"/>
        <w:framePr w:wrap="none" w:vAnchor="page" w:hAnchor="page" w:x="1113" w:y="12277"/>
        <w:shd w:val="clear" w:color="auto" w:fill="auto"/>
        <w:spacing w:after="0"/>
        <w:ind w:left="960"/>
        <w:jc w:val="both"/>
      </w:pPr>
      <w:r>
        <w:t>Dodatek je vyhotoven ve dvou exemplářích, každá smluvní strana obdrží jeden exemplář.</w:t>
      </w:r>
    </w:p>
    <w:p w:rsidR="00251F37" w:rsidRDefault="00F24F60">
      <w:pPr>
        <w:pStyle w:val="Bodytext20"/>
        <w:framePr w:w="9629" w:h="2212" w:hRule="exact" w:wrap="none" w:vAnchor="page" w:hAnchor="page" w:x="1113" w:y="12973"/>
        <w:shd w:val="clear" w:color="auto" w:fill="auto"/>
        <w:spacing w:after="460"/>
        <w:ind w:left="960" w:right="633"/>
        <w:jc w:val="both"/>
      </w:pPr>
      <w:r>
        <w:t>Tento dodatek vstupuje</w:t>
      </w:r>
      <w:r>
        <w:t xml:space="preserve"> v platnost a účinnost dnem podpisu oběma smluvními stranami.</w:t>
      </w:r>
    </w:p>
    <w:p w:rsidR="00251F37" w:rsidRDefault="00F24F60">
      <w:pPr>
        <w:pStyle w:val="Bodytext20"/>
        <w:framePr w:w="9629" w:h="2212" w:hRule="exact" w:wrap="none" w:vAnchor="page" w:hAnchor="page" w:x="1113" w:y="12973"/>
        <w:shd w:val="clear" w:color="auto" w:fill="auto"/>
        <w:tabs>
          <w:tab w:val="left" w:pos="3801"/>
          <w:tab w:val="left" w:leader="dot" w:pos="3934"/>
          <w:tab w:val="left" w:pos="6722"/>
          <w:tab w:val="left" w:leader="dot" w:pos="8531"/>
        </w:tabs>
        <w:spacing w:after="240"/>
        <w:ind w:left="960" w:right="633"/>
        <w:jc w:val="both"/>
      </w:pPr>
      <w:r>
        <w:t>Datum:</w:t>
      </w:r>
      <w:r>
        <w:tab/>
      </w:r>
      <w:r>
        <w:tab/>
        <w:t xml:space="preserve"> Datum:</w:t>
      </w:r>
      <w:r>
        <w:tab/>
      </w:r>
      <w:r>
        <w:rPr>
          <w:rStyle w:val="Bodytext2Italic"/>
        </w:rPr>
        <w:t>.</w:t>
      </w:r>
    </w:p>
    <w:p w:rsidR="00251F37" w:rsidRDefault="00F24F60">
      <w:pPr>
        <w:pStyle w:val="Bodytext20"/>
        <w:framePr w:w="9629" w:h="2212" w:hRule="exact" w:wrap="none" w:vAnchor="page" w:hAnchor="page" w:x="1113" w:y="12973"/>
        <w:shd w:val="clear" w:color="auto" w:fill="auto"/>
        <w:tabs>
          <w:tab w:val="left" w:pos="5090"/>
        </w:tabs>
        <w:spacing w:after="263"/>
        <w:ind w:left="960" w:right="633"/>
        <w:jc w:val="both"/>
      </w:pPr>
      <w:r>
        <w:t>Za zhotovitele:</w:t>
      </w:r>
      <w:r>
        <w:tab/>
        <w:t>Za objednatele:</w:t>
      </w:r>
    </w:p>
    <w:p w:rsidR="00251F37" w:rsidRDefault="00251F37">
      <w:pPr>
        <w:framePr w:wrap="none" w:vAnchor="page" w:hAnchor="page" w:x="2716" w:y="14936"/>
      </w:pPr>
    </w:p>
    <w:p w:rsidR="00251F37" w:rsidRDefault="00F24F60">
      <w:pPr>
        <w:pStyle w:val="Bodytext100"/>
        <w:framePr w:w="9629" w:h="504" w:hRule="exact" w:wrap="none" w:vAnchor="page" w:hAnchor="page" w:x="1113" w:y="15353"/>
        <w:shd w:val="clear" w:color="auto" w:fill="auto"/>
        <w:ind w:right="7382"/>
      </w:pPr>
      <w:r>
        <w:t>Politických vězňů 15</w:t>
      </w:r>
      <w:r>
        <w:br/>
      </w:r>
      <w:r>
        <w:rPr>
          <w:rStyle w:val="Bodytext10KodchiangUPC17ptNotBold"/>
        </w:rPr>
        <w:t>110 00 Praha 1</w:t>
      </w:r>
    </w:p>
    <w:p w:rsidR="00251F37" w:rsidRDefault="00F24F60">
      <w:pPr>
        <w:pStyle w:val="Bodytext110"/>
        <w:framePr w:wrap="none" w:vAnchor="page" w:hAnchor="page" w:x="6014" w:y="15386"/>
        <w:shd w:val="clear" w:color="auto" w:fill="auto"/>
      </w:pPr>
      <w:r>
        <w:t>2</w:t>
      </w:r>
    </w:p>
    <w:p w:rsidR="00251F37" w:rsidRDefault="00251F37">
      <w:pPr>
        <w:rPr>
          <w:sz w:val="2"/>
          <w:szCs w:val="2"/>
        </w:rPr>
        <w:sectPr w:rsidR="00251F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37" w:rsidRDefault="00F24F60">
      <w:pPr>
        <w:framePr w:wrap="none" w:vAnchor="page" w:hAnchor="page" w:x="386" w:y="72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"\\\\suk\\home\\belohradsky\\scan\\media\\image3.jpeg"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pt;height:20.25pt">
            <v:imagedata r:id="rId7" r:href="rId8"/>
          </v:shape>
        </w:pict>
      </w:r>
      <w:r>
        <w:fldChar w:fldCharType="end"/>
      </w:r>
    </w:p>
    <w:p w:rsidR="00251F37" w:rsidRDefault="00F24F60">
      <w:pPr>
        <w:pStyle w:val="Bodytext70"/>
        <w:framePr w:w="9403" w:h="1053" w:hRule="exact" w:wrap="none" w:vAnchor="page" w:hAnchor="page" w:x="1226" w:y="2251"/>
        <w:shd w:val="clear" w:color="auto" w:fill="auto"/>
        <w:ind w:left="840"/>
      </w:pPr>
      <w:r>
        <w:t>DODATEK Č. 2 KE SMLOUVĚ O DÍLO</w:t>
      </w:r>
    </w:p>
    <w:p w:rsidR="00251F37" w:rsidRDefault="00F24F60">
      <w:pPr>
        <w:pStyle w:val="Bodytext20"/>
        <w:framePr w:w="9403" w:h="1053" w:hRule="exact" w:wrap="none" w:vAnchor="page" w:hAnchor="page" w:x="1226" w:y="2251"/>
        <w:shd w:val="clear" w:color="auto" w:fill="auto"/>
        <w:spacing w:after="0"/>
        <w:ind w:right="60" w:firstLine="0"/>
      </w:pPr>
      <w:r>
        <w:t>evidované u zhotovitele pod číslem jednacím 1375/15</w:t>
      </w:r>
    </w:p>
    <w:p w:rsidR="00251F37" w:rsidRDefault="00F24F60">
      <w:pPr>
        <w:pStyle w:val="Bodytext20"/>
        <w:framePr w:w="9403" w:h="528" w:hRule="exact" w:wrap="none" w:vAnchor="page" w:hAnchor="page" w:x="1226" w:y="4065"/>
        <w:shd w:val="clear" w:color="auto" w:fill="auto"/>
        <w:spacing w:after="0" w:line="235" w:lineRule="exact"/>
        <w:ind w:firstLine="0"/>
        <w:jc w:val="both"/>
      </w:pPr>
      <w:r>
        <w:t>Tuto</w:t>
      </w:r>
      <w:r>
        <w:t xml:space="preserve"> smlouvu uzavírají v souladu s ustanovením § 2586 a násl, zákona č. 89/2012 Sb., občanského zákoníku, ve znění pozdějších předpisů, tyto 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758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</w:rPr>
              <w:t>Zhotovitel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</w:rPr>
              <w:t>MÚZO Praha s.r.o.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Sídlo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Politických vězňů 15, 110 00 Praha 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Zastoupený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Inq. Petrem </w:t>
            </w:r>
            <w:r>
              <w:rPr>
                <w:rStyle w:val="Bodytext21"/>
              </w:rPr>
              <w:t>Zaoralem a Janem Maršíkem, jednateli s.r.o.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Druh organizace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Bodytext21"/>
              </w:rPr>
              <w:t>společnost s ručením omezeným, zapsaná v obchodním rejstříku vedeném Městským soudem v Praze oddíl C, vložka 24646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49622897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DIČ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CZ49622897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Bankovní spojení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2" w:h="2213" w:wrap="none" w:vAnchor="page" w:hAnchor="page" w:x="1648" w:y="512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(2SOB Praha, č. ú. 482804123/0300</w:t>
            </w:r>
          </w:p>
        </w:tc>
      </w:tr>
    </w:tbl>
    <w:p w:rsidR="00251F37" w:rsidRDefault="00F24F60">
      <w:pPr>
        <w:pStyle w:val="Bodytext20"/>
        <w:framePr w:w="9403" w:h="286" w:hRule="exact" w:wrap="none" w:vAnchor="page" w:hAnchor="page" w:x="1226" w:y="7784"/>
        <w:shd w:val="clear" w:color="auto" w:fill="auto"/>
        <w:spacing w:after="0"/>
        <w:ind w:right="60" w:firstLine="0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763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</w:rPr>
              <w:t>Objednatel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</w:rPr>
              <w:t>Česká filharmonie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Sídlo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Alšovo nábřeží 79/12, 110 00 Praha 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Zastoupený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MgA. Davidem Marečkem, PhD., qenerálním ředitelem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Druh organizace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Příspěvková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00023264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DIC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CZ0Q023264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Bankovní spojení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8707" w:h="1968" w:wrap="none" w:vAnchor="page" w:hAnchor="page" w:x="1644" w:y="848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ČSOB Praha, č. ú. 478646783/0300</w:t>
            </w:r>
          </w:p>
        </w:tc>
      </w:tr>
    </w:tbl>
    <w:p w:rsidR="00251F37" w:rsidRDefault="00251F37">
      <w:pPr>
        <w:rPr>
          <w:sz w:val="2"/>
          <w:szCs w:val="2"/>
        </w:rPr>
        <w:sectPr w:rsidR="00251F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F37" w:rsidRDefault="00F24F60">
      <w:pPr>
        <w:pStyle w:val="Bodytext140"/>
        <w:framePr w:wrap="none" w:vAnchor="page" w:hAnchor="page" w:x="9739" w:y="1421"/>
        <w:shd w:val="clear" w:color="auto" w:fill="auto"/>
      </w:pPr>
      <w:hyperlink r:id="rId9" w:history="1">
        <w:r>
          <w:t>www.mu2o.cz</w:t>
        </w:r>
      </w:hyperlink>
    </w:p>
    <w:p w:rsidR="00251F37" w:rsidRDefault="00F24F60">
      <w:pPr>
        <w:pStyle w:val="Heading30"/>
        <w:framePr w:wrap="none" w:vAnchor="page" w:hAnchor="page" w:x="1311" w:y="1891"/>
        <w:shd w:val="clear" w:color="auto" w:fill="auto"/>
        <w:spacing w:before="0" w:after="0"/>
        <w:ind w:firstLine="0"/>
      </w:pPr>
      <w:bookmarkStart w:id="2" w:name="bookmark6"/>
      <w:r>
        <w:t>Změna článku 3, odst. 3.1. - rozšíření o modul</w:t>
      </w:r>
      <w:r>
        <w:rPr>
          <w:rStyle w:val="Heading3NotBoldNotItalic"/>
        </w:rPr>
        <w:t xml:space="preserve"> </w:t>
      </w:r>
      <w:r>
        <w:t>„Komunikace s ISRS'</w:t>
      </w:r>
      <w:bookmarkEnd w:id="2"/>
    </w:p>
    <w:p w:rsidR="00251F37" w:rsidRDefault="00F24F60">
      <w:pPr>
        <w:pStyle w:val="Bodytext20"/>
        <w:framePr w:w="9408" w:h="526" w:hRule="exact" w:wrap="none" w:vAnchor="page" w:hAnchor="page" w:x="1311" w:y="2488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30" w:lineRule="exact"/>
        <w:ind w:left="620" w:hanging="620"/>
        <w:jc w:val="left"/>
      </w:pPr>
      <w:r>
        <w:t xml:space="preserve">Níže je uveden seznam modulů, ke kterým je poskytnuta Licence, dále pak počty uživatelů v </w:t>
      </w:r>
      <w:r>
        <w:t>jednotlivých modulech.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2117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75ptBold"/>
              </w:rPr>
              <w:t>Tlustý klient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75ptBold"/>
              </w:rPr>
              <w:t>Modul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75ptBold"/>
              </w:rPr>
              <w:t>Počet uživatelů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Podvoiné účetnictví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5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Závazky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Pohledávky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Banka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Pokladna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Příkazy k úhradě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Smlouvy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5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Objednávky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Evidence majetku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3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Skladové hospodářství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Cestovní příkazy tuzemské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2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Cestovní příkazy zahraniční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2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Komunikace s ISRS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62" w:h="2990" w:wrap="none" w:vAnchor="page" w:hAnchor="page" w:x="1915" w:y="3199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bez omezení</w:t>
            </w:r>
          </w:p>
        </w:tc>
      </w:tr>
    </w:tbl>
    <w:p w:rsidR="00251F37" w:rsidRDefault="00F24F60">
      <w:pPr>
        <w:pStyle w:val="Tablecaption20"/>
        <w:framePr w:w="4205" w:h="632" w:hRule="exact" w:wrap="none" w:vAnchor="page" w:hAnchor="page" w:x="1359" w:y="6624"/>
        <w:shd w:val="clear" w:color="auto" w:fill="auto"/>
      </w:pPr>
      <w:r>
        <w:t>Nový odstavec 3.11. v článku 3</w:t>
      </w:r>
    </w:p>
    <w:p w:rsidR="00251F37" w:rsidRDefault="00F24F60">
      <w:pPr>
        <w:pStyle w:val="Tablecaption0"/>
        <w:framePr w:w="4205" w:h="632" w:hRule="exact" w:wrap="none" w:vAnchor="page" w:hAnchor="page" w:x="1359" w:y="6624"/>
        <w:shd w:val="clear" w:color="auto" w:fill="auto"/>
        <w:spacing w:before="0"/>
      </w:pPr>
      <w:r>
        <w:t>3.11 Celková cena Licence EIS JASU® CS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6"/>
        <w:gridCol w:w="2093"/>
      </w:tblGrid>
      <w:tr w:rsidR="00251F3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75ptBold"/>
              </w:rPr>
              <w:t>Licence EIS JASU® CS verze Enterprise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92" w:lineRule="exact"/>
              <w:ind w:left="460" w:firstLine="0"/>
              <w:jc w:val="left"/>
            </w:pPr>
            <w:r>
              <w:rPr>
                <w:rStyle w:val="Bodytext275ptBold"/>
              </w:rPr>
              <w:t>Základní cena (Kč bez DPH)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Úprava dle dodatku č.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9 800,00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Úprava dle dodatku č. 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9 920,00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Základní cena Licence EIS JASU'</w:t>
            </w:r>
            <w:r>
              <w:rPr>
                <w:rStyle w:val="Bodytext275pt"/>
                <w:vertAlign w:val="superscript"/>
              </w:rPr>
              <w:t>8</w:t>
            </w:r>
            <w:r>
              <w:rPr>
                <w:rStyle w:val="Bodytext275pt"/>
              </w:rPr>
              <w:t xml:space="preserve"> CS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152 656,00</w:t>
            </w:r>
          </w:p>
        </w:tc>
      </w:tr>
      <w:tr w:rsidR="00251F3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5pt"/>
              </w:rPr>
              <w:t>Celková cena Licence EIS JASU® CS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37" w:rsidRDefault="00F24F60">
            <w:pPr>
              <w:pStyle w:val="Bodytext20"/>
              <w:framePr w:w="7838" w:h="1210" w:wrap="none" w:vAnchor="page" w:hAnchor="page" w:x="1911" w:y="7216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75pt"/>
              </w:rPr>
              <w:t>172 376,00</w:t>
            </w:r>
          </w:p>
        </w:tc>
      </w:tr>
    </w:tbl>
    <w:p w:rsidR="00251F37" w:rsidRDefault="00F24F60">
      <w:pPr>
        <w:pStyle w:val="Bodytext20"/>
        <w:framePr w:w="9408" w:h="3650" w:hRule="exact" w:wrap="none" w:vAnchor="page" w:hAnchor="page" w:x="1311" w:y="9202"/>
        <w:shd w:val="clear" w:color="auto" w:fill="auto"/>
        <w:spacing w:after="88" w:line="230" w:lineRule="exact"/>
        <w:ind w:firstLine="0"/>
        <w:jc w:val="both"/>
      </w:pPr>
      <w:r>
        <w:t xml:space="preserve">Doplatek za rozšíření licencí proti smlouvě o dílo a dodatku č. 1 tj. 9 800,- Kč bez DPH, 11 858,- Kč včetně 21 % DPH bude uhrazen na základě faktury - </w:t>
      </w:r>
      <w:r>
        <w:t>daňového dokladu zaslaného zhotovitelem.</w:t>
      </w:r>
    </w:p>
    <w:p w:rsidR="00251F37" w:rsidRDefault="00F24F60">
      <w:pPr>
        <w:pStyle w:val="Bodytext20"/>
        <w:framePr w:w="9408" w:h="3650" w:hRule="exact" w:wrap="none" w:vAnchor="page" w:hAnchor="page" w:x="1311" w:y="9202"/>
        <w:shd w:val="clear" w:color="auto" w:fill="auto"/>
        <w:spacing w:after="0" w:line="696" w:lineRule="exact"/>
        <w:ind w:firstLine="0"/>
        <w:jc w:val="both"/>
      </w:pPr>
      <w:r>
        <w:t>Dodatek je vyhotoven ve dvou exemplářích, každá smluvní strana obdrží jeden exemplář.</w:t>
      </w:r>
    </w:p>
    <w:p w:rsidR="00251F37" w:rsidRDefault="00F24F60">
      <w:pPr>
        <w:pStyle w:val="Bodytext20"/>
        <w:framePr w:w="9408" w:h="3650" w:hRule="exact" w:wrap="none" w:vAnchor="page" w:hAnchor="page" w:x="1311" w:y="9202"/>
        <w:shd w:val="clear" w:color="auto" w:fill="auto"/>
        <w:spacing w:after="0" w:line="696" w:lineRule="exact"/>
        <w:ind w:firstLine="0"/>
        <w:jc w:val="both"/>
      </w:pPr>
      <w:r>
        <w:t>Tento dodatek vstupuje v platnost a účinnost dnem podpisu oběma smluvními stranami.</w:t>
      </w:r>
    </w:p>
    <w:p w:rsidR="00251F37" w:rsidRDefault="00F24F60">
      <w:pPr>
        <w:pStyle w:val="Bodytext20"/>
        <w:framePr w:w="9408" w:h="3650" w:hRule="exact" w:wrap="none" w:vAnchor="page" w:hAnchor="page" w:x="1311" w:y="9202"/>
        <w:shd w:val="clear" w:color="auto" w:fill="auto"/>
        <w:tabs>
          <w:tab w:val="left" w:pos="4807"/>
          <w:tab w:val="left" w:pos="7354"/>
        </w:tabs>
        <w:spacing w:after="0" w:line="696" w:lineRule="exact"/>
        <w:ind w:firstLine="0"/>
        <w:jc w:val="both"/>
      </w:pPr>
      <w:r>
        <w:t>Datum:</w:t>
      </w:r>
      <w:r>
        <w:tab/>
        <w:t>Datum:</w:t>
      </w:r>
      <w:r>
        <w:tab/>
        <w:t>I.</w:t>
      </w:r>
    </w:p>
    <w:p w:rsidR="00251F37" w:rsidRDefault="00F24F60">
      <w:pPr>
        <w:pStyle w:val="Bodytext20"/>
        <w:framePr w:w="9408" w:h="3650" w:hRule="exact" w:wrap="none" w:vAnchor="page" w:hAnchor="page" w:x="1311" w:y="9202"/>
        <w:shd w:val="clear" w:color="auto" w:fill="auto"/>
        <w:tabs>
          <w:tab w:val="left" w:pos="4807"/>
        </w:tabs>
        <w:spacing w:after="0" w:line="696" w:lineRule="exact"/>
        <w:ind w:firstLine="0"/>
        <w:jc w:val="both"/>
      </w:pPr>
      <w:r>
        <w:t>Za zhotovitele:</w:t>
      </w:r>
      <w:r>
        <w:tab/>
        <w:t xml:space="preserve">Za </w:t>
      </w:r>
      <w:r>
        <w:t>objednatele:</w:t>
      </w:r>
    </w:p>
    <w:p w:rsidR="00251F37" w:rsidRDefault="00F24F60">
      <w:pPr>
        <w:pStyle w:val="Bodytext150"/>
        <w:framePr w:wrap="none" w:vAnchor="page" w:hAnchor="page" w:x="5938" w:y="15398"/>
        <w:shd w:val="clear" w:color="auto" w:fill="auto"/>
      </w:pPr>
      <w:bookmarkStart w:id="3" w:name="_GoBack"/>
      <w:bookmarkEnd w:id="3"/>
      <w:r>
        <w:t>2</w:t>
      </w:r>
    </w:p>
    <w:p w:rsidR="00251F37" w:rsidRDefault="00251F37">
      <w:pPr>
        <w:rPr>
          <w:sz w:val="2"/>
          <w:szCs w:val="2"/>
        </w:rPr>
      </w:pPr>
    </w:p>
    <w:sectPr w:rsidR="00251F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4F60">
      <w:r>
        <w:separator/>
      </w:r>
    </w:p>
  </w:endnote>
  <w:endnote w:type="continuationSeparator" w:id="0">
    <w:p w:rsidR="00000000" w:rsidRDefault="00F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37" w:rsidRDefault="00251F37"/>
  </w:footnote>
  <w:footnote w:type="continuationSeparator" w:id="0">
    <w:p w:rsidR="00251F37" w:rsidRDefault="00251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7F2"/>
    <w:multiLevelType w:val="multilevel"/>
    <w:tmpl w:val="B5FE4E10"/>
    <w:lvl w:ilvl="0">
      <w:start w:val="1"/>
      <w:numFmt w:val="decimal"/>
      <w:lvlText w:val="3.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A65F6"/>
    <w:multiLevelType w:val="multilevel"/>
    <w:tmpl w:val="963E49CE"/>
    <w:lvl w:ilvl="0">
      <w:start w:val="1"/>
      <w:numFmt w:val="decimal"/>
      <w:lvlText w:val="8.1.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86059"/>
    <w:multiLevelType w:val="multilevel"/>
    <w:tmpl w:val="FAE85E3A"/>
    <w:lvl w:ilvl="0">
      <w:start w:val="1"/>
      <w:numFmt w:val="decimal"/>
      <w:lvlText w:val="8.2.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D3209"/>
    <w:multiLevelType w:val="multilevel"/>
    <w:tmpl w:val="7A7C44EC"/>
    <w:lvl w:ilvl="0">
      <w:start w:val="1"/>
      <w:numFmt w:val="decimal"/>
      <w:lvlText w:val="3.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1F37"/>
    <w:rsid w:val="00251F37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85C6D7-BC7D-4DAD-9ECB-2F47C70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Plantagenet Cherokee" w:eastAsia="Plantagenet Cherokee" w:hAnsi="Plantagenet Cherokee" w:cs="Plantagenet Cherokee"/>
      <w:b w:val="0"/>
      <w:bCs w:val="0"/>
      <w:i/>
      <w:iCs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Meiryo" w:eastAsia="Meiryo" w:hAnsi="Meiryo" w:cs="Meiryo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7NotBold">
    <w:name w:val="Body text (7) + Not Bold"/>
    <w:basedOn w:val="Bodytext7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 (2) + 9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1">
    <w:name w:val="Picture caption (2)"/>
    <w:basedOn w:val="Picturecaption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Meiryo" w:eastAsia="Meiryo" w:hAnsi="Meiryo" w:cs="Meiryo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75ptBold">
    <w:name w:val="Body text (2) + 7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Meiryo" w:eastAsia="Meiryo" w:hAnsi="Meiryo" w:cs="Meiryo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Meiryo" w:eastAsia="Meiryo" w:hAnsi="Meiryo" w:cs="Meiryo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Cambria Math" w:eastAsia="Cambria Math" w:hAnsi="Cambria Math" w:cs="Cambria Math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KodchiangUPC17ptNotBold">
    <w:name w:val="Body text (10) + KodchiangUPC;17 pt;Not Bold"/>
    <w:basedOn w:val="Bodytext10"/>
    <w:rPr>
      <w:rFonts w:ascii="KodchiangUPC" w:eastAsia="KodchiangUPC" w:hAnsi="KodchiangUPC" w:cs="Kodchiang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eiryo" w:eastAsia="Meiryo" w:hAnsi="Meiryo" w:cs="Meiryo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Meiryo" w:eastAsia="Meiryo" w:hAnsi="Meiryo" w:cs="Meiryo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Microsoft PhagsPa" w:eastAsia="Microsoft PhagsPa" w:hAnsi="Microsoft PhagsPa" w:cs="Microsoft PhagsP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GungsuhChe" w:eastAsia="GungsuhChe" w:hAnsi="GungsuhChe" w:cs="GungsuhChe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Standardnpsmoodstavce"/>
    <w:link w:val="Heading20"/>
    <w:rPr>
      <w:rFonts w:ascii="Meiryo" w:eastAsia="Meiryo" w:hAnsi="Meiryo" w:cs="Meiryo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3">
    <w:name w:val="Body text (13)_"/>
    <w:basedOn w:val="Standardnpsmoodstavce"/>
    <w:link w:val="Bodytext130"/>
    <w:rPr>
      <w:rFonts w:ascii="Plantagenet Cherokee" w:eastAsia="Plantagenet Cherokee" w:hAnsi="Plantagenet Cherokee" w:cs="Plantagenet Cheroke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NotBoldNotItalic">
    <w:name w:val="Heading #3 + Not Bold;Not Italic"/>
    <w:basedOn w:val="Heading3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Meiryo95pt">
    <w:name w:val="Picture caption + Meiryo;9.5 pt"/>
    <w:basedOn w:val="Picturecaption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70" w:lineRule="exact"/>
    </w:pPr>
    <w:rPr>
      <w:rFonts w:ascii="Meiryo" w:eastAsia="Meiryo" w:hAnsi="Meiryo" w:cs="Meiryo"/>
      <w:i/>
      <w:iCs/>
      <w:sz w:val="40"/>
      <w:szCs w:val="4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46" w:lineRule="exact"/>
    </w:pPr>
    <w:rPr>
      <w:rFonts w:ascii="Plantagenet Cherokee" w:eastAsia="Plantagenet Cherokee" w:hAnsi="Plantagenet Cherokee" w:cs="Plantagenet Cherokee"/>
      <w:i/>
      <w:iCs/>
      <w:sz w:val="44"/>
      <w:szCs w:val="44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12" w:lineRule="exact"/>
    </w:pPr>
    <w:rPr>
      <w:rFonts w:ascii="Cambria Math" w:eastAsia="Cambria Math" w:hAnsi="Cambria Math" w:cs="Cambria Math"/>
      <w:sz w:val="11"/>
      <w:szCs w:val="11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</w:pPr>
    <w:rPr>
      <w:rFonts w:ascii="Corbel" w:eastAsia="Corbel" w:hAnsi="Corbel" w:cs="Corbel"/>
      <w:sz w:val="13"/>
      <w:szCs w:val="13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470" w:lineRule="exact"/>
    </w:pPr>
    <w:rPr>
      <w:rFonts w:ascii="Meiryo" w:eastAsia="Meiryo" w:hAnsi="Meiryo" w:cs="Meiryo"/>
      <w:b/>
      <w:bCs/>
      <w:sz w:val="40"/>
      <w:szCs w:val="4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20" w:line="224" w:lineRule="exact"/>
      <w:ind w:hanging="680"/>
      <w:jc w:val="center"/>
    </w:pPr>
    <w:rPr>
      <w:rFonts w:ascii="Meiryo" w:eastAsia="Meiryo" w:hAnsi="Meiryo" w:cs="Meiryo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58" w:lineRule="exact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22" w:lineRule="exact"/>
    </w:pPr>
    <w:rPr>
      <w:rFonts w:ascii="Cambria Math" w:eastAsia="Cambria Math" w:hAnsi="Cambria Math" w:cs="Cambria Math"/>
      <w:sz w:val="11"/>
      <w:szCs w:val="1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40" w:line="134" w:lineRule="exact"/>
    </w:pPr>
    <w:rPr>
      <w:rFonts w:ascii="Meiryo" w:eastAsia="Meiryo" w:hAnsi="Meiryo" w:cs="Meiryo"/>
      <w:sz w:val="11"/>
      <w:szCs w:val="11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after="140" w:line="224" w:lineRule="exact"/>
      <w:ind w:hanging="680"/>
      <w:jc w:val="both"/>
    </w:pPr>
    <w:rPr>
      <w:rFonts w:ascii="Meiryo" w:eastAsia="Meiryo" w:hAnsi="Meiryo" w:cs="Meiryo"/>
      <w:b/>
      <w:bCs/>
      <w:i/>
      <w:iCs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after="120" w:line="224" w:lineRule="exact"/>
    </w:pPr>
    <w:rPr>
      <w:rFonts w:ascii="Meiryo" w:eastAsia="Meiryo" w:hAnsi="Meiryo" w:cs="Meiryo"/>
      <w:b/>
      <w:bCs/>
      <w:i/>
      <w:i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before="120" w:line="224" w:lineRule="exact"/>
    </w:pPr>
    <w:rPr>
      <w:rFonts w:ascii="Meiryo" w:eastAsia="Meiryo" w:hAnsi="Meiryo" w:cs="Meiryo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60" w:after="140" w:line="224" w:lineRule="exact"/>
      <w:ind w:hanging="680"/>
      <w:jc w:val="both"/>
      <w:outlineLvl w:val="2"/>
    </w:pPr>
    <w:rPr>
      <w:rFonts w:ascii="Meiryo" w:eastAsia="Meiryo" w:hAnsi="Meiryo" w:cs="Meiryo"/>
      <w:b/>
      <w:bCs/>
      <w:i/>
      <w:i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30" w:lineRule="exact"/>
      <w:jc w:val="center"/>
    </w:pPr>
    <w:rPr>
      <w:rFonts w:ascii="Cambria Math" w:eastAsia="Cambria Math" w:hAnsi="Cambria Math" w:cs="Cambria Math"/>
      <w:b/>
      <w:bCs/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12" w:lineRule="exact"/>
    </w:pPr>
    <w:rPr>
      <w:rFonts w:ascii="Meiryo" w:eastAsia="Meiryo" w:hAnsi="Meiryo" w:cs="Meiryo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70" w:lineRule="exact"/>
      <w:outlineLvl w:val="0"/>
    </w:pPr>
    <w:rPr>
      <w:rFonts w:ascii="Meiryo" w:eastAsia="Meiryo" w:hAnsi="Meiryo" w:cs="Meiryo"/>
      <w:sz w:val="40"/>
      <w:szCs w:val="4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12" w:lineRule="exact"/>
    </w:pPr>
    <w:rPr>
      <w:rFonts w:ascii="Microsoft PhagsPa" w:eastAsia="Microsoft PhagsPa" w:hAnsi="Microsoft PhagsPa" w:cs="Microsoft PhagsPa"/>
      <w:i/>
      <w:iCs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80" w:lineRule="exact"/>
      <w:outlineLvl w:val="1"/>
    </w:pPr>
    <w:rPr>
      <w:rFonts w:ascii="GungsuhChe" w:eastAsia="GungsuhChe" w:hAnsi="GungsuhChe" w:cs="GungsuhChe"/>
      <w:i/>
      <w:iCs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24" w:lineRule="exact"/>
      <w:outlineLvl w:val="1"/>
    </w:pPr>
    <w:rPr>
      <w:rFonts w:ascii="Meiryo" w:eastAsia="Meiryo" w:hAnsi="Meiryo" w:cs="Meiryo"/>
      <w:i/>
      <w:iCs/>
      <w:sz w:val="36"/>
      <w:szCs w:val="36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34" w:lineRule="exact"/>
    </w:pPr>
    <w:rPr>
      <w:rFonts w:ascii="Corbel" w:eastAsia="Corbel" w:hAnsi="Corbel" w:cs="Corbel"/>
      <w:sz w:val="13"/>
      <w:szCs w:val="13"/>
      <w:lang w:val="en-US" w:eastAsia="en-US" w:bidi="en-US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12" w:lineRule="exact"/>
    </w:pPr>
    <w:rPr>
      <w:rFonts w:ascii="Plantagenet Cherokee" w:eastAsia="Plantagenet Cherokee" w:hAnsi="Plantagenet Cherokee" w:cs="Plantagenet Cherokee"/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  <w:jc w:val="both"/>
    </w:pPr>
    <w:rPr>
      <w:rFonts w:ascii="Cambria Math" w:eastAsia="Cambria Math" w:hAnsi="Cambria Math" w:cs="Cambria Math"/>
      <w:sz w:val="21"/>
      <w:szCs w:val="21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200" w:lineRule="exact"/>
    </w:pPr>
    <w:rPr>
      <w:rFonts w:ascii="Meiryo" w:eastAsia="Meiryo" w:hAnsi="Meiryo" w:cs="Meiryo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2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4095</Characters>
  <Application>Microsoft Office Word</Application>
  <DocSecurity>0</DocSecurity>
  <Lines>34</Lines>
  <Paragraphs>9</Paragraphs>
  <ScaleCrop>false</ScaleCrop>
  <Company>Česká filharmonie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Bělohradský Jiří</cp:lastModifiedBy>
  <cp:revision>2</cp:revision>
  <dcterms:created xsi:type="dcterms:W3CDTF">2018-05-25T08:45:00Z</dcterms:created>
  <dcterms:modified xsi:type="dcterms:W3CDTF">2018-05-25T08:46:00Z</dcterms:modified>
</cp:coreProperties>
</file>