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4"/>
      </w:tblGrid>
      <w:tr w:rsidR="000003A6" w:rsidTr="000003A6">
        <w:tc>
          <w:tcPr>
            <w:tcW w:w="0" w:type="auto"/>
          </w:tcPr>
          <w:p w:rsidR="000003A6" w:rsidRPr="00276914" w:rsidRDefault="000003A6" w:rsidP="000003A6">
            <w:pPr>
              <w:rPr>
                <w:rFonts w:ascii="Arial Black" w:hAnsi="Arial Black" w:cs="Arial"/>
                <w:b/>
              </w:rPr>
            </w:pPr>
            <w:r w:rsidRPr="00276914">
              <w:rPr>
                <w:rFonts w:ascii="Arial Black" w:hAnsi="Arial Black" w:cs="Arial"/>
                <w:b/>
              </w:rPr>
              <w:t>Číslo objednávky:</w:t>
            </w:r>
          </w:p>
        </w:tc>
      </w:tr>
      <w:tr w:rsidR="000003A6" w:rsidTr="000003A6">
        <w:tc>
          <w:tcPr>
            <w:tcW w:w="0" w:type="auto"/>
          </w:tcPr>
          <w:p w:rsidR="000003A6" w:rsidRPr="00276914" w:rsidRDefault="000003A6" w:rsidP="00E620EE">
            <w:pPr>
              <w:rPr>
                <w:rFonts w:ascii="Arial Black" w:hAnsi="Arial Black" w:cs="Arial"/>
                <w:b/>
              </w:rPr>
            </w:pPr>
            <w:r w:rsidRPr="00276914">
              <w:rPr>
                <w:rFonts w:ascii="Arial Black" w:hAnsi="Arial Black" w:cs="Arial"/>
                <w:b/>
              </w:rPr>
              <w:t>OB</w:t>
            </w:r>
            <w:r w:rsidR="00285A6A">
              <w:rPr>
                <w:rFonts w:ascii="Arial Black" w:hAnsi="Arial Black" w:cs="Arial"/>
                <w:b/>
              </w:rPr>
              <w:t>0</w:t>
            </w:r>
            <w:r w:rsidR="00E620EE">
              <w:rPr>
                <w:rFonts w:ascii="Arial Black" w:hAnsi="Arial Black" w:cs="Arial"/>
                <w:b/>
              </w:rPr>
              <w:t>____</w:t>
            </w:r>
            <w:r w:rsidR="00F5378D">
              <w:rPr>
                <w:rFonts w:ascii="Arial Black" w:hAnsi="Arial Black" w:cs="Arial"/>
                <w:b/>
              </w:rPr>
              <w:t>___________</w:t>
            </w:r>
            <w:r w:rsidR="00285A6A">
              <w:rPr>
                <w:rFonts w:ascii="Arial Black" w:hAnsi="Arial Black" w:cs="Arial"/>
                <w:b/>
              </w:rPr>
              <w:t>-</w:t>
            </w:r>
            <w:r w:rsidRPr="00276914">
              <w:rPr>
                <w:rFonts w:ascii="Arial Black" w:hAnsi="Arial Black" w:cs="Arial"/>
                <w:b/>
              </w:rPr>
              <w:t>16</w:t>
            </w:r>
          </w:p>
        </w:tc>
      </w:tr>
      <w:tr w:rsidR="00285A6A" w:rsidTr="000003A6">
        <w:tc>
          <w:tcPr>
            <w:tcW w:w="0" w:type="auto"/>
          </w:tcPr>
          <w:p w:rsidR="00285A6A" w:rsidRPr="00285A6A" w:rsidRDefault="00E620EE" w:rsidP="00DC42AD">
            <w:pPr>
              <w:rPr>
                <w:rFonts w:ascii="Arial" w:hAnsi="Arial" w:cs="Arial"/>
                <w:b/>
              </w:rPr>
            </w:pPr>
            <w:r>
              <w:rPr>
                <w:rFonts w:ascii="Arial" w:hAnsi="Arial" w:cs="Arial"/>
                <w:b/>
              </w:rPr>
              <w:t xml:space="preserve">Čj.: </w:t>
            </w:r>
            <w:r w:rsidR="00F5378D" w:rsidRPr="00F5378D">
              <w:rPr>
                <w:rFonts w:ascii="Arial" w:hAnsi="Arial" w:cs="Arial"/>
                <w:b/>
              </w:rPr>
              <w:t>ČOI 139488/16/O100</w:t>
            </w:r>
          </w:p>
        </w:tc>
      </w:tr>
    </w:tbl>
    <w:p w:rsidR="007951E0" w:rsidRPr="006B0111" w:rsidRDefault="007951E0" w:rsidP="007951E0">
      <w:pPr>
        <w:spacing w:after="0" w:line="240" w:lineRule="auto"/>
        <w:rPr>
          <w:rFonts w:ascii="Arial" w:hAnsi="Arial" w:cs="Arial"/>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6"/>
        <w:gridCol w:w="2173"/>
      </w:tblGrid>
      <w:tr w:rsidR="00772489" w:rsidTr="00C403CE">
        <w:tc>
          <w:tcPr>
            <w:tcW w:w="0" w:type="auto"/>
            <w:vAlign w:val="center"/>
          </w:tcPr>
          <w:p w:rsidR="00772489" w:rsidRDefault="000003A6" w:rsidP="00C403CE">
            <w:pPr>
              <w:rPr>
                <w:rFonts w:ascii="Arial" w:hAnsi="Arial" w:cs="Arial"/>
              </w:rPr>
            </w:pPr>
            <w:r>
              <w:rPr>
                <w:rFonts w:ascii="Arial" w:hAnsi="Arial" w:cs="Arial"/>
              </w:rPr>
              <w:t>Datum vystavení:</w:t>
            </w:r>
          </w:p>
        </w:tc>
        <w:tc>
          <w:tcPr>
            <w:tcW w:w="0" w:type="auto"/>
            <w:vAlign w:val="center"/>
          </w:tcPr>
          <w:p w:rsidR="00772489" w:rsidRPr="00782C9A" w:rsidRDefault="00772489" w:rsidP="00C403CE">
            <w:pPr>
              <w:jc w:val="both"/>
              <w:rPr>
                <w:rFonts w:ascii="Arial" w:hAnsi="Arial" w:cs="Arial"/>
              </w:rPr>
            </w:pPr>
          </w:p>
        </w:tc>
      </w:tr>
      <w:tr w:rsidR="000003A6" w:rsidTr="00C403CE">
        <w:tc>
          <w:tcPr>
            <w:tcW w:w="0" w:type="auto"/>
            <w:vAlign w:val="center"/>
          </w:tcPr>
          <w:p w:rsidR="000003A6" w:rsidRDefault="000003A6" w:rsidP="00C403CE">
            <w:pPr>
              <w:rPr>
                <w:rFonts w:ascii="Arial" w:hAnsi="Arial" w:cs="Arial"/>
              </w:rPr>
            </w:pPr>
            <w:r>
              <w:rPr>
                <w:rFonts w:ascii="Arial" w:hAnsi="Arial" w:cs="Arial"/>
              </w:rPr>
              <w:t>Vyřizuje:</w:t>
            </w:r>
          </w:p>
        </w:tc>
        <w:tc>
          <w:tcPr>
            <w:tcW w:w="0" w:type="auto"/>
            <w:vAlign w:val="center"/>
          </w:tcPr>
          <w:p w:rsidR="000003A6" w:rsidRPr="00782C9A" w:rsidRDefault="0056798A" w:rsidP="00C403CE">
            <w:pPr>
              <w:jc w:val="both"/>
              <w:rPr>
                <w:rStyle w:val="detail"/>
                <w:rFonts w:ascii="Arial" w:hAnsi="Arial" w:cs="Arial"/>
              </w:rPr>
            </w:pPr>
            <w:r>
              <w:rPr>
                <w:rStyle w:val="detail"/>
                <w:rFonts w:ascii="Arial" w:hAnsi="Arial" w:cs="Arial"/>
              </w:rPr>
              <w:t xml:space="preserve">PhDr. </w:t>
            </w:r>
            <w:r w:rsidR="006B1920">
              <w:rPr>
                <w:rStyle w:val="detail"/>
                <w:rFonts w:ascii="Arial" w:hAnsi="Arial" w:cs="Arial"/>
              </w:rPr>
              <w:t xml:space="preserve">Jan </w:t>
            </w:r>
            <w:r>
              <w:rPr>
                <w:rStyle w:val="detail"/>
                <w:rFonts w:ascii="Arial" w:hAnsi="Arial" w:cs="Arial"/>
              </w:rPr>
              <w:t>Krňanský</w:t>
            </w:r>
          </w:p>
        </w:tc>
      </w:tr>
      <w:tr w:rsidR="000003A6" w:rsidTr="00C403CE">
        <w:tc>
          <w:tcPr>
            <w:tcW w:w="0" w:type="auto"/>
            <w:vAlign w:val="center"/>
          </w:tcPr>
          <w:p w:rsidR="000003A6" w:rsidRDefault="0056798A" w:rsidP="00C403CE">
            <w:pPr>
              <w:rPr>
                <w:rFonts w:ascii="Arial" w:hAnsi="Arial" w:cs="Arial"/>
              </w:rPr>
            </w:pPr>
            <w:r>
              <w:rPr>
                <w:rFonts w:ascii="Arial" w:hAnsi="Arial" w:cs="Arial"/>
              </w:rPr>
              <w:t>Telefon:</w:t>
            </w:r>
          </w:p>
        </w:tc>
        <w:tc>
          <w:tcPr>
            <w:tcW w:w="0" w:type="auto"/>
            <w:vAlign w:val="center"/>
          </w:tcPr>
          <w:p w:rsidR="000003A6" w:rsidRPr="00782C9A" w:rsidRDefault="003B332C" w:rsidP="00C403CE">
            <w:pPr>
              <w:jc w:val="both"/>
              <w:rPr>
                <w:rStyle w:val="detail"/>
                <w:rFonts w:ascii="Arial" w:hAnsi="Arial" w:cs="Arial"/>
              </w:rPr>
            </w:pPr>
            <w:r>
              <w:rPr>
                <w:rStyle w:val="detail"/>
                <w:rFonts w:ascii="Arial" w:hAnsi="Arial" w:cs="Arial"/>
              </w:rPr>
              <w:t xml:space="preserve">(+420) </w:t>
            </w:r>
            <w:r w:rsidR="0056798A">
              <w:rPr>
                <w:rStyle w:val="detail"/>
                <w:rFonts w:ascii="Arial" w:hAnsi="Arial" w:cs="Arial"/>
              </w:rPr>
              <w:t>296</w:t>
            </w:r>
            <w:r>
              <w:rPr>
                <w:rStyle w:val="detail"/>
                <w:rFonts w:ascii="Arial" w:hAnsi="Arial" w:cs="Arial"/>
              </w:rPr>
              <w:t> </w:t>
            </w:r>
            <w:r w:rsidR="0056798A">
              <w:rPr>
                <w:rStyle w:val="detail"/>
                <w:rFonts w:ascii="Arial" w:hAnsi="Arial" w:cs="Arial"/>
              </w:rPr>
              <w:t>366</w:t>
            </w:r>
            <w:r>
              <w:rPr>
                <w:rStyle w:val="detail"/>
                <w:rFonts w:ascii="Arial" w:hAnsi="Arial" w:cs="Arial"/>
              </w:rPr>
              <w:t xml:space="preserve"> </w:t>
            </w:r>
            <w:r w:rsidR="0056798A">
              <w:rPr>
                <w:rStyle w:val="detail"/>
                <w:rFonts w:ascii="Arial" w:hAnsi="Arial" w:cs="Arial"/>
              </w:rPr>
              <w:t>177</w:t>
            </w:r>
          </w:p>
        </w:tc>
      </w:tr>
      <w:tr w:rsidR="000003A6" w:rsidTr="00C403CE">
        <w:tc>
          <w:tcPr>
            <w:tcW w:w="0" w:type="auto"/>
            <w:vAlign w:val="center"/>
          </w:tcPr>
          <w:p w:rsidR="000003A6" w:rsidRDefault="0056798A" w:rsidP="00C403CE">
            <w:pPr>
              <w:rPr>
                <w:rFonts w:ascii="Arial" w:hAnsi="Arial" w:cs="Arial"/>
              </w:rPr>
            </w:pPr>
            <w:r>
              <w:rPr>
                <w:rFonts w:ascii="Arial" w:hAnsi="Arial" w:cs="Arial"/>
              </w:rPr>
              <w:t>Email:</w:t>
            </w:r>
          </w:p>
        </w:tc>
        <w:tc>
          <w:tcPr>
            <w:tcW w:w="0" w:type="auto"/>
            <w:vAlign w:val="center"/>
          </w:tcPr>
          <w:p w:rsidR="000003A6" w:rsidRPr="00782C9A" w:rsidRDefault="0056798A" w:rsidP="00C403CE">
            <w:pPr>
              <w:jc w:val="both"/>
              <w:rPr>
                <w:rStyle w:val="detail"/>
                <w:rFonts w:ascii="Arial" w:hAnsi="Arial" w:cs="Arial"/>
              </w:rPr>
            </w:pPr>
            <w:r>
              <w:rPr>
                <w:rStyle w:val="detail"/>
                <w:rFonts w:ascii="Arial" w:hAnsi="Arial" w:cs="Arial"/>
              </w:rPr>
              <w:t>jkrnansky@coi.cz</w:t>
            </w:r>
          </w:p>
        </w:tc>
      </w:tr>
    </w:tbl>
    <w:p w:rsidR="00772489" w:rsidRPr="006B0111" w:rsidRDefault="00772489" w:rsidP="007951E0">
      <w:pPr>
        <w:spacing w:after="0" w:line="240" w:lineRule="auto"/>
        <w:rPr>
          <w:rFonts w:ascii="Arial" w:hAnsi="Arial" w:cs="Arial"/>
          <w:sz w:val="16"/>
          <w:szCs w:val="16"/>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282"/>
        <w:gridCol w:w="4393"/>
      </w:tblGrid>
      <w:tr w:rsidR="00E033F9" w:rsidTr="00601490">
        <w:tc>
          <w:tcPr>
            <w:tcW w:w="2501" w:type="pct"/>
            <w:vAlign w:val="center"/>
          </w:tcPr>
          <w:p w:rsidR="00E033F9" w:rsidRPr="0056798A" w:rsidRDefault="00E033F9" w:rsidP="00A74C0F">
            <w:pPr>
              <w:rPr>
                <w:rFonts w:ascii="Arial" w:hAnsi="Arial" w:cs="Arial"/>
                <w:b/>
              </w:rPr>
            </w:pPr>
            <w:r w:rsidRPr="0056798A">
              <w:rPr>
                <w:rFonts w:ascii="Arial" w:hAnsi="Arial" w:cs="Arial"/>
                <w:b/>
              </w:rPr>
              <w:t>Identifikační údaje odběratele:</w:t>
            </w:r>
          </w:p>
        </w:tc>
        <w:tc>
          <w:tcPr>
            <w:tcW w:w="151" w:type="pct"/>
            <w:vMerge w:val="restart"/>
            <w:vAlign w:val="center"/>
          </w:tcPr>
          <w:p w:rsidR="00E033F9" w:rsidRPr="0056798A" w:rsidRDefault="00E033F9" w:rsidP="006B1920">
            <w:pPr>
              <w:rPr>
                <w:rFonts w:ascii="Arial" w:hAnsi="Arial" w:cs="Arial"/>
                <w:b/>
              </w:rPr>
            </w:pPr>
          </w:p>
        </w:tc>
        <w:tc>
          <w:tcPr>
            <w:tcW w:w="2348" w:type="pct"/>
          </w:tcPr>
          <w:p w:rsidR="00E033F9" w:rsidRPr="0056798A" w:rsidRDefault="00E033F9" w:rsidP="00A74C0F">
            <w:pPr>
              <w:rPr>
                <w:rFonts w:ascii="Arial" w:hAnsi="Arial" w:cs="Arial"/>
                <w:b/>
              </w:rPr>
            </w:pPr>
            <w:r>
              <w:rPr>
                <w:rFonts w:ascii="Arial" w:hAnsi="Arial" w:cs="Arial"/>
                <w:b/>
              </w:rPr>
              <w:t>Identifikační údaje dodavatele:</w:t>
            </w:r>
          </w:p>
        </w:tc>
      </w:tr>
      <w:tr w:rsidR="00E033F9" w:rsidTr="00601490">
        <w:tc>
          <w:tcPr>
            <w:tcW w:w="2501" w:type="pct"/>
            <w:vAlign w:val="center"/>
          </w:tcPr>
          <w:p w:rsidR="00E033F9" w:rsidRDefault="00E033F9" w:rsidP="00A74C0F">
            <w:pPr>
              <w:rPr>
                <w:rFonts w:ascii="Arial" w:hAnsi="Arial" w:cs="Arial"/>
              </w:rPr>
            </w:pPr>
            <w:r>
              <w:rPr>
                <w:rFonts w:ascii="Arial" w:hAnsi="Arial" w:cs="Arial"/>
              </w:rPr>
              <w:t>Česká republika – Česká obchodní inspekce</w:t>
            </w:r>
          </w:p>
        </w:tc>
        <w:tc>
          <w:tcPr>
            <w:tcW w:w="151" w:type="pct"/>
            <w:vMerge/>
          </w:tcPr>
          <w:p w:rsidR="00E033F9" w:rsidRDefault="00E033F9" w:rsidP="00A74C0F">
            <w:pPr>
              <w:rPr>
                <w:rFonts w:ascii="Arial" w:hAnsi="Arial" w:cs="Arial"/>
              </w:rPr>
            </w:pPr>
          </w:p>
        </w:tc>
        <w:tc>
          <w:tcPr>
            <w:tcW w:w="2348" w:type="pct"/>
          </w:tcPr>
          <w:p w:rsidR="00E033F9" w:rsidRDefault="00F5378D" w:rsidP="00674A32">
            <w:pPr>
              <w:rPr>
                <w:rFonts w:ascii="Arial" w:hAnsi="Arial" w:cs="Arial"/>
              </w:rPr>
            </w:pPr>
            <w:r>
              <w:rPr>
                <w:rFonts w:ascii="Arial" w:hAnsi="Arial" w:cs="Arial"/>
              </w:rPr>
              <w:t>Strojírenský zkušební ústav s. p.</w:t>
            </w:r>
          </w:p>
        </w:tc>
      </w:tr>
      <w:tr w:rsidR="003F19D4" w:rsidTr="00601490">
        <w:tc>
          <w:tcPr>
            <w:tcW w:w="2501" w:type="pct"/>
            <w:vAlign w:val="center"/>
          </w:tcPr>
          <w:p w:rsidR="003F19D4" w:rsidRDefault="003F19D4" w:rsidP="003F19D4">
            <w:pPr>
              <w:rPr>
                <w:rFonts w:ascii="Arial" w:hAnsi="Arial" w:cs="Arial"/>
              </w:rPr>
            </w:pPr>
            <w:r>
              <w:rPr>
                <w:rFonts w:ascii="Arial" w:hAnsi="Arial" w:cs="Arial"/>
              </w:rPr>
              <w:t>Štěpánská 567/15, 120 00 Praha 2</w:t>
            </w:r>
          </w:p>
        </w:tc>
        <w:tc>
          <w:tcPr>
            <w:tcW w:w="151" w:type="pct"/>
            <w:vMerge/>
          </w:tcPr>
          <w:p w:rsidR="003F19D4" w:rsidRDefault="003F19D4" w:rsidP="003F19D4">
            <w:pPr>
              <w:rPr>
                <w:rFonts w:ascii="Arial" w:hAnsi="Arial" w:cs="Arial"/>
              </w:rPr>
            </w:pPr>
          </w:p>
        </w:tc>
        <w:tc>
          <w:tcPr>
            <w:tcW w:w="2348" w:type="pct"/>
          </w:tcPr>
          <w:p w:rsidR="003F19D4" w:rsidRDefault="00F5378D" w:rsidP="003F19D4">
            <w:pPr>
              <w:rPr>
                <w:rFonts w:ascii="Arial" w:hAnsi="Arial" w:cs="Arial"/>
              </w:rPr>
            </w:pPr>
            <w:r>
              <w:rPr>
                <w:rFonts w:ascii="Arial" w:hAnsi="Arial" w:cs="Arial"/>
              </w:rPr>
              <w:t>Hudcova 424/56b, 621 00 Brno</w:t>
            </w:r>
          </w:p>
        </w:tc>
      </w:tr>
      <w:tr w:rsidR="003F19D4" w:rsidTr="00601490">
        <w:tc>
          <w:tcPr>
            <w:tcW w:w="2501" w:type="pct"/>
            <w:vAlign w:val="center"/>
          </w:tcPr>
          <w:p w:rsidR="003F19D4" w:rsidRDefault="00F712F6" w:rsidP="003F19D4">
            <w:pPr>
              <w:rPr>
                <w:rFonts w:ascii="Arial" w:hAnsi="Arial" w:cs="Arial"/>
              </w:rPr>
            </w:pPr>
            <w:r>
              <w:rPr>
                <w:rFonts w:ascii="Arial" w:hAnsi="Arial" w:cs="Arial"/>
              </w:rPr>
              <w:t>IČ: 00020</w:t>
            </w:r>
            <w:r w:rsidR="003F19D4">
              <w:rPr>
                <w:rFonts w:ascii="Arial" w:hAnsi="Arial" w:cs="Arial"/>
              </w:rPr>
              <w:t>869</w:t>
            </w:r>
          </w:p>
        </w:tc>
        <w:tc>
          <w:tcPr>
            <w:tcW w:w="151" w:type="pct"/>
            <w:vMerge/>
          </w:tcPr>
          <w:p w:rsidR="003F19D4" w:rsidRDefault="003F19D4" w:rsidP="003F19D4">
            <w:pPr>
              <w:rPr>
                <w:rFonts w:ascii="Arial" w:hAnsi="Arial" w:cs="Arial"/>
              </w:rPr>
            </w:pPr>
          </w:p>
        </w:tc>
        <w:tc>
          <w:tcPr>
            <w:tcW w:w="2348" w:type="pct"/>
          </w:tcPr>
          <w:p w:rsidR="003F19D4" w:rsidRDefault="00F5378D" w:rsidP="00C71B99">
            <w:pPr>
              <w:rPr>
                <w:rFonts w:ascii="Arial" w:hAnsi="Arial" w:cs="Arial"/>
              </w:rPr>
            </w:pPr>
            <w:r>
              <w:rPr>
                <w:rFonts w:ascii="Arial" w:hAnsi="Arial" w:cs="Arial"/>
              </w:rPr>
              <w:t>IČ: 00001490</w:t>
            </w:r>
          </w:p>
        </w:tc>
      </w:tr>
      <w:tr w:rsidR="00CB079E" w:rsidTr="00601490">
        <w:tc>
          <w:tcPr>
            <w:tcW w:w="2501" w:type="pct"/>
            <w:vAlign w:val="center"/>
          </w:tcPr>
          <w:p w:rsidR="00CB079E" w:rsidRDefault="00CB079E" w:rsidP="003F19D4">
            <w:pPr>
              <w:rPr>
                <w:rFonts w:ascii="Arial" w:hAnsi="Arial" w:cs="Arial"/>
              </w:rPr>
            </w:pPr>
          </w:p>
        </w:tc>
        <w:tc>
          <w:tcPr>
            <w:tcW w:w="151" w:type="pct"/>
          </w:tcPr>
          <w:p w:rsidR="00CB079E" w:rsidRDefault="00CB079E" w:rsidP="003F19D4">
            <w:pPr>
              <w:rPr>
                <w:rFonts w:ascii="Arial" w:hAnsi="Arial" w:cs="Arial"/>
              </w:rPr>
            </w:pPr>
          </w:p>
        </w:tc>
        <w:tc>
          <w:tcPr>
            <w:tcW w:w="2348" w:type="pct"/>
          </w:tcPr>
          <w:p w:rsidR="00CB079E" w:rsidRDefault="00CB079E" w:rsidP="00CB079E">
            <w:pPr>
              <w:rPr>
                <w:rFonts w:ascii="Arial" w:hAnsi="Arial" w:cs="Arial"/>
              </w:rPr>
            </w:pPr>
            <w:r>
              <w:rPr>
                <w:rFonts w:ascii="Arial" w:hAnsi="Arial" w:cs="Arial"/>
              </w:rPr>
              <w:t>Subjekt j</w:t>
            </w:r>
            <w:bookmarkStart w:id="0" w:name="_GoBack"/>
            <w:bookmarkEnd w:id="0"/>
            <w:r>
              <w:rPr>
                <w:rFonts w:ascii="Arial" w:hAnsi="Arial" w:cs="Arial"/>
              </w:rPr>
              <w:t>e plátcem DPH</w:t>
            </w:r>
          </w:p>
        </w:tc>
      </w:tr>
    </w:tbl>
    <w:p w:rsidR="007951E0" w:rsidRDefault="007951E0" w:rsidP="00C661E0">
      <w:pPr>
        <w:spacing w:after="0" w:line="240" w:lineRule="auto"/>
        <w:rPr>
          <w:rFonts w:ascii="Arial" w:hAnsi="Arial" w:cs="Arial"/>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C31C3" w:rsidTr="00A74C0F">
        <w:tc>
          <w:tcPr>
            <w:tcW w:w="0" w:type="auto"/>
            <w:vAlign w:val="center"/>
          </w:tcPr>
          <w:p w:rsidR="007414ED" w:rsidRDefault="006C31C3" w:rsidP="007414ED">
            <w:pPr>
              <w:jc w:val="both"/>
              <w:rPr>
                <w:rFonts w:ascii="Arial" w:hAnsi="Arial" w:cs="Arial"/>
              </w:rPr>
            </w:pPr>
            <w:r>
              <w:rPr>
                <w:rFonts w:ascii="Arial" w:hAnsi="Arial" w:cs="Arial"/>
              </w:rPr>
              <w:t xml:space="preserve">Objednávka vystavena na základě výsledku veřejné zakázky malého rozsahu na </w:t>
            </w:r>
            <w:r w:rsidR="00F5378D">
              <w:rPr>
                <w:rFonts w:ascii="Arial" w:hAnsi="Arial" w:cs="Arial"/>
              </w:rPr>
              <w:t>služby (laboratorní zkoušky výrobků – elektricky napájené lázně), konkrétně vzorků</w:t>
            </w:r>
            <w:r w:rsidR="00F46D98">
              <w:rPr>
                <w:rFonts w:ascii="Arial" w:hAnsi="Arial" w:cs="Arial"/>
              </w:rPr>
              <w:t>:</w:t>
            </w:r>
          </w:p>
          <w:p w:rsidR="00E50A70" w:rsidRPr="007414ED" w:rsidRDefault="00E50A70" w:rsidP="007414ED">
            <w:pPr>
              <w:pStyle w:val="Odstavecseseznamem"/>
              <w:numPr>
                <w:ilvl w:val="0"/>
                <w:numId w:val="8"/>
              </w:numPr>
              <w:ind w:left="357" w:hanging="357"/>
              <w:jc w:val="both"/>
              <w:rPr>
                <w:rFonts w:ascii="Arial" w:hAnsi="Arial" w:cs="Arial"/>
              </w:rPr>
            </w:pPr>
            <w:r w:rsidRPr="007414ED">
              <w:rPr>
                <w:rFonts w:ascii="Arial" w:hAnsi="Arial" w:cs="Arial"/>
              </w:rPr>
              <w:t>č. 2169_S (mobilní vířivka Bestway Lay-Spa 54112)</w:t>
            </w:r>
          </w:p>
          <w:p w:rsidR="00E50A70" w:rsidRDefault="00E50A70" w:rsidP="00F46D98">
            <w:pPr>
              <w:pStyle w:val="Odstavecseseznamem"/>
              <w:numPr>
                <w:ilvl w:val="0"/>
                <w:numId w:val="8"/>
              </w:numPr>
              <w:ind w:left="357" w:hanging="357"/>
              <w:jc w:val="both"/>
              <w:rPr>
                <w:rFonts w:ascii="Arial" w:hAnsi="Arial" w:cs="Arial"/>
              </w:rPr>
            </w:pPr>
            <w:r>
              <w:rPr>
                <w:rFonts w:ascii="Arial" w:hAnsi="Arial" w:cs="Arial"/>
              </w:rPr>
              <w:t>č. 2171_S (mobilní vířivka INTEX Pure Spa De Luxe HWS 800 SJB-HS-20)</w:t>
            </w:r>
          </w:p>
          <w:p w:rsidR="00E50A70" w:rsidRDefault="00E50A70" w:rsidP="00F46D98">
            <w:pPr>
              <w:pStyle w:val="Odstavecseseznamem"/>
              <w:numPr>
                <w:ilvl w:val="0"/>
                <w:numId w:val="8"/>
              </w:numPr>
              <w:ind w:left="357" w:hanging="357"/>
              <w:jc w:val="both"/>
              <w:rPr>
                <w:rFonts w:ascii="Arial" w:hAnsi="Arial" w:cs="Arial"/>
              </w:rPr>
            </w:pPr>
            <w:r>
              <w:rPr>
                <w:rFonts w:ascii="Arial" w:hAnsi="Arial" w:cs="Arial"/>
              </w:rPr>
              <w:t>č. 2172_S (mobilní vířivý bazén INTEX Pure Spa Bubble HWS modrý SSP-H-20-2)</w:t>
            </w:r>
          </w:p>
          <w:p w:rsidR="00E50A70" w:rsidRDefault="00E50A70" w:rsidP="00F46D98">
            <w:pPr>
              <w:pStyle w:val="Odstavecseseznamem"/>
              <w:numPr>
                <w:ilvl w:val="0"/>
                <w:numId w:val="8"/>
              </w:numPr>
              <w:ind w:left="357" w:hanging="357"/>
              <w:jc w:val="both"/>
              <w:rPr>
                <w:rFonts w:ascii="Arial" w:hAnsi="Arial" w:cs="Arial"/>
              </w:rPr>
            </w:pPr>
            <w:r>
              <w:rPr>
                <w:rFonts w:ascii="Arial" w:hAnsi="Arial" w:cs="Arial"/>
              </w:rPr>
              <w:t>č. 2173_S (nafukovací vířivka BIRKIN MSpa M-123S)</w:t>
            </w:r>
          </w:p>
          <w:p w:rsidR="00E50A70" w:rsidRPr="00E50A70" w:rsidRDefault="00E50A70" w:rsidP="00F46D98">
            <w:pPr>
              <w:pStyle w:val="Odstavecseseznamem"/>
              <w:numPr>
                <w:ilvl w:val="0"/>
                <w:numId w:val="8"/>
              </w:numPr>
              <w:ind w:left="357" w:hanging="357"/>
              <w:jc w:val="both"/>
              <w:rPr>
                <w:rFonts w:ascii="Arial" w:hAnsi="Arial" w:cs="Arial"/>
              </w:rPr>
            </w:pPr>
            <w:r>
              <w:rPr>
                <w:rFonts w:ascii="Arial" w:hAnsi="Arial" w:cs="Arial"/>
              </w:rPr>
              <w:t>č. 2174_S (mobilní vířivka Belatrix Relax 115 PH050013)</w:t>
            </w:r>
          </w:p>
        </w:tc>
      </w:tr>
    </w:tbl>
    <w:p w:rsidR="007951E0" w:rsidRDefault="007951E0" w:rsidP="007951E0">
      <w:pPr>
        <w:spacing w:after="0" w:line="240" w:lineRule="auto"/>
        <w:rPr>
          <w:rFonts w:ascii="Arial" w:hAnsi="Arial" w:cs="Arial"/>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220"/>
      </w:tblGrid>
      <w:tr w:rsidR="003E5558" w:rsidTr="003E5558">
        <w:tc>
          <w:tcPr>
            <w:tcW w:w="1134" w:type="dxa"/>
            <w:vAlign w:val="center"/>
          </w:tcPr>
          <w:p w:rsidR="003E5558" w:rsidRDefault="003E5558" w:rsidP="002A5818">
            <w:pPr>
              <w:jc w:val="both"/>
              <w:rPr>
                <w:rFonts w:ascii="Arial" w:hAnsi="Arial" w:cs="Arial"/>
              </w:rPr>
            </w:pPr>
            <w:r>
              <w:rPr>
                <w:rFonts w:ascii="Arial" w:hAnsi="Arial" w:cs="Arial"/>
              </w:rPr>
              <w:t>NIPEZ:</w:t>
            </w:r>
          </w:p>
        </w:tc>
        <w:tc>
          <w:tcPr>
            <w:tcW w:w="8220" w:type="dxa"/>
            <w:vAlign w:val="center"/>
          </w:tcPr>
          <w:p w:rsidR="003E5558" w:rsidRPr="006C31C3" w:rsidRDefault="003E5558" w:rsidP="002A5818">
            <w:pPr>
              <w:jc w:val="both"/>
              <w:rPr>
                <w:rFonts w:ascii="Arial" w:hAnsi="Arial" w:cs="Arial"/>
              </w:rPr>
            </w:pPr>
            <w:proofErr w:type="gramStart"/>
            <w:r>
              <w:rPr>
                <w:rStyle w:val="detail"/>
                <w:rFonts w:ascii="Arial" w:hAnsi="Arial" w:cs="Arial"/>
              </w:rPr>
              <w:t>71632000-7 Technické</w:t>
            </w:r>
            <w:proofErr w:type="gramEnd"/>
            <w:r>
              <w:rPr>
                <w:rStyle w:val="detail"/>
                <w:rFonts w:ascii="Arial" w:hAnsi="Arial" w:cs="Arial"/>
              </w:rPr>
              <w:t xml:space="preserve"> testování</w:t>
            </w:r>
          </w:p>
        </w:tc>
      </w:tr>
    </w:tbl>
    <w:p w:rsidR="003E5558" w:rsidRDefault="003E5558" w:rsidP="007951E0">
      <w:pPr>
        <w:spacing w:after="0" w:line="240" w:lineRule="auto"/>
        <w:rPr>
          <w:rFonts w:ascii="Arial" w:hAnsi="Arial" w:cs="Arial"/>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C31C3" w:rsidRPr="00782C9A" w:rsidTr="00A74C0F">
        <w:tc>
          <w:tcPr>
            <w:tcW w:w="0" w:type="auto"/>
            <w:vAlign w:val="center"/>
          </w:tcPr>
          <w:p w:rsidR="006C31C3" w:rsidRPr="006C31C3" w:rsidRDefault="006C31C3" w:rsidP="00F712F6">
            <w:pPr>
              <w:jc w:val="both"/>
              <w:rPr>
                <w:rFonts w:ascii="Arial" w:hAnsi="Arial" w:cs="Arial"/>
                <w:b/>
              </w:rPr>
            </w:pPr>
            <w:r w:rsidRPr="006C31C3">
              <w:rPr>
                <w:rFonts w:ascii="Arial" w:hAnsi="Arial" w:cs="Arial"/>
                <w:b/>
              </w:rPr>
              <w:t>Podrobná specifikace</w:t>
            </w:r>
            <w:r>
              <w:rPr>
                <w:rFonts w:ascii="Arial" w:hAnsi="Arial" w:cs="Arial"/>
                <w:b/>
              </w:rPr>
              <w:t xml:space="preserve"> </w:t>
            </w:r>
            <w:r w:rsidRPr="006C31C3">
              <w:rPr>
                <w:rFonts w:ascii="Arial" w:hAnsi="Arial" w:cs="Arial"/>
                <w:b/>
              </w:rPr>
              <w:t>předmětu plnění:</w:t>
            </w:r>
          </w:p>
        </w:tc>
      </w:tr>
      <w:tr w:rsidR="006C31C3" w:rsidRPr="00782C9A" w:rsidTr="00A74C0F">
        <w:tc>
          <w:tcPr>
            <w:tcW w:w="0" w:type="auto"/>
            <w:vAlign w:val="center"/>
          </w:tcPr>
          <w:p w:rsidR="002F4E3E" w:rsidRPr="002F4E3E" w:rsidRDefault="002F4E3E" w:rsidP="002F4E3E">
            <w:pPr>
              <w:pStyle w:val="Bezmezer"/>
              <w:jc w:val="both"/>
              <w:rPr>
                <w:rFonts w:ascii="Arial" w:hAnsi="Arial" w:cs="Arial"/>
                <w:sz w:val="22"/>
                <w:szCs w:val="20"/>
              </w:rPr>
            </w:pPr>
            <w:r w:rsidRPr="002F4E3E">
              <w:rPr>
                <w:rFonts w:ascii="Arial" w:hAnsi="Arial" w:cs="Arial"/>
                <w:sz w:val="22"/>
                <w:szCs w:val="20"/>
              </w:rPr>
              <w:t>Provedení akreditovaných laboratorních zkoušek u výrobků odebraných v tržní síti ČR, a sice:</w:t>
            </w:r>
          </w:p>
          <w:p w:rsidR="002F4E3E" w:rsidRDefault="002F4E3E" w:rsidP="002F4E3E">
            <w:pPr>
              <w:pStyle w:val="Bezmezer"/>
              <w:numPr>
                <w:ilvl w:val="0"/>
                <w:numId w:val="5"/>
              </w:numPr>
              <w:ind w:left="357" w:hanging="357"/>
              <w:jc w:val="both"/>
              <w:rPr>
                <w:rFonts w:ascii="Arial" w:hAnsi="Arial" w:cs="Arial"/>
                <w:sz w:val="22"/>
                <w:szCs w:val="20"/>
              </w:rPr>
            </w:pPr>
            <w:r w:rsidRPr="002F4E3E">
              <w:rPr>
                <w:rFonts w:ascii="Arial" w:hAnsi="Arial" w:cs="Arial"/>
                <w:sz w:val="22"/>
                <w:szCs w:val="20"/>
              </w:rPr>
              <w:t>vzorek č. 2169_S (mobilní vířivka Bestway Lay-Z-Spa 54112)</w:t>
            </w:r>
          </w:p>
          <w:p w:rsidR="0035664E" w:rsidRDefault="002F4E3E" w:rsidP="0035664E">
            <w:pPr>
              <w:pStyle w:val="Bezmezer"/>
              <w:numPr>
                <w:ilvl w:val="0"/>
                <w:numId w:val="5"/>
              </w:numPr>
              <w:ind w:left="357" w:hanging="357"/>
              <w:jc w:val="both"/>
              <w:rPr>
                <w:rFonts w:ascii="Arial" w:hAnsi="Arial" w:cs="Arial"/>
                <w:sz w:val="22"/>
                <w:szCs w:val="20"/>
              </w:rPr>
            </w:pPr>
            <w:r w:rsidRPr="002F4E3E">
              <w:rPr>
                <w:rFonts w:ascii="Arial" w:hAnsi="Arial" w:cs="Arial"/>
                <w:sz w:val="22"/>
                <w:szCs w:val="20"/>
              </w:rPr>
              <w:t>vzorek č. 2171_S (mobilní vířivka INTEX Pure Spa De Luxe HWS 800 SJB-HS-20)</w:t>
            </w:r>
          </w:p>
          <w:p w:rsidR="0035664E" w:rsidRDefault="002F4E3E" w:rsidP="0035664E">
            <w:pPr>
              <w:pStyle w:val="Bezmezer"/>
              <w:numPr>
                <w:ilvl w:val="0"/>
                <w:numId w:val="5"/>
              </w:numPr>
              <w:ind w:left="357" w:hanging="357"/>
              <w:jc w:val="both"/>
              <w:rPr>
                <w:rFonts w:ascii="Arial" w:hAnsi="Arial" w:cs="Arial"/>
                <w:sz w:val="22"/>
                <w:szCs w:val="20"/>
              </w:rPr>
            </w:pPr>
            <w:r w:rsidRPr="0035664E">
              <w:rPr>
                <w:rFonts w:ascii="Arial" w:hAnsi="Arial" w:cs="Arial"/>
                <w:sz w:val="22"/>
                <w:szCs w:val="20"/>
              </w:rPr>
              <w:t>vzorek č. 2172_S (mobilní vířivý bazén INTEX Pure Spa Bubble HWS modrý SSP-H-20-2)</w:t>
            </w:r>
          </w:p>
          <w:p w:rsidR="0035664E" w:rsidRDefault="002F4E3E" w:rsidP="0035664E">
            <w:pPr>
              <w:pStyle w:val="Bezmezer"/>
              <w:numPr>
                <w:ilvl w:val="0"/>
                <w:numId w:val="5"/>
              </w:numPr>
              <w:ind w:left="357" w:hanging="357"/>
              <w:jc w:val="both"/>
              <w:rPr>
                <w:rFonts w:ascii="Arial" w:hAnsi="Arial" w:cs="Arial"/>
                <w:sz w:val="22"/>
                <w:szCs w:val="20"/>
              </w:rPr>
            </w:pPr>
            <w:r w:rsidRPr="0035664E">
              <w:rPr>
                <w:rFonts w:ascii="Arial" w:hAnsi="Arial" w:cs="Arial"/>
                <w:sz w:val="22"/>
                <w:szCs w:val="20"/>
              </w:rPr>
              <w:t>vzorek č. 2173_S (nafukovací vířivka BIRKIN MSpa M-123S)</w:t>
            </w:r>
          </w:p>
          <w:p w:rsidR="0035664E" w:rsidRDefault="002F4E3E" w:rsidP="0035664E">
            <w:pPr>
              <w:pStyle w:val="Bezmezer"/>
              <w:numPr>
                <w:ilvl w:val="0"/>
                <w:numId w:val="5"/>
              </w:numPr>
              <w:ind w:left="357" w:hanging="357"/>
              <w:jc w:val="both"/>
              <w:rPr>
                <w:rFonts w:ascii="Arial" w:hAnsi="Arial" w:cs="Arial"/>
                <w:sz w:val="22"/>
                <w:szCs w:val="20"/>
              </w:rPr>
            </w:pPr>
            <w:r w:rsidRPr="0035664E">
              <w:rPr>
                <w:rFonts w:ascii="Arial" w:hAnsi="Arial" w:cs="Arial"/>
                <w:sz w:val="22"/>
                <w:szCs w:val="20"/>
              </w:rPr>
              <w:t>vzorek č. 2174_S (mobilní vířivk</w:t>
            </w:r>
            <w:r w:rsidR="0035664E">
              <w:rPr>
                <w:rFonts w:ascii="Arial" w:hAnsi="Arial" w:cs="Arial"/>
                <w:sz w:val="22"/>
                <w:szCs w:val="20"/>
              </w:rPr>
              <w:t>a Belatrix Relax 115 PH050013)</w:t>
            </w:r>
          </w:p>
          <w:p w:rsidR="002F4E3E" w:rsidRPr="0035664E" w:rsidRDefault="002F4E3E" w:rsidP="0035664E">
            <w:pPr>
              <w:pStyle w:val="Bezmezer"/>
              <w:jc w:val="both"/>
              <w:rPr>
                <w:rFonts w:ascii="Arial" w:hAnsi="Arial" w:cs="Arial"/>
                <w:sz w:val="22"/>
                <w:szCs w:val="20"/>
              </w:rPr>
            </w:pPr>
            <w:r w:rsidRPr="0035664E">
              <w:rPr>
                <w:rFonts w:ascii="Arial" w:hAnsi="Arial" w:cs="Arial"/>
                <w:sz w:val="22"/>
                <w:szCs w:val="20"/>
              </w:rPr>
              <w:t>a to v níže uvedeném rozsahu:</w:t>
            </w:r>
          </w:p>
          <w:p w:rsidR="002F4E3E" w:rsidRPr="002F4E3E" w:rsidRDefault="002F4E3E" w:rsidP="0035664E">
            <w:pPr>
              <w:jc w:val="both"/>
              <w:rPr>
                <w:rFonts w:ascii="Arial" w:hAnsi="Arial" w:cs="Arial"/>
                <w:szCs w:val="20"/>
              </w:rPr>
            </w:pPr>
            <w:r w:rsidRPr="002F4E3E">
              <w:rPr>
                <w:rFonts w:ascii="Arial" w:hAnsi="Arial" w:cs="Arial"/>
                <w:szCs w:val="20"/>
              </w:rPr>
              <w:t xml:space="preserve">ČSN EN </w:t>
            </w:r>
            <w:proofErr w:type="gramStart"/>
            <w:r w:rsidRPr="002F4E3E">
              <w:rPr>
                <w:rFonts w:ascii="Arial" w:hAnsi="Arial" w:cs="Arial"/>
                <w:szCs w:val="20"/>
              </w:rPr>
              <w:t>60335-1 ed.</w:t>
            </w:r>
            <w:proofErr w:type="gramEnd"/>
            <w:r w:rsidRPr="002F4E3E">
              <w:rPr>
                <w:rFonts w:ascii="Arial" w:hAnsi="Arial" w:cs="Arial"/>
                <w:szCs w:val="20"/>
              </w:rPr>
              <w:t>2:2003+A11:20</w:t>
            </w:r>
            <w:r w:rsidR="0035664E">
              <w:rPr>
                <w:rFonts w:ascii="Arial" w:hAnsi="Arial" w:cs="Arial"/>
                <w:szCs w:val="20"/>
              </w:rPr>
              <w:t>04+A1:2005+A12:2006</w:t>
            </w:r>
            <w:r w:rsidRPr="002F4E3E">
              <w:rPr>
                <w:rFonts w:ascii="Arial" w:hAnsi="Arial" w:cs="Arial"/>
                <w:szCs w:val="20"/>
              </w:rPr>
              <w:t>+A2:2007+A13:2009+A14:2010</w:t>
            </w:r>
            <w:r w:rsidR="0035664E">
              <w:rPr>
                <w:rFonts w:ascii="Arial" w:hAnsi="Arial" w:cs="Arial"/>
                <w:szCs w:val="20"/>
              </w:rPr>
              <w:t xml:space="preserve"> </w:t>
            </w:r>
            <w:r w:rsidRPr="002F4E3E">
              <w:rPr>
                <w:rFonts w:ascii="Arial" w:hAnsi="Arial" w:cs="Arial"/>
                <w:szCs w:val="20"/>
              </w:rPr>
              <w:t>+A15:2012 Elektrické spotřebiče pro domácnost a podobné účely – Bezpečnost – Část 1: Všeo</w:t>
            </w:r>
            <w:r w:rsidR="0035664E">
              <w:rPr>
                <w:rFonts w:ascii="Arial" w:hAnsi="Arial" w:cs="Arial"/>
                <w:szCs w:val="20"/>
              </w:rPr>
              <w:t xml:space="preserve">becné požadavky ve vazbě na </w:t>
            </w:r>
            <w:r w:rsidRPr="002F4E3E">
              <w:rPr>
                <w:rFonts w:ascii="Arial" w:hAnsi="Arial" w:cs="Arial"/>
                <w:szCs w:val="20"/>
              </w:rPr>
              <w:t xml:space="preserve">ČSN EN </w:t>
            </w:r>
            <w:proofErr w:type="gramStart"/>
            <w:r w:rsidRPr="002F4E3E">
              <w:rPr>
                <w:rFonts w:ascii="Arial" w:hAnsi="Arial" w:cs="Arial"/>
                <w:szCs w:val="20"/>
              </w:rPr>
              <w:t>60335-2-60</w:t>
            </w:r>
            <w:proofErr w:type="gramEnd"/>
            <w:r w:rsidRPr="002F4E3E">
              <w:rPr>
                <w:rFonts w:ascii="Arial" w:hAnsi="Arial" w:cs="Arial"/>
                <w:szCs w:val="20"/>
              </w:rPr>
              <w:t xml:space="preserve"> ed.2:2004+A1:2004</w:t>
            </w:r>
            <w:r w:rsidR="0035664E">
              <w:rPr>
                <w:rFonts w:ascii="Arial" w:hAnsi="Arial" w:cs="Arial"/>
                <w:szCs w:val="20"/>
              </w:rPr>
              <w:t xml:space="preserve"> </w:t>
            </w:r>
            <w:r w:rsidRPr="002F4E3E">
              <w:rPr>
                <w:rFonts w:ascii="Arial" w:hAnsi="Arial" w:cs="Arial"/>
                <w:szCs w:val="20"/>
              </w:rPr>
              <w:t>+A2:2008+A11:2010+A12:2010 Elektrické spotřebiče pro domácnost a podobné účely – Bezpečnost – Část 2-60: Zvláštní požadavky na vířivé lázně</w:t>
            </w:r>
          </w:p>
          <w:p w:rsidR="0035664E" w:rsidRDefault="002F4E3E" w:rsidP="0035664E">
            <w:pPr>
              <w:pStyle w:val="Odstavecseseznamem"/>
              <w:numPr>
                <w:ilvl w:val="0"/>
                <w:numId w:val="4"/>
              </w:numPr>
              <w:ind w:left="357" w:hanging="357"/>
              <w:jc w:val="both"/>
              <w:rPr>
                <w:rFonts w:ascii="Arial" w:hAnsi="Arial" w:cs="Arial"/>
                <w:szCs w:val="20"/>
              </w:rPr>
            </w:pPr>
            <w:r w:rsidRPr="002F4E3E">
              <w:rPr>
                <w:rFonts w:ascii="Arial" w:hAnsi="Arial" w:cs="Arial"/>
                <w:szCs w:val="20"/>
              </w:rPr>
              <w:t>čl. 8 – ochrana před přístupem k živým částem</w:t>
            </w:r>
          </w:p>
          <w:p w:rsidR="0035664E" w:rsidRDefault="002F4E3E" w:rsidP="0035664E">
            <w:pPr>
              <w:pStyle w:val="Odstavecseseznamem"/>
              <w:numPr>
                <w:ilvl w:val="0"/>
                <w:numId w:val="4"/>
              </w:numPr>
              <w:ind w:left="357" w:hanging="357"/>
              <w:jc w:val="both"/>
              <w:rPr>
                <w:rFonts w:ascii="Arial" w:hAnsi="Arial" w:cs="Arial"/>
                <w:szCs w:val="20"/>
              </w:rPr>
            </w:pPr>
            <w:r w:rsidRPr="0035664E">
              <w:rPr>
                <w:rFonts w:ascii="Arial" w:hAnsi="Arial" w:cs="Arial"/>
                <w:szCs w:val="20"/>
              </w:rPr>
              <w:t>čl. 10 – příkon a proud</w:t>
            </w:r>
          </w:p>
          <w:p w:rsidR="0035664E" w:rsidRDefault="002F4E3E" w:rsidP="0035664E">
            <w:pPr>
              <w:pStyle w:val="Odstavecseseznamem"/>
              <w:numPr>
                <w:ilvl w:val="0"/>
                <w:numId w:val="4"/>
              </w:numPr>
              <w:ind w:left="357" w:hanging="357"/>
              <w:jc w:val="both"/>
              <w:rPr>
                <w:rFonts w:ascii="Arial" w:hAnsi="Arial" w:cs="Arial"/>
                <w:szCs w:val="20"/>
              </w:rPr>
            </w:pPr>
            <w:r w:rsidRPr="0035664E">
              <w:rPr>
                <w:rFonts w:ascii="Arial" w:hAnsi="Arial" w:cs="Arial"/>
                <w:szCs w:val="20"/>
              </w:rPr>
              <w:t>čl. 11 – oteplení</w:t>
            </w:r>
          </w:p>
          <w:p w:rsidR="0035664E" w:rsidRDefault="002F4E3E" w:rsidP="0035664E">
            <w:pPr>
              <w:pStyle w:val="Odstavecseseznamem"/>
              <w:numPr>
                <w:ilvl w:val="0"/>
                <w:numId w:val="4"/>
              </w:numPr>
              <w:ind w:left="357" w:hanging="357"/>
              <w:jc w:val="both"/>
              <w:rPr>
                <w:rFonts w:ascii="Arial" w:hAnsi="Arial" w:cs="Arial"/>
                <w:szCs w:val="20"/>
              </w:rPr>
            </w:pPr>
            <w:r w:rsidRPr="0035664E">
              <w:rPr>
                <w:rFonts w:ascii="Arial" w:hAnsi="Arial" w:cs="Arial"/>
                <w:szCs w:val="20"/>
              </w:rPr>
              <w:t>čl. 13 – unikající proud a elektrická pevnost při pracovní teplotě</w:t>
            </w:r>
          </w:p>
          <w:p w:rsidR="0035664E" w:rsidRDefault="002F4E3E" w:rsidP="0035664E">
            <w:pPr>
              <w:pStyle w:val="Odstavecseseznamem"/>
              <w:numPr>
                <w:ilvl w:val="0"/>
                <w:numId w:val="4"/>
              </w:numPr>
              <w:ind w:left="357" w:hanging="357"/>
              <w:jc w:val="both"/>
              <w:rPr>
                <w:rFonts w:ascii="Arial" w:hAnsi="Arial" w:cs="Arial"/>
                <w:szCs w:val="20"/>
              </w:rPr>
            </w:pPr>
            <w:r w:rsidRPr="0035664E">
              <w:rPr>
                <w:rFonts w:ascii="Arial" w:hAnsi="Arial" w:cs="Arial"/>
                <w:szCs w:val="20"/>
              </w:rPr>
              <w:t>čl. 15 – odolnost proti vlhkosti</w:t>
            </w:r>
          </w:p>
          <w:p w:rsidR="0035664E" w:rsidRDefault="002F4E3E" w:rsidP="0035664E">
            <w:pPr>
              <w:pStyle w:val="Odstavecseseznamem"/>
              <w:numPr>
                <w:ilvl w:val="0"/>
                <w:numId w:val="4"/>
              </w:numPr>
              <w:ind w:left="357" w:hanging="357"/>
              <w:jc w:val="both"/>
              <w:rPr>
                <w:rFonts w:ascii="Arial" w:hAnsi="Arial" w:cs="Arial"/>
                <w:szCs w:val="20"/>
              </w:rPr>
            </w:pPr>
            <w:r w:rsidRPr="0035664E">
              <w:rPr>
                <w:rFonts w:ascii="Arial" w:hAnsi="Arial" w:cs="Arial"/>
                <w:szCs w:val="20"/>
              </w:rPr>
              <w:t>čl. 16 – unikající proud a elektrická pevnost</w:t>
            </w:r>
          </w:p>
          <w:p w:rsidR="0035664E" w:rsidRDefault="002F4E3E" w:rsidP="0035664E">
            <w:pPr>
              <w:pStyle w:val="Odstavecseseznamem"/>
              <w:numPr>
                <w:ilvl w:val="0"/>
                <w:numId w:val="4"/>
              </w:numPr>
              <w:ind w:left="357" w:hanging="357"/>
              <w:jc w:val="both"/>
              <w:rPr>
                <w:rFonts w:ascii="Arial" w:hAnsi="Arial" w:cs="Arial"/>
                <w:szCs w:val="20"/>
              </w:rPr>
            </w:pPr>
            <w:r w:rsidRPr="0035664E">
              <w:rPr>
                <w:rFonts w:ascii="Arial" w:hAnsi="Arial" w:cs="Arial"/>
                <w:szCs w:val="20"/>
              </w:rPr>
              <w:t>čl. 19 – abnormální pevnost</w:t>
            </w:r>
          </w:p>
          <w:p w:rsidR="0035664E" w:rsidRDefault="002F4E3E" w:rsidP="0035664E">
            <w:pPr>
              <w:pStyle w:val="Odstavecseseznamem"/>
              <w:numPr>
                <w:ilvl w:val="0"/>
                <w:numId w:val="4"/>
              </w:numPr>
              <w:ind w:left="357" w:hanging="357"/>
              <w:jc w:val="both"/>
              <w:rPr>
                <w:rFonts w:ascii="Arial" w:hAnsi="Arial" w:cs="Arial"/>
                <w:szCs w:val="20"/>
              </w:rPr>
            </w:pPr>
            <w:r w:rsidRPr="0035664E">
              <w:rPr>
                <w:rFonts w:ascii="Arial" w:hAnsi="Arial" w:cs="Arial"/>
                <w:szCs w:val="20"/>
              </w:rPr>
              <w:t>čl. 22 – konstrukce</w:t>
            </w:r>
          </w:p>
          <w:p w:rsidR="0035664E" w:rsidRDefault="002F4E3E" w:rsidP="0035664E">
            <w:pPr>
              <w:pStyle w:val="Odstavecseseznamem"/>
              <w:numPr>
                <w:ilvl w:val="0"/>
                <w:numId w:val="4"/>
              </w:numPr>
              <w:ind w:left="357" w:hanging="357"/>
              <w:jc w:val="both"/>
              <w:rPr>
                <w:rFonts w:ascii="Arial" w:hAnsi="Arial" w:cs="Arial"/>
                <w:szCs w:val="20"/>
              </w:rPr>
            </w:pPr>
            <w:r w:rsidRPr="0035664E">
              <w:rPr>
                <w:rFonts w:ascii="Arial" w:hAnsi="Arial" w:cs="Arial"/>
                <w:szCs w:val="20"/>
              </w:rPr>
              <w:t>čl. 24 součásti</w:t>
            </w:r>
          </w:p>
          <w:p w:rsidR="0035664E" w:rsidRDefault="002F4E3E" w:rsidP="0035664E">
            <w:pPr>
              <w:pStyle w:val="Odstavecseseznamem"/>
              <w:numPr>
                <w:ilvl w:val="0"/>
                <w:numId w:val="4"/>
              </w:numPr>
              <w:ind w:left="357" w:hanging="357"/>
              <w:jc w:val="both"/>
              <w:rPr>
                <w:rFonts w:ascii="Arial" w:hAnsi="Arial" w:cs="Arial"/>
                <w:szCs w:val="20"/>
              </w:rPr>
            </w:pPr>
            <w:r w:rsidRPr="0035664E">
              <w:rPr>
                <w:rFonts w:ascii="Arial" w:hAnsi="Arial" w:cs="Arial"/>
                <w:szCs w:val="20"/>
              </w:rPr>
              <w:t>čl. 27 – ochranné spojení se zemí</w:t>
            </w:r>
          </w:p>
          <w:p w:rsidR="0035664E" w:rsidRDefault="002F4E3E" w:rsidP="0035664E">
            <w:pPr>
              <w:pStyle w:val="Odstavecseseznamem"/>
              <w:numPr>
                <w:ilvl w:val="0"/>
                <w:numId w:val="4"/>
              </w:numPr>
              <w:ind w:left="357" w:hanging="357"/>
              <w:jc w:val="both"/>
              <w:rPr>
                <w:rFonts w:ascii="Arial" w:hAnsi="Arial" w:cs="Arial"/>
                <w:szCs w:val="20"/>
              </w:rPr>
            </w:pPr>
            <w:r w:rsidRPr="0035664E">
              <w:rPr>
                <w:rFonts w:ascii="Arial" w:hAnsi="Arial" w:cs="Arial"/>
                <w:szCs w:val="20"/>
              </w:rPr>
              <w:t>čl. 29 – vzdušné vzdálenosti, povrchové cesty a pevná izolace</w:t>
            </w:r>
          </w:p>
          <w:p w:rsidR="002F4E3E" w:rsidRPr="0035664E" w:rsidRDefault="002F4E3E" w:rsidP="0035664E">
            <w:pPr>
              <w:pStyle w:val="Odstavecseseznamem"/>
              <w:numPr>
                <w:ilvl w:val="0"/>
                <w:numId w:val="4"/>
              </w:numPr>
              <w:ind w:left="357" w:hanging="357"/>
              <w:jc w:val="both"/>
              <w:rPr>
                <w:rFonts w:ascii="Arial" w:hAnsi="Arial" w:cs="Arial"/>
                <w:szCs w:val="20"/>
              </w:rPr>
            </w:pPr>
            <w:r w:rsidRPr="0035664E">
              <w:rPr>
                <w:rFonts w:ascii="Arial" w:hAnsi="Arial" w:cs="Arial"/>
                <w:szCs w:val="20"/>
              </w:rPr>
              <w:t>čl. 30 – odolnost proti teplu</w:t>
            </w:r>
          </w:p>
          <w:p w:rsidR="002F4E3E" w:rsidRPr="002F4E3E" w:rsidRDefault="002F4E3E" w:rsidP="0035664E">
            <w:pPr>
              <w:jc w:val="both"/>
              <w:rPr>
                <w:rFonts w:ascii="Arial" w:hAnsi="Arial" w:cs="Arial"/>
                <w:szCs w:val="20"/>
              </w:rPr>
            </w:pPr>
            <w:r w:rsidRPr="002F4E3E">
              <w:rPr>
                <w:rFonts w:ascii="Arial" w:hAnsi="Arial" w:cs="Arial"/>
                <w:szCs w:val="20"/>
              </w:rPr>
              <w:t xml:space="preserve">ČSN EN </w:t>
            </w:r>
            <w:proofErr w:type="gramStart"/>
            <w:r w:rsidRPr="002F4E3E">
              <w:rPr>
                <w:rFonts w:ascii="Arial" w:hAnsi="Arial" w:cs="Arial"/>
                <w:szCs w:val="20"/>
              </w:rPr>
              <w:t>61000-3-2 ed.</w:t>
            </w:r>
            <w:proofErr w:type="gramEnd"/>
            <w:r w:rsidRPr="002F4E3E">
              <w:rPr>
                <w:rFonts w:ascii="Arial" w:hAnsi="Arial" w:cs="Arial"/>
                <w:szCs w:val="20"/>
              </w:rPr>
              <w:t>4:2015 Elektromagnetická kompatibilita (EMC) – Část 3-2: Meze – Meze pro emise proudu harmonických zařízení se vstupním fázovým proudem ≤16A</w:t>
            </w:r>
          </w:p>
          <w:p w:rsidR="002F4E3E" w:rsidRPr="002F4E3E" w:rsidRDefault="002F4E3E" w:rsidP="0035664E">
            <w:pPr>
              <w:pStyle w:val="Odstavecseseznamem"/>
              <w:numPr>
                <w:ilvl w:val="0"/>
                <w:numId w:val="4"/>
              </w:numPr>
              <w:ind w:left="357" w:hanging="357"/>
              <w:jc w:val="both"/>
              <w:rPr>
                <w:rFonts w:ascii="Arial" w:hAnsi="Arial" w:cs="Arial"/>
                <w:szCs w:val="20"/>
              </w:rPr>
            </w:pPr>
            <w:r w:rsidRPr="002F4E3E">
              <w:rPr>
                <w:rFonts w:ascii="Arial" w:hAnsi="Arial" w:cs="Arial"/>
                <w:szCs w:val="20"/>
              </w:rPr>
              <w:t>všechny články</w:t>
            </w:r>
          </w:p>
          <w:p w:rsidR="002F4E3E" w:rsidRPr="002F4E3E" w:rsidRDefault="002F4E3E" w:rsidP="0035664E">
            <w:pPr>
              <w:jc w:val="both"/>
              <w:rPr>
                <w:rFonts w:ascii="Arial" w:hAnsi="Arial" w:cs="Arial"/>
                <w:szCs w:val="20"/>
              </w:rPr>
            </w:pPr>
            <w:r w:rsidRPr="002F4E3E">
              <w:rPr>
                <w:rFonts w:ascii="Arial" w:hAnsi="Arial" w:cs="Arial"/>
                <w:szCs w:val="20"/>
              </w:rPr>
              <w:lastRenderedPageBreak/>
              <w:t xml:space="preserve">ČSN EN </w:t>
            </w:r>
            <w:proofErr w:type="gramStart"/>
            <w:r w:rsidRPr="002F4E3E">
              <w:rPr>
                <w:rFonts w:ascii="Arial" w:hAnsi="Arial" w:cs="Arial"/>
                <w:szCs w:val="20"/>
              </w:rPr>
              <w:t>61000-3-3 ed.</w:t>
            </w:r>
            <w:proofErr w:type="gramEnd"/>
            <w:r w:rsidRPr="002F4E3E">
              <w:rPr>
                <w:rFonts w:ascii="Arial" w:hAnsi="Arial" w:cs="Arial"/>
                <w:szCs w:val="20"/>
              </w:rPr>
              <w:t>3:2014 Elektromagnetická kompatibilita (EMC) – Část 3-3: Meze – Omezování změn napětí, kolísání napětí a flikru v rozvodných sítích nízkého napětí pro zařízení se jmenovitým fázovým proudem &lt;= 16 A, které není předmětem podmíněného připojení</w:t>
            </w:r>
          </w:p>
          <w:p w:rsidR="002F4E3E" w:rsidRPr="002F4E3E" w:rsidRDefault="002F4E3E" w:rsidP="0035664E">
            <w:pPr>
              <w:pStyle w:val="Odstavecseseznamem"/>
              <w:numPr>
                <w:ilvl w:val="0"/>
                <w:numId w:val="4"/>
              </w:numPr>
              <w:ind w:left="357" w:hanging="357"/>
              <w:jc w:val="both"/>
              <w:rPr>
                <w:rFonts w:ascii="Arial" w:hAnsi="Arial" w:cs="Arial"/>
                <w:szCs w:val="20"/>
              </w:rPr>
            </w:pPr>
            <w:r w:rsidRPr="002F4E3E">
              <w:rPr>
                <w:rFonts w:ascii="Arial" w:hAnsi="Arial" w:cs="Arial"/>
                <w:szCs w:val="20"/>
              </w:rPr>
              <w:t>všechny články</w:t>
            </w:r>
          </w:p>
          <w:p w:rsidR="002F4E3E" w:rsidRPr="002F4E3E" w:rsidRDefault="002F4E3E" w:rsidP="0035664E">
            <w:pPr>
              <w:jc w:val="both"/>
              <w:rPr>
                <w:rFonts w:ascii="Arial" w:hAnsi="Arial" w:cs="Arial"/>
                <w:szCs w:val="20"/>
                <w:highlight w:val="yellow"/>
              </w:rPr>
            </w:pPr>
            <w:r w:rsidRPr="002F4E3E">
              <w:rPr>
                <w:rFonts w:ascii="Arial" w:hAnsi="Arial" w:cs="Arial"/>
                <w:szCs w:val="20"/>
              </w:rPr>
              <w:t xml:space="preserve">ČSN EN </w:t>
            </w:r>
            <w:proofErr w:type="gramStart"/>
            <w:r w:rsidRPr="002F4E3E">
              <w:rPr>
                <w:rFonts w:ascii="Arial" w:hAnsi="Arial" w:cs="Arial"/>
                <w:szCs w:val="20"/>
              </w:rPr>
              <w:t>55014-2 ed.</w:t>
            </w:r>
            <w:proofErr w:type="gramEnd"/>
            <w:r w:rsidRPr="002F4E3E">
              <w:rPr>
                <w:rFonts w:ascii="Arial" w:hAnsi="Arial" w:cs="Arial"/>
                <w:szCs w:val="20"/>
              </w:rPr>
              <w:t>2:2015 Elektromagnetická kompatibilita – Požadavky na spotřebiče pro domácnost, elektrické nářadí a podobné přístroje – Část 2: Odolnost – Norma skupiny výrobků</w:t>
            </w:r>
          </w:p>
          <w:p w:rsidR="0035664E" w:rsidRDefault="002F4E3E" w:rsidP="0035664E">
            <w:pPr>
              <w:pStyle w:val="Odstavecseseznamem"/>
              <w:numPr>
                <w:ilvl w:val="0"/>
                <w:numId w:val="4"/>
              </w:numPr>
              <w:ind w:left="357" w:hanging="357"/>
              <w:jc w:val="both"/>
              <w:rPr>
                <w:rFonts w:ascii="Arial" w:hAnsi="Arial" w:cs="Arial"/>
                <w:szCs w:val="20"/>
              </w:rPr>
            </w:pPr>
            <w:r w:rsidRPr="002F4E3E">
              <w:rPr>
                <w:rFonts w:ascii="Arial" w:hAnsi="Arial" w:cs="Arial"/>
                <w:szCs w:val="20"/>
              </w:rPr>
              <w:t>čl. 5.1 – elektrostatický výboj</w:t>
            </w:r>
          </w:p>
          <w:p w:rsidR="002F4E3E" w:rsidRPr="0035664E" w:rsidRDefault="002F4E3E" w:rsidP="0035664E">
            <w:pPr>
              <w:pStyle w:val="Odstavecseseznamem"/>
              <w:numPr>
                <w:ilvl w:val="0"/>
                <w:numId w:val="4"/>
              </w:numPr>
              <w:ind w:left="357" w:hanging="357"/>
              <w:jc w:val="both"/>
              <w:rPr>
                <w:rFonts w:ascii="Arial" w:hAnsi="Arial" w:cs="Arial"/>
                <w:szCs w:val="20"/>
              </w:rPr>
            </w:pPr>
            <w:r w:rsidRPr="0035664E">
              <w:rPr>
                <w:rFonts w:ascii="Arial" w:hAnsi="Arial" w:cs="Arial"/>
                <w:szCs w:val="20"/>
              </w:rPr>
              <w:t>čl. 5.2 – rychlé přechodové jevy</w:t>
            </w:r>
          </w:p>
          <w:p w:rsidR="002F4E3E" w:rsidRPr="002F4E3E" w:rsidRDefault="002F4E3E" w:rsidP="0035664E">
            <w:pPr>
              <w:jc w:val="both"/>
              <w:rPr>
                <w:rFonts w:ascii="Arial" w:hAnsi="Arial" w:cs="Arial"/>
                <w:szCs w:val="20"/>
                <w:highlight w:val="yellow"/>
              </w:rPr>
            </w:pPr>
            <w:r w:rsidRPr="002F4E3E">
              <w:rPr>
                <w:rFonts w:ascii="Arial" w:hAnsi="Arial" w:cs="Arial"/>
                <w:szCs w:val="20"/>
              </w:rPr>
              <w:t xml:space="preserve">ČSN EN </w:t>
            </w:r>
            <w:proofErr w:type="gramStart"/>
            <w:r w:rsidRPr="002F4E3E">
              <w:rPr>
                <w:rFonts w:ascii="Arial" w:hAnsi="Arial" w:cs="Arial"/>
                <w:szCs w:val="20"/>
              </w:rPr>
              <w:t>55014-1 ed.</w:t>
            </w:r>
            <w:proofErr w:type="gramEnd"/>
            <w:r w:rsidRPr="002F4E3E">
              <w:rPr>
                <w:rFonts w:ascii="Arial" w:hAnsi="Arial" w:cs="Arial"/>
                <w:szCs w:val="20"/>
              </w:rPr>
              <w:t>3:2007+A1:2010+A2:2012 Elektromagnetická kompatibilita - Požadavky na spotřebiče pro domácnost, elektrické nářadí a podobné přístroje - Část 1: Emise</w:t>
            </w:r>
          </w:p>
          <w:p w:rsidR="0035664E" w:rsidRPr="0035664E" w:rsidRDefault="002F4E3E" w:rsidP="0035664E">
            <w:pPr>
              <w:pStyle w:val="Odstavecseseznamem"/>
              <w:numPr>
                <w:ilvl w:val="0"/>
                <w:numId w:val="6"/>
              </w:numPr>
              <w:ind w:left="357" w:hanging="357"/>
              <w:jc w:val="both"/>
              <w:rPr>
                <w:rFonts w:ascii="Arial" w:hAnsi="Arial" w:cs="Arial"/>
                <w:szCs w:val="20"/>
              </w:rPr>
            </w:pPr>
            <w:r w:rsidRPr="0035664E">
              <w:rPr>
                <w:rFonts w:ascii="Arial" w:hAnsi="Arial" w:cs="Arial"/>
                <w:szCs w:val="20"/>
              </w:rPr>
              <w:t xml:space="preserve">čl. 4.1.1.3 tab. 1 – </w:t>
            </w:r>
            <w:r w:rsidRPr="0035664E">
              <w:rPr>
                <w:rFonts w:ascii="Arial,Bold" w:eastAsia="Calibri" w:hAnsi="Arial,Bold" w:cs="Arial,Bold"/>
                <w:bCs/>
                <w:szCs w:val="20"/>
              </w:rPr>
              <w:t>kmitočtové pásmo 148,5 kHz až 30 MHz (svorková napětí), spojité rušení</w:t>
            </w:r>
          </w:p>
          <w:p w:rsidR="002F4E3E" w:rsidRPr="0035664E" w:rsidRDefault="002F4E3E" w:rsidP="0035664E">
            <w:pPr>
              <w:pStyle w:val="Odstavecseseznamem"/>
              <w:numPr>
                <w:ilvl w:val="0"/>
                <w:numId w:val="6"/>
              </w:numPr>
              <w:ind w:left="357" w:hanging="357"/>
              <w:jc w:val="both"/>
              <w:rPr>
                <w:rFonts w:ascii="Arial" w:hAnsi="Arial" w:cs="Arial"/>
                <w:szCs w:val="20"/>
              </w:rPr>
            </w:pPr>
            <w:r w:rsidRPr="0035664E">
              <w:rPr>
                <w:rFonts w:ascii="Arial" w:hAnsi="Arial" w:cs="Arial"/>
                <w:szCs w:val="20"/>
              </w:rPr>
              <w:t xml:space="preserve">čl. 4.1.2 tab. 2 – </w:t>
            </w:r>
            <w:r w:rsidRPr="0035664E">
              <w:rPr>
                <w:rFonts w:ascii="Arial,Bold" w:eastAsia="Calibri" w:hAnsi="Arial,Bold" w:cs="Arial,Bold"/>
                <w:bCs/>
                <w:szCs w:val="20"/>
              </w:rPr>
              <w:t>kmitočtové pásmo 30 MHz až 300 MHz (rušivý výkon), spojité rušení</w:t>
            </w:r>
          </w:p>
          <w:p w:rsidR="002F4E3E" w:rsidRPr="002F4E3E" w:rsidRDefault="002F4E3E" w:rsidP="0035664E">
            <w:pPr>
              <w:jc w:val="both"/>
              <w:rPr>
                <w:rFonts w:ascii="Arial" w:hAnsi="Arial" w:cs="Arial"/>
                <w:szCs w:val="20"/>
              </w:rPr>
            </w:pPr>
            <w:r w:rsidRPr="002F4E3E">
              <w:rPr>
                <w:rFonts w:ascii="Arial" w:hAnsi="Arial" w:cs="Arial"/>
                <w:szCs w:val="20"/>
              </w:rPr>
              <w:t>ČSN EN 62233:2008 Metody měření elektromagnetických polí spotřebičů pro domácnost a podobných přístrojů vzhledem k expozici osob</w:t>
            </w:r>
          </w:p>
          <w:p w:rsidR="002F4E3E" w:rsidRPr="00D2454C" w:rsidRDefault="002F4E3E" w:rsidP="00D2454C">
            <w:pPr>
              <w:pStyle w:val="Odstavecseseznamem"/>
              <w:numPr>
                <w:ilvl w:val="0"/>
                <w:numId w:val="7"/>
              </w:numPr>
              <w:ind w:left="357" w:hanging="357"/>
              <w:jc w:val="both"/>
              <w:rPr>
                <w:rFonts w:ascii="Arial" w:hAnsi="Arial" w:cs="Arial"/>
                <w:szCs w:val="20"/>
              </w:rPr>
            </w:pPr>
            <w:r w:rsidRPr="00D2454C">
              <w:rPr>
                <w:rFonts w:ascii="Arial" w:hAnsi="Arial" w:cs="Arial"/>
                <w:szCs w:val="20"/>
              </w:rPr>
              <w:t>všechny články</w:t>
            </w:r>
          </w:p>
          <w:p w:rsidR="006C31C3" w:rsidRPr="00D2454C" w:rsidRDefault="00D2454C" w:rsidP="00EF534A">
            <w:pPr>
              <w:jc w:val="both"/>
              <w:rPr>
                <w:rFonts w:ascii="Arial" w:hAnsi="Arial" w:cs="Arial"/>
                <w:szCs w:val="20"/>
              </w:rPr>
            </w:pPr>
            <w:r>
              <w:rPr>
                <w:rFonts w:ascii="Arial" w:hAnsi="Arial" w:cs="Arial"/>
                <w:szCs w:val="20"/>
              </w:rPr>
              <w:t>D</w:t>
            </w:r>
            <w:r w:rsidR="002F4E3E" w:rsidRPr="002F4E3E">
              <w:rPr>
                <w:rFonts w:ascii="Arial" w:hAnsi="Arial" w:cs="Arial"/>
                <w:szCs w:val="20"/>
              </w:rPr>
              <w:t xml:space="preserve">odavatel zrealizuje požadované akreditované zkoušky ve výše uvedeném rozsahu a vyhotoví </w:t>
            </w:r>
            <w:r w:rsidR="00EF534A">
              <w:rPr>
                <w:rFonts w:ascii="Arial" w:hAnsi="Arial" w:cs="Arial"/>
                <w:szCs w:val="20"/>
              </w:rPr>
              <w:t xml:space="preserve">pro každý vzorek samostatný </w:t>
            </w:r>
            <w:r w:rsidR="002F4E3E" w:rsidRPr="002F4E3E">
              <w:rPr>
                <w:rFonts w:ascii="Arial" w:hAnsi="Arial" w:cs="Arial"/>
                <w:szCs w:val="20"/>
              </w:rPr>
              <w:t>protokol o vykonaných zkouškách v listinné podobě v českém ja</w:t>
            </w:r>
            <w:r w:rsidR="00EF534A">
              <w:rPr>
                <w:rFonts w:ascii="Arial" w:hAnsi="Arial" w:cs="Arial"/>
                <w:szCs w:val="20"/>
              </w:rPr>
              <w:t>zyce s barevnou fotodokumentací.</w:t>
            </w:r>
          </w:p>
        </w:tc>
      </w:tr>
    </w:tbl>
    <w:p w:rsidR="006C31C3" w:rsidRDefault="006C31C3" w:rsidP="007951E0">
      <w:pPr>
        <w:spacing w:after="0" w:line="240" w:lineRule="auto"/>
        <w:rPr>
          <w:rFonts w:ascii="Arial" w:hAnsi="Arial" w:cs="Arial"/>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50A70" w:rsidRPr="00782C9A" w:rsidTr="00F462DC">
        <w:trPr>
          <w:trHeight w:val="1012"/>
        </w:trPr>
        <w:tc>
          <w:tcPr>
            <w:tcW w:w="0" w:type="auto"/>
            <w:vAlign w:val="center"/>
          </w:tcPr>
          <w:p w:rsidR="00E51F08" w:rsidRDefault="00E50A70" w:rsidP="00E51F08">
            <w:pPr>
              <w:jc w:val="both"/>
              <w:rPr>
                <w:rFonts w:ascii="Arial" w:hAnsi="Arial" w:cs="Arial"/>
                <w:b/>
              </w:rPr>
            </w:pPr>
            <w:r w:rsidRPr="00AE3286">
              <w:rPr>
                <w:rFonts w:ascii="Arial" w:hAnsi="Arial" w:cs="Arial"/>
                <w:b/>
              </w:rPr>
              <w:t>Cenové, dodací a obchodní podmínky:</w:t>
            </w:r>
          </w:p>
          <w:p w:rsidR="00E50A70" w:rsidRPr="00AE3286" w:rsidRDefault="00E51F08" w:rsidP="00E51F08">
            <w:pPr>
              <w:jc w:val="both"/>
              <w:rPr>
                <w:rFonts w:ascii="Arial" w:hAnsi="Arial" w:cs="Arial"/>
                <w:b/>
              </w:rPr>
            </w:pPr>
            <w:r w:rsidRPr="00E51F08">
              <w:rPr>
                <w:rFonts w:ascii="Arial" w:hAnsi="Arial" w:cs="Arial"/>
              </w:rPr>
              <w:t>C</w:t>
            </w:r>
            <w:r w:rsidR="00E50A70">
              <w:rPr>
                <w:rStyle w:val="detail"/>
                <w:rFonts w:ascii="Arial" w:hAnsi="Arial" w:cs="Arial"/>
              </w:rPr>
              <w:t xml:space="preserve">elková cena za požadované akreditované zkoušky činí </w:t>
            </w:r>
            <w:r w:rsidR="00E50A70">
              <w:rPr>
                <w:rStyle w:val="detail"/>
                <w:rFonts w:ascii="Arial" w:hAnsi="Arial" w:cs="Arial"/>
                <w:b/>
              </w:rPr>
              <w:t>345 000,00</w:t>
            </w:r>
            <w:r w:rsidR="00E50A70" w:rsidRPr="00172871">
              <w:rPr>
                <w:rStyle w:val="detail"/>
                <w:rFonts w:ascii="Arial" w:hAnsi="Arial" w:cs="Arial"/>
                <w:b/>
              </w:rPr>
              <w:t xml:space="preserve"> Kč</w:t>
            </w:r>
            <w:r w:rsidR="00E50A70">
              <w:rPr>
                <w:rStyle w:val="detail"/>
                <w:rFonts w:ascii="Arial" w:hAnsi="Arial" w:cs="Arial"/>
              </w:rPr>
              <w:t xml:space="preserve"> bez 21 % DPH, resp. </w:t>
            </w:r>
            <w:r w:rsidR="00E50A70">
              <w:rPr>
                <w:rStyle w:val="detail"/>
                <w:rFonts w:ascii="Arial" w:hAnsi="Arial" w:cs="Arial"/>
                <w:b/>
              </w:rPr>
              <w:t>417 450,00</w:t>
            </w:r>
            <w:r w:rsidR="00E50A70" w:rsidRPr="00A77A76">
              <w:rPr>
                <w:rStyle w:val="detail"/>
                <w:rFonts w:ascii="Arial" w:hAnsi="Arial" w:cs="Arial"/>
                <w:b/>
              </w:rPr>
              <w:t xml:space="preserve"> Kč</w:t>
            </w:r>
            <w:r w:rsidR="00E50A70">
              <w:rPr>
                <w:rStyle w:val="detail"/>
                <w:rFonts w:ascii="Arial" w:hAnsi="Arial" w:cs="Arial"/>
              </w:rPr>
              <w:t xml:space="preserve"> včetně 21 % DPH. Zhotovitel se zavazuje vykonat zkoušky a předat protokol o vykonaných zkouškách zadavateli nejpozději do 30 dnů ode dne doručení vzorků laboratoři.</w:t>
            </w:r>
          </w:p>
        </w:tc>
      </w:tr>
    </w:tbl>
    <w:p w:rsidR="00F56F10" w:rsidRDefault="00F56F10" w:rsidP="007951E0">
      <w:pPr>
        <w:spacing w:after="0" w:line="240" w:lineRule="auto"/>
        <w:rPr>
          <w:rFonts w:ascii="Arial" w:hAnsi="Arial" w:cs="Arial"/>
          <w:sz w:val="16"/>
          <w:szCs w:val="16"/>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50A70" w:rsidRPr="00AE3286" w:rsidTr="0089093E">
        <w:trPr>
          <w:trHeight w:val="759"/>
        </w:trPr>
        <w:tc>
          <w:tcPr>
            <w:tcW w:w="5000" w:type="pct"/>
            <w:vAlign w:val="center"/>
          </w:tcPr>
          <w:p w:rsidR="00E51F08" w:rsidRDefault="00E50A70" w:rsidP="00E50A70">
            <w:pPr>
              <w:jc w:val="both"/>
              <w:rPr>
                <w:rFonts w:ascii="Arial" w:hAnsi="Arial" w:cs="Arial"/>
                <w:b/>
              </w:rPr>
            </w:pPr>
            <w:r>
              <w:rPr>
                <w:rFonts w:ascii="Arial" w:hAnsi="Arial" w:cs="Arial"/>
                <w:b/>
              </w:rPr>
              <w:t>Termín předání vzorku:</w:t>
            </w:r>
            <w:r w:rsidR="00E51F08">
              <w:rPr>
                <w:rFonts w:ascii="Arial" w:hAnsi="Arial" w:cs="Arial"/>
                <w:b/>
              </w:rPr>
              <w:t xml:space="preserve"> </w:t>
            </w:r>
          </w:p>
          <w:p w:rsidR="00E50A70" w:rsidRPr="00AE3286" w:rsidRDefault="00E51F08" w:rsidP="00E50A70">
            <w:pPr>
              <w:jc w:val="both"/>
              <w:rPr>
                <w:rFonts w:ascii="Arial" w:hAnsi="Arial" w:cs="Arial"/>
                <w:b/>
              </w:rPr>
            </w:pPr>
            <w:r w:rsidRPr="00E51F08">
              <w:rPr>
                <w:rFonts w:ascii="Arial" w:hAnsi="Arial" w:cs="Arial"/>
              </w:rPr>
              <w:t>V</w:t>
            </w:r>
            <w:r w:rsidR="00E50A70">
              <w:rPr>
                <w:rStyle w:val="detail"/>
                <w:rFonts w:ascii="Arial" w:hAnsi="Arial" w:cs="Arial"/>
              </w:rPr>
              <w:t>zorky ČOI č. 2169_S, č. 2171_S, č. 2172_S, č. 2173_S a č. 2174_S budou dopraveny do zkušební laboratoře dodavatele.</w:t>
            </w:r>
          </w:p>
        </w:tc>
      </w:tr>
    </w:tbl>
    <w:p w:rsidR="00AE3286" w:rsidRDefault="00AE3286" w:rsidP="007951E0">
      <w:pPr>
        <w:spacing w:after="0" w:line="240" w:lineRule="auto"/>
        <w:rPr>
          <w:rFonts w:ascii="Arial" w:hAnsi="Arial" w:cs="Arial"/>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50A70" w:rsidRPr="00AE3286" w:rsidTr="00C40F62">
        <w:trPr>
          <w:trHeight w:val="759"/>
        </w:trPr>
        <w:tc>
          <w:tcPr>
            <w:tcW w:w="0" w:type="auto"/>
            <w:vAlign w:val="center"/>
          </w:tcPr>
          <w:p w:rsidR="00E51F08" w:rsidRDefault="00E50A70" w:rsidP="00E51F08">
            <w:pPr>
              <w:jc w:val="both"/>
              <w:rPr>
                <w:rFonts w:ascii="Arial" w:hAnsi="Arial" w:cs="Arial"/>
                <w:b/>
              </w:rPr>
            </w:pPr>
            <w:r>
              <w:rPr>
                <w:rFonts w:ascii="Arial" w:hAnsi="Arial" w:cs="Arial"/>
                <w:b/>
              </w:rPr>
              <w:t>Termín předání díla:</w:t>
            </w:r>
            <w:r w:rsidR="00E51F08">
              <w:rPr>
                <w:rFonts w:ascii="Arial" w:hAnsi="Arial" w:cs="Arial"/>
                <w:b/>
              </w:rPr>
              <w:t xml:space="preserve"> </w:t>
            </w:r>
          </w:p>
          <w:p w:rsidR="00E50A70" w:rsidRPr="00AE3286" w:rsidRDefault="00E51F08" w:rsidP="00E51F08">
            <w:pPr>
              <w:jc w:val="both"/>
              <w:rPr>
                <w:rFonts w:ascii="Arial" w:hAnsi="Arial" w:cs="Arial"/>
                <w:b/>
              </w:rPr>
            </w:pPr>
            <w:r w:rsidRPr="00E51F08">
              <w:rPr>
                <w:rFonts w:ascii="Arial" w:hAnsi="Arial" w:cs="Arial"/>
              </w:rPr>
              <w:t>Z</w:t>
            </w:r>
            <w:r w:rsidR="00E50A70">
              <w:rPr>
                <w:rStyle w:val="detail"/>
                <w:rFonts w:ascii="Arial" w:hAnsi="Arial" w:cs="Arial"/>
              </w:rPr>
              <w:t xml:space="preserve">hotovitel se zavazuje vykonat zkoušky a předat protokoly o vykonaných zkouškách </w:t>
            </w:r>
            <w:r>
              <w:rPr>
                <w:rStyle w:val="detail"/>
                <w:rFonts w:ascii="Arial" w:hAnsi="Arial" w:cs="Arial"/>
              </w:rPr>
              <w:t xml:space="preserve">odběrateli (zadavateli) </w:t>
            </w:r>
            <w:r w:rsidR="00E50A70">
              <w:rPr>
                <w:rStyle w:val="detail"/>
                <w:rFonts w:ascii="Arial" w:hAnsi="Arial" w:cs="Arial"/>
              </w:rPr>
              <w:t>do 30 dnů ode dne doručení vzorků laboratoři.</w:t>
            </w:r>
          </w:p>
        </w:tc>
      </w:tr>
      <w:tr w:rsidR="007D7EDB" w:rsidRPr="00782C9A" w:rsidTr="00B826FB">
        <w:tc>
          <w:tcPr>
            <w:tcW w:w="0" w:type="auto"/>
            <w:vAlign w:val="center"/>
          </w:tcPr>
          <w:p w:rsidR="00E51F08" w:rsidRDefault="00E50A70" w:rsidP="00E51F08">
            <w:pPr>
              <w:jc w:val="both"/>
              <w:rPr>
                <w:rStyle w:val="detail"/>
                <w:rFonts w:ascii="Arial" w:hAnsi="Arial" w:cs="Arial"/>
              </w:rPr>
            </w:pPr>
            <w:r w:rsidRPr="00E50A70">
              <w:rPr>
                <w:rStyle w:val="detail"/>
                <w:rFonts w:ascii="Arial" w:hAnsi="Arial" w:cs="Arial"/>
                <w:b/>
              </w:rPr>
              <w:t>Místo předání plnění:</w:t>
            </w:r>
            <w:r w:rsidR="00E51F08">
              <w:rPr>
                <w:rStyle w:val="detail"/>
                <w:rFonts w:ascii="Arial" w:hAnsi="Arial" w:cs="Arial"/>
              </w:rPr>
              <w:t xml:space="preserve"> </w:t>
            </w:r>
          </w:p>
          <w:p w:rsidR="007D7EDB" w:rsidRDefault="00E50A70" w:rsidP="00E51F08">
            <w:pPr>
              <w:jc w:val="both"/>
              <w:rPr>
                <w:rStyle w:val="detail"/>
                <w:rFonts w:ascii="Arial" w:hAnsi="Arial" w:cs="Arial"/>
              </w:rPr>
            </w:pPr>
            <w:r>
              <w:rPr>
                <w:rStyle w:val="detail"/>
                <w:rFonts w:ascii="Arial" w:hAnsi="Arial" w:cs="Arial"/>
              </w:rPr>
              <w:t>Strojírenský zkušební ústav s. p., Hudcova 424/56b, 621 00 Brno</w:t>
            </w:r>
          </w:p>
        </w:tc>
      </w:tr>
    </w:tbl>
    <w:p w:rsidR="0078443E" w:rsidRDefault="0078443E" w:rsidP="007951E0">
      <w:pPr>
        <w:spacing w:after="0" w:line="240" w:lineRule="auto"/>
        <w:rPr>
          <w:rFonts w:ascii="Arial" w:hAnsi="Arial" w:cs="Arial"/>
          <w:sz w:val="16"/>
          <w:szCs w:val="16"/>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51F08" w:rsidRPr="00AE3286" w:rsidTr="00D42892">
        <w:trPr>
          <w:trHeight w:val="759"/>
        </w:trPr>
        <w:tc>
          <w:tcPr>
            <w:tcW w:w="5000" w:type="pct"/>
            <w:vAlign w:val="center"/>
          </w:tcPr>
          <w:p w:rsidR="00E51F08" w:rsidRDefault="00E51F08" w:rsidP="00E51F08">
            <w:pPr>
              <w:jc w:val="both"/>
              <w:rPr>
                <w:rFonts w:ascii="Arial" w:hAnsi="Arial" w:cs="Arial"/>
              </w:rPr>
            </w:pPr>
            <w:r>
              <w:rPr>
                <w:rFonts w:ascii="Arial" w:hAnsi="Arial" w:cs="Arial"/>
                <w:b/>
              </w:rPr>
              <w:t>Kontaktní osoba:</w:t>
            </w:r>
            <w:r>
              <w:rPr>
                <w:rFonts w:ascii="Arial" w:hAnsi="Arial" w:cs="Arial"/>
              </w:rPr>
              <w:t xml:space="preserve"> </w:t>
            </w:r>
          </w:p>
          <w:p w:rsidR="00E51F08" w:rsidRPr="00E51F08" w:rsidRDefault="00E51F08" w:rsidP="00E51F08">
            <w:pPr>
              <w:jc w:val="both"/>
              <w:rPr>
                <w:rFonts w:ascii="Arial" w:hAnsi="Arial" w:cs="Arial"/>
              </w:rPr>
            </w:pPr>
            <w:r>
              <w:rPr>
                <w:rStyle w:val="detail"/>
                <w:rFonts w:ascii="Arial" w:hAnsi="Arial" w:cs="Arial"/>
              </w:rPr>
              <w:t>Ing. Milan Javorský, vedoucí oddělení techniky OMPK, Česká obchodní inspekce – ústřední inspektorát; telefon: (+420) 296 366 224 / email: mjavorsky@coi.cz</w:t>
            </w:r>
          </w:p>
        </w:tc>
      </w:tr>
    </w:tbl>
    <w:p w:rsidR="007D7EDB" w:rsidRDefault="007D7EDB" w:rsidP="007951E0">
      <w:pPr>
        <w:spacing w:after="0" w:line="240" w:lineRule="auto"/>
        <w:rPr>
          <w:rFonts w:ascii="Arial" w:hAnsi="Arial" w:cs="Arial"/>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51F08" w:rsidRPr="00AE3286" w:rsidTr="00F50685">
        <w:trPr>
          <w:trHeight w:val="1265"/>
        </w:trPr>
        <w:tc>
          <w:tcPr>
            <w:tcW w:w="0" w:type="auto"/>
            <w:vAlign w:val="center"/>
          </w:tcPr>
          <w:p w:rsidR="00E51F08" w:rsidRDefault="00E51F08" w:rsidP="00E51F08">
            <w:pPr>
              <w:jc w:val="both"/>
              <w:rPr>
                <w:rFonts w:ascii="Arial" w:hAnsi="Arial" w:cs="Arial"/>
              </w:rPr>
            </w:pPr>
            <w:r>
              <w:rPr>
                <w:rFonts w:ascii="Arial" w:hAnsi="Arial" w:cs="Arial"/>
                <w:b/>
              </w:rPr>
              <w:t>Podmínky plnění:</w:t>
            </w:r>
          </w:p>
          <w:p w:rsidR="00E51F08" w:rsidRPr="00AE3286" w:rsidRDefault="00E51F08" w:rsidP="00E51F08">
            <w:pPr>
              <w:jc w:val="both"/>
              <w:rPr>
                <w:rFonts w:ascii="Arial" w:hAnsi="Arial" w:cs="Arial"/>
                <w:b/>
              </w:rPr>
            </w:pPr>
            <w:r>
              <w:rPr>
                <w:rStyle w:val="detail"/>
                <w:rFonts w:ascii="Arial" w:hAnsi="Arial" w:cs="Arial"/>
              </w:rPr>
              <w:t>Dodavatel odpovídá za rozsah a správnost provedených zkoušek specifikovaných v této objednávce, s vynaložením svých nejlepších odborných znalostí a schopností, s důrazem na ochranu zájmů smluvních stran. Veškeré náhrady, včetně případné náhrady škody, a smluvní pokuta budou uhrazeny nejpozději do 21 dnů ode dne vystavení faktury odběratelem.</w:t>
            </w:r>
          </w:p>
        </w:tc>
      </w:tr>
    </w:tbl>
    <w:p w:rsidR="00C6759C" w:rsidRPr="00E50A70" w:rsidRDefault="00C6759C" w:rsidP="003B332C">
      <w:pPr>
        <w:spacing w:after="160" w:line="240" w:lineRule="auto"/>
        <w:rPr>
          <w:rFonts w:ascii="Arial" w:hAnsi="Arial" w:cs="Arial"/>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51F08" w:rsidRPr="00AE3286" w:rsidTr="000017D9">
        <w:trPr>
          <w:trHeight w:val="2530"/>
        </w:trPr>
        <w:tc>
          <w:tcPr>
            <w:tcW w:w="0" w:type="auto"/>
            <w:vAlign w:val="center"/>
          </w:tcPr>
          <w:p w:rsidR="00E51F08" w:rsidRPr="00AE3286" w:rsidRDefault="00E51F08" w:rsidP="005C0641">
            <w:pPr>
              <w:jc w:val="both"/>
              <w:rPr>
                <w:rFonts w:ascii="Arial" w:hAnsi="Arial" w:cs="Arial"/>
                <w:b/>
              </w:rPr>
            </w:pPr>
            <w:r>
              <w:rPr>
                <w:rFonts w:ascii="Arial" w:hAnsi="Arial" w:cs="Arial"/>
                <w:b/>
              </w:rPr>
              <w:t>Obchodní podmínky:</w:t>
            </w:r>
          </w:p>
          <w:p w:rsidR="00E51F08" w:rsidRPr="00AE3286" w:rsidRDefault="00E51F08" w:rsidP="00E50A70">
            <w:pPr>
              <w:jc w:val="both"/>
              <w:rPr>
                <w:rFonts w:ascii="Arial" w:hAnsi="Arial" w:cs="Arial"/>
                <w:b/>
              </w:rPr>
            </w:pPr>
            <w:r>
              <w:rPr>
                <w:rStyle w:val="detail"/>
                <w:rFonts w:ascii="Arial" w:hAnsi="Arial" w:cs="Arial"/>
              </w:rPr>
              <w:t>Odběratel neposkytuje žádné zálohy. Splatnost faktury je bezhotovostně 21 dnů ode dne dodání, resp. převzetí zboží bez výhrad. V případě nedodržení termínu pro dodání, překročení lhůty pro vyřízení reklamace či opožděné platby smluvní pokuty se dodavatel zavazuje uhradit smluvní pokutu ve výši 0,5 % z celkové ceny objednávky za každý i započatý den prodlení. Případné reklamace uplatněné odběratelem musí být předem vyřízeny, nejpozději do 30 kalendářních dnů ode dne jejich uplatnění. Reklamace, včetně posouzení vady, nesmí být žádným způsobem zpoplatněna. Veškeré náklady na uplatnění, včetně vyřízení, budou na vrub nákladů dodavatele.</w:t>
            </w:r>
          </w:p>
        </w:tc>
      </w:tr>
    </w:tbl>
    <w:p w:rsidR="005C0641" w:rsidRPr="00E50A70" w:rsidRDefault="005C0641" w:rsidP="003B332C">
      <w:pPr>
        <w:spacing w:after="160" w:line="240" w:lineRule="auto"/>
        <w:rPr>
          <w:rFonts w:ascii="Arial" w:hAnsi="Arial" w:cs="Arial"/>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414ED" w:rsidRPr="00782C9A" w:rsidTr="00F55DB1">
        <w:trPr>
          <w:trHeight w:val="2783"/>
        </w:trPr>
        <w:tc>
          <w:tcPr>
            <w:tcW w:w="0" w:type="auto"/>
            <w:vAlign w:val="center"/>
          </w:tcPr>
          <w:p w:rsidR="007414ED" w:rsidRPr="00E50A70" w:rsidRDefault="007414ED" w:rsidP="007414ED">
            <w:pPr>
              <w:jc w:val="both"/>
              <w:rPr>
                <w:rStyle w:val="detail"/>
                <w:rFonts w:ascii="Arial" w:hAnsi="Arial" w:cs="Arial"/>
                <w:u w:val="single"/>
              </w:rPr>
            </w:pPr>
            <w:r w:rsidRPr="00E50A70">
              <w:rPr>
                <w:rStyle w:val="detail"/>
                <w:rFonts w:ascii="Arial" w:hAnsi="Arial" w:cs="Arial"/>
                <w:u w:val="single"/>
              </w:rPr>
              <w:lastRenderedPageBreak/>
              <w:t>Objednávku potvrďte a vraťte objednateli.</w:t>
            </w:r>
            <w:r w:rsidRPr="00E50A70">
              <w:rPr>
                <w:rStyle w:val="detail"/>
                <w:rFonts w:ascii="Arial" w:hAnsi="Arial" w:cs="Arial"/>
              </w:rPr>
              <w:t xml:space="preserve"> </w:t>
            </w:r>
            <w:r>
              <w:rPr>
                <w:rStyle w:val="detail"/>
                <w:rFonts w:ascii="Arial" w:hAnsi="Arial" w:cs="Arial"/>
              </w:rPr>
              <w:t xml:space="preserve">Objednávku potvrďte e-mailovou zprávou na e-mail </w:t>
            </w:r>
            <w:hyperlink r:id="rId8" w:history="1">
              <w:r w:rsidRPr="007E26A5">
                <w:rPr>
                  <w:rStyle w:val="Hypertextovodkaz"/>
                  <w:rFonts w:ascii="Arial" w:hAnsi="Arial" w:cs="Arial"/>
                  <w:color w:val="auto"/>
                  <w:u w:val="none"/>
                </w:rPr>
                <w:t>mjavorsky@coi.cz</w:t>
              </w:r>
            </w:hyperlink>
            <w:r>
              <w:rPr>
                <w:rStyle w:val="detail"/>
                <w:rFonts w:ascii="Arial" w:hAnsi="Arial" w:cs="Arial"/>
              </w:rPr>
              <w:t xml:space="preserve"> nebo </w:t>
            </w:r>
            <w:hyperlink r:id="rId9" w:history="1">
              <w:r w:rsidRPr="007414ED">
                <w:rPr>
                  <w:rStyle w:val="Hypertextovodkaz"/>
                  <w:rFonts w:ascii="Arial" w:hAnsi="Arial" w:cs="Arial"/>
                  <w:color w:val="auto"/>
                  <w:u w:val="none"/>
                </w:rPr>
                <w:t>podatelna@coi.cz</w:t>
              </w:r>
            </w:hyperlink>
            <w:r>
              <w:rPr>
                <w:rStyle w:val="detail"/>
                <w:rFonts w:ascii="Arial" w:hAnsi="Arial" w:cs="Arial"/>
              </w:rPr>
              <w:t xml:space="preserve">. Potvrzenou objednávku lze zaslat i datovou schránkou, popř. doručit v listinné podobě do podatelny České obchodní inspekce. Potvrzení je rovněž možno vyznačit přímo na objednávku a naskenované zaslat zpět všemi v předchozí větě uvedenými způsoby. </w:t>
            </w:r>
            <w:r w:rsidRPr="007414ED">
              <w:rPr>
                <w:rStyle w:val="detail"/>
                <w:rFonts w:ascii="Arial" w:hAnsi="Arial" w:cs="Arial"/>
                <w:u w:val="single"/>
              </w:rPr>
              <w:t>V případě, že dodavatel nedoručí potvrzení objednávky do 5 pracovních dnů ode dne jejího doručení, je objednatel oprávněn vzít objednávku zpět, a to bez nároku dodavatele na náhradu škody</w:t>
            </w:r>
            <w:r>
              <w:rPr>
                <w:rStyle w:val="detail"/>
                <w:rFonts w:ascii="Arial" w:hAnsi="Arial" w:cs="Arial"/>
              </w:rPr>
              <w:t>. Dodavatel uděluje souhlas se zveřejněním této objednávky, včetně souvisejících příloh a údajů. Objednatel vylučuje přijetí objednávky s dodatkem nebo odchylkou, a to i v případě, že podstatně nemění podmínky objednávky. Projev vůle, který obsahuje dodatky, výhrady, omezení či jiné změny, bude proto objednavatelem považován za odmítnutí objednávky.</w:t>
            </w:r>
          </w:p>
        </w:tc>
      </w:tr>
    </w:tbl>
    <w:p w:rsidR="003B332C" w:rsidRDefault="003B332C" w:rsidP="007E26A5">
      <w:pPr>
        <w:spacing w:after="160" w:line="240" w:lineRule="auto"/>
        <w:rPr>
          <w:rFonts w:ascii="Arial" w:hAnsi="Arial" w:cs="Arial"/>
          <w:sz w:val="16"/>
          <w:szCs w:val="16"/>
        </w:rPr>
      </w:pPr>
    </w:p>
    <w:p w:rsidR="00C6759C" w:rsidRDefault="00C6759C" w:rsidP="007F0D41">
      <w:pPr>
        <w:spacing w:after="160" w:line="240" w:lineRule="auto"/>
        <w:rPr>
          <w:rFonts w:ascii="Arial" w:hAnsi="Arial" w:cs="Arial"/>
          <w:sz w:val="16"/>
          <w:szCs w:val="16"/>
        </w:rPr>
      </w:pPr>
    </w:p>
    <w:p w:rsidR="00B81BD3" w:rsidRDefault="00B81BD3" w:rsidP="007F0D41">
      <w:pPr>
        <w:spacing w:after="160" w:line="240" w:lineRule="auto"/>
        <w:rPr>
          <w:rFonts w:ascii="Arial" w:hAnsi="Arial" w:cs="Arial"/>
          <w:sz w:val="16"/>
          <w:szCs w:val="16"/>
        </w:rPr>
      </w:pPr>
    </w:p>
    <w:p w:rsidR="00B81BD3" w:rsidRDefault="00B81BD3" w:rsidP="007F0D41">
      <w:pPr>
        <w:spacing w:after="160" w:line="240" w:lineRule="auto"/>
        <w:rPr>
          <w:rFonts w:ascii="Arial" w:hAnsi="Arial" w:cs="Arial"/>
          <w:sz w:val="16"/>
          <w:szCs w:val="16"/>
        </w:rPr>
      </w:pPr>
    </w:p>
    <w:p w:rsidR="007F0D41" w:rsidRDefault="007F0D41" w:rsidP="007F0D41">
      <w:pPr>
        <w:spacing w:after="160" w:line="240" w:lineRule="auto"/>
        <w:rPr>
          <w:rFonts w:ascii="Arial" w:hAnsi="Arial" w:cs="Arial"/>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tblGrid>
      <w:tr w:rsidR="00EE3473" w:rsidRPr="00AE3286" w:rsidTr="00B826FB">
        <w:tc>
          <w:tcPr>
            <w:tcW w:w="0" w:type="auto"/>
            <w:vAlign w:val="center"/>
          </w:tcPr>
          <w:p w:rsidR="007F0D41" w:rsidRPr="00D86509" w:rsidRDefault="005456E1" w:rsidP="005456E1">
            <w:pPr>
              <w:jc w:val="both"/>
              <w:rPr>
                <w:rFonts w:ascii="Arial" w:hAnsi="Arial" w:cs="Arial"/>
                <w:b/>
              </w:rPr>
            </w:pPr>
            <w:r>
              <w:rPr>
                <w:rFonts w:ascii="Arial" w:hAnsi="Arial" w:cs="Arial"/>
                <w:b/>
              </w:rPr>
              <w:t>Ing. Mojmír Bezecný</w:t>
            </w:r>
          </w:p>
        </w:tc>
      </w:tr>
      <w:tr w:rsidR="00EE3473" w:rsidRPr="00782C9A" w:rsidTr="00B826FB">
        <w:tc>
          <w:tcPr>
            <w:tcW w:w="0" w:type="auto"/>
            <w:vAlign w:val="center"/>
          </w:tcPr>
          <w:p w:rsidR="00DB1E8F" w:rsidRDefault="005456E1" w:rsidP="00B826FB">
            <w:pPr>
              <w:jc w:val="both"/>
              <w:rPr>
                <w:rStyle w:val="detail"/>
                <w:rFonts w:ascii="Arial" w:hAnsi="Arial" w:cs="Arial"/>
              </w:rPr>
            </w:pPr>
            <w:r>
              <w:rPr>
                <w:rStyle w:val="detail"/>
                <w:rFonts w:ascii="Arial" w:hAnsi="Arial" w:cs="Arial"/>
              </w:rPr>
              <w:t xml:space="preserve">ústřední </w:t>
            </w:r>
            <w:r w:rsidR="007F0D41">
              <w:rPr>
                <w:rStyle w:val="detail"/>
                <w:rFonts w:ascii="Arial" w:hAnsi="Arial" w:cs="Arial"/>
              </w:rPr>
              <w:t>ředitel</w:t>
            </w:r>
            <w:r w:rsidR="00BA5DA6">
              <w:rPr>
                <w:rStyle w:val="detail"/>
                <w:rFonts w:ascii="Arial" w:hAnsi="Arial" w:cs="Arial"/>
              </w:rPr>
              <w:t xml:space="preserve"> </w:t>
            </w:r>
          </w:p>
          <w:p w:rsidR="007F0D41" w:rsidRPr="00782C9A" w:rsidRDefault="005456E1" w:rsidP="00E45D9B">
            <w:pPr>
              <w:jc w:val="both"/>
              <w:rPr>
                <w:rStyle w:val="detail"/>
                <w:rFonts w:ascii="Arial" w:hAnsi="Arial" w:cs="Arial"/>
              </w:rPr>
            </w:pPr>
            <w:r>
              <w:rPr>
                <w:rStyle w:val="detail"/>
                <w:rFonts w:ascii="Arial" w:hAnsi="Arial" w:cs="Arial"/>
              </w:rPr>
              <w:t>České obchodní inspekce</w:t>
            </w:r>
          </w:p>
        </w:tc>
      </w:tr>
    </w:tbl>
    <w:p w:rsidR="00DC42AD" w:rsidRDefault="00DC42AD" w:rsidP="007F0D41">
      <w:pPr>
        <w:spacing w:after="160" w:line="240" w:lineRule="auto"/>
        <w:rPr>
          <w:rFonts w:ascii="Arial" w:hAnsi="Arial" w:cs="Arial"/>
          <w:sz w:val="16"/>
          <w:szCs w:val="16"/>
        </w:rPr>
      </w:pPr>
    </w:p>
    <w:sectPr w:rsidR="00DC42AD" w:rsidSect="00A145B7">
      <w:headerReference w:type="default" r:id="rId10"/>
      <w:footerReference w:type="default" r:id="rId11"/>
      <w:headerReference w:type="first" r:id="rId12"/>
      <w:pgSz w:w="11906" w:h="16838"/>
      <w:pgMar w:top="1077" w:right="1134" w:bottom="119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0E5" w:rsidRDefault="008060E5" w:rsidP="005144C8">
      <w:pPr>
        <w:spacing w:after="0" w:line="240" w:lineRule="auto"/>
      </w:pPr>
      <w:r>
        <w:separator/>
      </w:r>
    </w:p>
  </w:endnote>
  <w:endnote w:type="continuationSeparator" w:id="0">
    <w:p w:rsidR="008060E5" w:rsidRDefault="008060E5" w:rsidP="00514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CKGinis">
    <w:panose1 w:val="020B0603050302020204"/>
    <w:charset w:val="EE"/>
    <w:family w:val="swiss"/>
    <w:pitch w:val="variable"/>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BA7" w:rsidRDefault="00143BA7" w:rsidP="00143BA7">
    <w:pPr>
      <w:pStyle w:val="Zpat"/>
      <w:jc w:val="center"/>
      <w:rPr>
        <w:rFonts w:ascii="Arial" w:hAnsi="Arial" w:cs="Arial"/>
        <w:sz w:val="18"/>
        <w:szCs w:val="18"/>
      </w:rPr>
    </w:pPr>
    <w:r w:rsidRPr="00CE04EC">
      <w:rPr>
        <w:rFonts w:ascii="Arial" w:hAnsi="Arial" w:cs="Arial"/>
        <w:sz w:val="18"/>
        <w:szCs w:val="18"/>
      </w:rPr>
      <w:t>Telefon</w:t>
    </w:r>
    <w:r>
      <w:rPr>
        <w:rFonts w:ascii="Arial" w:hAnsi="Arial" w:cs="Arial"/>
        <w:sz w:val="18"/>
        <w:szCs w:val="18"/>
      </w:rPr>
      <w:t xml:space="preserve"> </w:t>
    </w:r>
    <w:r w:rsidRPr="00CE04EC">
      <w:rPr>
        <w:rFonts w:ascii="Arial" w:hAnsi="Arial" w:cs="Arial"/>
        <w:sz w:val="18"/>
        <w:szCs w:val="18"/>
      </w:rPr>
      <w:t>(+420) 296 366</w:t>
    </w:r>
    <w:r>
      <w:rPr>
        <w:rFonts w:ascii="Arial" w:hAnsi="Arial" w:cs="Arial"/>
        <w:sz w:val="18"/>
        <w:szCs w:val="18"/>
      </w:rPr>
      <w:t xml:space="preserve"> 102 / </w:t>
    </w:r>
    <w:r w:rsidRPr="00CE04EC">
      <w:rPr>
        <w:rFonts w:ascii="Arial" w:hAnsi="Arial" w:cs="Arial"/>
        <w:sz w:val="18"/>
        <w:szCs w:val="18"/>
      </w:rPr>
      <w:t>Fax (+420) 296 366</w:t>
    </w:r>
    <w:r>
      <w:rPr>
        <w:rFonts w:ascii="Arial" w:hAnsi="Arial" w:cs="Arial"/>
        <w:sz w:val="18"/>
        <w:szCs w:val="18"/>
      </w:rPr>
      <w:t xml:space="preserve"> 236 / </w:t>
    </w:r>
    <w:r w:rsidRPr="00CE04EC">
      <w:rPr>
        <w:rFonts w:ascii="Arial" w:hAnsi="Arial" w:cs="Arial"/>
        <w:sz w:val="18"/>
        <w:szCs w:val="18"/>
      </w:rPr>
      <w:t>E-</w:t>
    </w:r>
    <w:r w:rsidRPr="00426095">
      <w:rPr>
        <w:rFonts w:ascii="Arial" w:hAnsi="Arial" w:cs="Arial"/>
        <w:sz w:val="18"/>
        <w:szCs w:val="18"/>
      </w:rPr>
      <w:t xml:space="preserve">mail  </w:t>
    </w:r>
    <w:hyperlink r:id="rId1" w:history="1">
      <w:r w:rsidRPr="00426095">
        <w:rPr>
          <w:rStyle w:val="Hypertextovodkaz"/>
          <w:rFonts w:ascii="Arial" w:hAnsi="Arial" w:cs="Arial"/>
          <w:color w:val="auto"/>
          <w:sz w:val="18"/>
          <w:szCs w:val="18"/>
          <w:u w:val="none"/>
        </w:rPr>
        <w:t>www.coi.cz/cs/epodatelna</w:t>
      </w:r>
    </w:hyperlink>
  </w:p>
  <w:p w:rsidR="00143BA7" w:rsidRPr="00143BA7" w:rsidRDefault="00143BA7" w:rsidP="00143BA7">
    <w:pPr>
      <w:pStyle w:val="Zpat"/>
      <w:jc w:val="center"/>
      <w:rPr>
        <w:rFonts w:ascii="Arial" w:hAnsi="Arial" w:cs="Arial"/>
        <w:sz w:val="18"/>
        <w:szCs w:val="18"/>
      </w:rPr>
    </w:pPr>
    <w:r w:rsidRPr="00CE04EC">
      <w:rPr>
        <w:rFonts w:ascii="Arial" w:hAnsi="Arial" w:cs="Arial"/>
        <w:sz w:val="18"/>
        <w:szCs w:val="18"/>
      </w:rPr>
      <w:t xml:space="preserve">ID datové schránky  </w:t>
    </w:r>
    <w:r>
      <w:rPr>
        <w:rFonts w:ascii="Arial" w:hAnsi="Arial" w:cs="Arial"/>
        <w:sz w:val="18"/>
        <w:szCs w:val="18"/>
      </w:rPr>
      <w:t>x7cab34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0E5" w:rsidRDefault="008060E5" w:rsidP="005144C8">
      <w:pPr>
        <w:spacing w:after="0" w:line="240" w:lineRule="auto"/>
      </w:pPr>
      <w:r>
        <w:separator/>
      </w:r>
    </w:p>
  </w:footnote>
  <w:footnote w:type="continuationSeparator" w:id="0">
    <w:p w:rsidR="008060E5" w:rsidRDefault="008060E5" w:rsidP="005144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78D" w:rsidRPr="00F5378D" w:rsidRDefault="00F5378D" w:rsidP="00A145B7">
    <w:pPr>
      <w:pStyle w:val="Zhlav"/>
      <w:jc w:val="cent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5B7" w:rsidRPr="00916FBF" w:rsidRDefault="00A145B7" w:rsidP="00A145B7">
    <w:pPr>
      <w:pStyle w:val="Zhlav"/>
      <w:jc w:val="right"/>
      <w:rPr>
        <w:rFonts w:ascii="CKGinis" w:hAnsi="CKGinis"/>
        <w:sz w:val="56"/>
        <w:szCs w:val="56"/>
      </w:rPr>
    </w:pPr>
    <w:r w:rsidRPr="00916FBF">
      <w:rPr>
        <w:rFonts w:ascii="CKGinis" w:hAnsi="CKGinis"/>
        <w:sz w:val="56"/>
        <w:szCs w:val="56"/>
      </w:rPr>
      <w:fldChar w:fldCharType="begin"/>
    </w:r>
    <w:r w:rsidRPr="00916FBF">
      <w:rPr>
        <w:rFonts w:ascii="CKGinis" w:hAnsi="CKGinis"/>
        <w:sz w:val="56"/>
        <w:szCs w:val="56"/>
      </w:rPr>
      <w:instrText>MACROBUTTON MSWField(pisemnost.id_pisemnosti_car) *COI0X00TS163*</w:instrText>
    </w:r>
    <w:r w:rsidRPr="00916FBF">
      <w:rPr>
        <w:rFonts w:ascii="CKGinis" w:hAnsi="CKGinis"/>
        <w:sz w:val="56"/>
        <w:szCs w:val="56"/>
      </w:rPr>
      <w:fldChar w:fldCharType="separate"/>
    </w:r>
    <w:r>
      <w:t>*COI0X00TS163*</w:t>
    </w:r>
    <w:r w:rsidRPr="00916FBF">
      <w:rPr>
        <w:rFonts w:ascii="CKGinis" w:hAnsi="CKGinis"/>
        <w:sz w:val="56"/>
        <w:szCs w:val="56"/>
      </w:rPr>
      <w:fldChar w:fldCharType="end"/>
    </w:r>
  </w:p>
  <w:p w:rsidR="00A145B7" w:rsidRPr="00A145B7" w:rsidRDefault="00A145B7" w:rsidP="00A145B7">
    <w:pPr>
      <w:pStyle w:val="Zhlav"/>
      <w:jc w:val="right"/>
      <w:rPr>
        <w:sz w:val="16"/>
        <w:szCs w:val="16"/>
      </w:rPr>
    </w:pPr>
    <w:r w:rsidRPr="0063240E">
      <w:rPr>
        <w:sz w:val="16"/>
        <w:szCs w:val="16"/>
      </w:rPr>
      <w:fldChar w:fldCharType="begin"/>
    </w:r>
    <w:r w:rsidRPr="0063240E">
      <w:rPr>
        <w:sz w:val="16"/>
        <w:szCs w:val="16"/>
      </w:rPr>
      <w:instrText>MACROBUTTON MSWField(pisemnost.id_pisemnosti) COI0X00TS163</w:instrText>
    </w:r>
    <w:r w:rsidRPr="0063240E">
      <w:rPr>
        <w:sz w:val="16"/>
        <w:szCs w:val="16"/>
      </w:rPr>
      <w:fldChar w:fldCharType="separate"/>
    </w:r>
    <w:r>
      <w:t>COI0X00TS163</w:t>
    </w:r>
    <w:r w:rsidRPr="0063240E">
      <w:rPr>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B67B2"/>
    <w:multiLevelType w:val="hybridMultilevel"/>
    <w:tmpl w:val="DB3AF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40D46A1"/>
    <w:multiLevelType w:val="hybridMultilevel"/>
    <w:tmpl w:val="A448F5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9FF5C5B"/>
    <w:multiLevelType w:val="hybridMultilevel"/>
    <w:tmpl w:val="DF0C8F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5355EAF"/>
    <w:multiLevelType w:val="hybridMultilevel"/>
    <w:tmpl w:val="69F0BB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80C6FC5"/>
    <w:multiLevelType w:val="hybridMultilevel"/>
    <w:tmpl w:val="71FAED4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40430C50"/>
    <w:multiLevelType w:val="hybridMultilevel"/>
    <w:tmpl w:val="350A48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E35082E"/>
    <w:multiLevelType w:val="hybridMultilevel"/>
    <w:tmpl w:val="2102B2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DBF32CC"/>
    <w:multiLevelType w:val="hybridMultilevel"/>
    <w:tmpl w:val="DAD24B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B8"/>
    <w:rsid w:val="000003A6"/>
    <w:rsid w:val="00016D59"/>
    <w:rsid w:val="000335A4"/>
    <w:rsid w:val="0004273C"/>
    <w:rsid w:val="00055229"/>
    <w:rsid w:val="00062637"/>
    <w:rsid w:val="00062E18"/>
    <w:rsid w:val="000653FA"/>
    <w:rsid w:val="0006551F"/>
    <w:rsid w:val="00070673"/>
    <w:rsid w:val="000723DE"/>
    <w:rsid w:val="00074B88"/>
    <w:rsid w:val="000866B0"/>
    <w:rsid w:val="00090BD1"/>
    <w:rsid w:val="000A53E4"/>
    <w:rsid w:val="000C52CC"/>
    <w:rsid w:val="000D4FBC"/>
    <w:rsid w:val="00106BD7"/>
    <w:rsid w:val="0011247F"/>
    <w:rsid w:val="00115079"/>
    <w:rsid w:val="0013577E"/>
    <w:rsid w:val="00143BA7"/>
    <w:rsid w:val="00152745"/>
    <w:rsid w:val="001561AC"/>
    <w:rsid w:val="00156B60"/>
    <w:rsid w:val="001717E3"/>
    <w:rsid w:val="00172871"/>
    <w:rsid w:val="00172F76"/>
    <w:rsid w:val="00177819"/>
    <w:rsid w:val="00184334"/>
    <w:rsid w:val="00184D58"/>
    <w:rsid w:val="001A62A7"/>
    <w:rsid w:val="001B1EA8"/>
    <w:rsid w:val="001B79E3"/>
    <w:rsid w:val="001F4745"/>
    <w:rsid w:val="00240DC6"/>
    <w:rsid w:val="002720F7"/>
    <w:rsid w:val="00276914"/>
    <w:rsid w:val="0027796F"/>
    <w:rsid w:val="00285A6A"/>
    <w:rsid w:val="00294A7A"/>
    <w:rsid w:val="002A4050"/>
    <w:rsid w:val="002B4EFB"/>
    <w:rsid w:val="002C5F21"/>
    <w:rsid w:val="002D0082"/>
    <w:rsid w:val="002F4E3E"/>
    <w:rsid w:val="0030029C"/>
    <w:rsid w:val="0030573B"/>
    <w:rsid w:val="00310977"/>
    <w:rsid w:val="003202CA"/>
    <w:rsid w:val="00321E71"/>
    <w:rsid w:val="00335F47"/>
    <w:rsid w:val="00346A7E"/>
    <w:rsid w:val="0035664E"/>
    <w:rsid w:val="00360FEF"/>
    <w:rsid w:val="00362091"/>
    <w:rsid w:val="00366487"/>
    <w:rsid w:val="00367E2A"/>
    <w:rsid w:val="003858C4"/>
    <w:rsid w:val="00387C01"/>
    <w:rsid w:val="003A1115"/>
    <w:rsid w:val="003A3CEB"/>
    <w:rsid w:val="003B332C"/>
    <w:rsid w:val="003E5558"/>
    <w:rsid w:val="003E68D4"/>
    <w:rsid w:val="003F19D4"/>
    <w:rsid w:val="003F38DC"/>
    <w:rsid w:val="00425C6C"/>
    <w:rsid w:val="004330DF"/>
    <w:rsid w:val="0043499E"/>
    <w:rsid w:val="00451367"/>
    <w:rsid w:val="00460F16"/>
    <w:rsid w:val="00474BCB"/>
    <w:rsid w:val="00477844"/>
    <w:rsid w:val="00485491"/>
    <w:rsid w:val="004C23A4"/>
    <w:rsid w:val="004E37B6"/>
    <w:rsid w:val="0051086F"/>
    <w:rsid w:val="005144C8"/>
    <w:rsid w:val="00543FF2"/>
    <w:rsid w:val="00544A8A"/>
    <w:rsid w:val="005456E1"/>
    <w:rsid w:val="00563C1B"/>
    <w:rsid w:val="0056798A"/>
    <w:rsid w:val="005730DB"/>
    <w:rsid w:val="0058436B"/>
    <w:rsid w:val="005C0000"/>
    <w:rsid w:val="005C0641"/>
    <w:rsid w:val="005C329D"/>
    <w:rsid w:val="005D39EB"/>
    <w:rsid w:val="00601490"/>
    <w:rsid w:val="00602DC9"/>
    <w:rsid w:val="006134D7"/>
    <w:rsid w:val="00615DD6"/>
    <w:rsid w:val="00650935"/>
    <w:rsid w:val="00662302"/>
    <w:rsid w:val="006627E5"/>
    <w:rsid w:val="00674A32"/>
    <w:rsid w:val="00693F07"/>
    <w:rsid w:val="006B0111"/>
    <w:rsid w:val="006B1920"/>
    <w:rsid w:val="006C31C3"/>
    <w:rsid w:val="006D27B8"/>
    <w:rsid w:val="006F2102"/>
    <w:rsid w:val="00711A61"/>
    <w:rsid w:val="007360E4"/>
    <w:rsid w:val="00741226"/>
    <w:rsid w:val="007414ED"/>
    <w:rsid w:val="00753F63"/>
    <w:rsid w:val="00756A0E"/>
    <w:rsid w:val="007610FD"/>
    <w:rsid w:val="00761862"/>
    <w:rsid w:val="00772489"/>
    <w:rsid w:val="00775A25"/>
    <w:rsid w:val="00775E70"/>
    <w:rsid w:val="007822FD"/>
    <w:rsid w:val="007824A4"/>
    <w:rsid w:val="00782C9A"/>
    <w:rsid w:val="0078407C"/>
    <w:rsid w:val="0078443E"/>
    <w:rsid w:val="007951E0"/>
    <w:rsid w:val="007A2D9D"/>
    <w:rsid w:val="007C4502"/>
    <w:rsid w:val="007D7EDB"/>
    <w:rsid w:val="007E26A5"/>
    <w:rsid w:val="007E69AC"/>
    <w:rsid w:val="007E716A"/>
    <w:rsid w:val="007F0D41"/>
    <w:rsid w:val="00805444"/>
    <w:rsid w:val="008060E5"/>
    <w:rsid w:val="0080615B"/>
    <w:rsid w:val="00834FB1"/>
    <w:rsid w:val="00846849"/>
    <w:rsid w:val="00850F6E"/>
    <w:rsid w:val="0087255B"/>
    <w:rsid w:val="0089184F"/>
    <w:rsid w:val="00896534"/>
    <w:rsid w:val="008F241A"/>
    <w:rsid w:val="008F3A85"/>
    <w:rsid w:val="008F701B"/>
    <w:rsid w:val="00900744"/>
    <w:rsid w:val="00903A56"/>
    <w:rsid w:val="00922834"/>
    <w:rsid w:val="0092501C"/>
    <w:rsid w:val="00930EE2"/>
    <w:rsid w:val="00936D85"/>
    <w:rsid w:val="00944FB8"/>
    <w:rsid w:val="00963CB3"/>
    <w:rsid w:val="00972A6F"/>
    <w:rsid w:val="00993952"/>
    <w:rsid w:val="00995886"/>
    <w:rsid w:val="009A0F75"/>
    <w:rsid w:val="009B2AF9"/>
    <w:rsid w:val="009B5584"/>
    <w:rsid w:val="009C183C"/>
    <w:rsid w:val="009F18B3"/>
    <w:rsid w:val="009F3ED5"/>
    <w:rsid w:val="00A145B7"/>
    <w:rsid w:val="00A42FF9"/>
    <w:rsid w:val="00A60646"/>
    <w:rsid w:val="00A60889"/>
    <w:rsid w:val="00A71E15"/>
    <w:rsid w:val="00A77A76"/>
    <w:rsid w:val="00AA1F65"/>
    <w:rsid w:val="00AC0B20"/>
    <w:rsid w:val="00AE3286"/>
    <w:rsid w:val="00AE33B2"/>
    <w:rsid w:val="00AE5698"/>
    <w:rsid w:val="00AE570C"/>
    <w:rsid w:val="00B10CCE"/>
    <w:rsid w:val="00B35775"/>
    <w:rsid w:val="00B36186"/>
    <w:rsid w:val="00B40B6D"/>
    <w:rsid w:val="00B44001"/>
    <w:rsid w:val="00B7523F"/>
    <w:rsid w:val="00B81BD3"/>
    <w:rsid w:val="00B91B8D"/>
    <w:rsid w:val="00B94CD5"/>
    <w:rsid w:val="00B97BED"/>
    <w:rsid w:val="00BA5DA6"/>
    <w:rsid w:val="00BC00CA"/>
    <w:rsid w:val="00BD3FAA"/>
    <w:rsid w:val="00BE097B"/>
    <w:rsid w:val="00BE3748"/>
    <w:rsid w:val="00BE6F4B"/>
    <w:rsid w:val="00BF436A"/>
    <w:rsid w:val="00C03538"/>
    <w:rsid w:val="00C26607"/>
    <w:rsid w:val="00C3345C"/>
    <w:rsid w:val="00C35295"/>
    <w:rsid w:val="00C36074"/>
    <w:rsid w:val="00C403CE"/>
    <w:rsid w:val="00C40545"/>
    <w:rsid w:val="00C43AF1"/>
    <w:rsid w:val="00C4599F"/>
    <w:rsid w:val="00C661E0"/>
    <w:rsid w:val="00C6759C"/>
    <w:rsid w:val="00C71B99"/>
    <w:rsid w:val="00C95AA6"/>
    <w:rsid w:val="00CB079E"/>
    <w:rsid w:val="00CB4BE2"/>
    <w:rsid w:val="00CC4869"/>
    <w:rsid w:val="00CE2710"/>
    <w:rsid w:val="00CE3D1F"/>
    <w:rsid w:val="00CE58C5"/>
    <w:rsid w:val="00CE758B"/>
    <w:rsid w:val="00CF34EE"/>
    <w:rsid w:val="00CF605A"/>
    <w:rsid w:val="00D14ED0"/>
    <w:rsid w:val="00D20E76"/>
    <w:rsid w:val="00D2454C"/>
    <w:rsid w:val="00D24A5B"/>
    <w:rsid w:val="00D260A6"/>
    <w:rsid w:val="00D50F71"/>
    <w:rsid w:val="00D51E24"/>
    <w:rsid w:val="00D54E69"/>
    <w:rsid w:val="00D65E23"/>
    <w:rsid w:val="00D72687"/>
    <w:rsid w:val="00D86509"/>
    <w:rsid w:val="00D96CFE"/>
    <w:rsid w:val="00DB1E8F"/>
    <w:rsid w:val="00DB6FF1"/>
    <w:rsid w:val="00DC0A1C"/>
    <w:rsid w:val="00DC1B70"/>
    <w:rsid w:val="00DC42AD"/>
    <w:rsid w:val="00DC4A5C"/>
    <w:rsid w:val="00DF4350"/>
    <w:rsid w:val="00E033F9"/>
    <w:rsid w:val="00E11737"/>
    <w:rsid w:val="00E241F3"/>
    <w:rsid w:val="00E25324"/>
    <w:rsid w:val="00E30B6E"/>
    <w:rsid w:val="00E45D9B"/>
    <w:rsid w:val="00E45E09"/>
    <w:rsid w:val="00E50A70"/>
    <w:rsid w:val="00E51F08"/>
    <w:rsid w:val="00E52017"/>
    <w:rsid w:val="00E620EE"/>
    <w:rsid w:val="00E81609"/>
    <w:rsid w:val="00E87739"/>
    <w:rsid w:val="00E87C68"/>
    <w:rsid w:val="00EC3E5C"/>
    <w:rsid w:val="00ED0881"/>
    <w:rsid w:val="00EE01E6"/>
    <w:rsid w:val="00EE1BA1"/>
    <w:rsid w:val="00EE2D5D"/>
    <w:rsid w:val="00EE3473"/>
    <w:rsid w:val="00EF534A"/>
    <w:rsid w:val="00EF587B"/>
    <w:rsid w:val="00F26523"/>
    <w:rsid w:val="00F34AD3"/>
    <w:rsid w:val="00F45CC6"/>
    <w:rsid w:val="00F46D98"/>
    <w:rsid w:val="00F5378D"/>
    <w:rsid w:val="00F56F10"/>
    <w:rsid w:val="00F63754"/>
    <w:rsid w:val="00F65484"/>
    <w:rsid w:val="00F712F6"/>
    <w:rsid w:val="00F717B9"/>
    <w:rsid w:val="00F9168B"/>
    <w:rsid w:val="00FB7A48"/>
    <w:rsid w:val="00FC0B8F"/>
    <w:rsid w:val="00FC1224"/>
    <w:rsid w:val="00FE2C7A"/>
    <w:rsid w:val="00FF38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6913FF-B319-41F3-9E37-DF84A16B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7951E0"/>
    <w:pPr>
      <w:spacing w:before="100" w:beforeAutospacing="1" w:after="100" w:afterAutospacing="1" w:line="240" w:lineRule="auto"/>
      <w:outlineLvl w:val="1"/>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84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99"/>
    <w:qFormat/>
    <w:rsid w:val="002B4EFB"/>
    <w:pPr>
      <w:ind w:left="720"/>
      <w:contextualSpacing/>
    </w:pPr>
  </w:style>
  <w:style w:type="character" w:customStyle="1" w:styleId="nowrap">
    <w:name w:val="nowrap"/>
    <w:basedOn w:val="Standardnpsmoodstavce"/>
    <w:rsid w:val="003858C4"/>
  </w:style>
  <w:style w:type="character" w:customStyle="1" w:styleId="Nadpis2Char">
    <w:name w:val="Nadpis 2 Char"/>
    <w:basedOn w:val="Standardnpsmoodstavce"/>
    <w:link w:val="Nadpis2"/>
    <w:uiPriority w:val="9"/>
    <w:rsid w:val="007951E0"/>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5144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144C8"/>
  </w:style>
  <w:style w:type="paragraph" w:styleId="Zpat">
    <w:name w:val="footer"/>
    <w:basedOn w:val="Normln"/>
    <w:link w:val="ZpatChar"/>
    <w:uiPriority w:val="99"/>
    <w:unhideWhenUsed/>
    <w:rsid w:val="005144C8"/>
    <w:pPr>
      <w:tabs>
        <w:tab w:val="center" w:pos="4536"/>
        <w:tab w:val="right" w:pos="9072"/>
      </w:tabs>
      <w:spacing w:after="0" w:line="240" w:lineRule="auto"/>
    </w:pPr>
  </w:style>
  <w:style w:type="character" w:customStyle="1" w:styleId="ZpatChar">
    <w:name w:val="Zápatí Char"/>
    <w:basedOn w:val="Standardnpsmoodstavce"/>
    <w:link w:val="Zpat"/>
    <w:uiPriority w:val="99"/>
    <w:rsid w:val="005144C8"/>
  </w:style>
  <w:style w:type="table" w:styleId="Tabulkaseznamu3">
    <w:name w:val="List Table 3"/>
    <w:basedOn w:val="Normlntabulka"/>
    <w:uiPriority w:val="48"/>
    <w:rsid w:val="00C3607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Hypertextovodkaz">
    <w:name w:val="Hyperlink"/>
    <w:uiPriority w:val="99"/>
    <w:rsid w:val="00143BA7"/>
    <w:rPr>
      <w:rFonts w:cs="Times New Roman"/>
      <w:color w:val="0000FF"/>
      <w:u w:val="single"/>
    </w:rPr>
  </w:style>
  <w:style w:type="character" w:customStyle="1" w:styleId="detail">
    <w:name w:val="detail"/>
    <w:basedOn w:val="Standardnpsmoodstavce"/>
    <w:rsid w:val="00E25324"/>
  </w:style>
  <w:style w:type="paragraph" w:styleId="Textbubliny">
    <w:name w:val="Balloon Text"/>
    <w:basedOn w:val="Normln"/>
    <w:link w:val="TextbublinyChar"/>
    <w:uiPriority w:val="99"/>
    <w:semiHidden/>
    <w:unhideWhenUsed/>
    <w:rsid w:val="00D260A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260A6"/>
    <w:rPr>
      <w:rFonts w:ascii="Segoe UI" w:hAnsi="Segoe UI" w:cs="Segoe UI"/>
      <w:sz w:val="18"/>
      <w:szCs w:val="18"/>
    </w:rPr>
  </w:style>
  <w:style w:type="character" w:customStyle="1" w:styleId="rf-trn-lbl">
    <w:name w:val="rf-trn-lbl"/>
    <w:basedOn w:val="Standardnpsmoodstavce"/>
    <w:rsid w:val="00936D85"/>
  </w:style>
  <w:style w:type="paragraph" w:styleId="Bezmezer">
    <w:name w:val="No Spacing"/>
    <w:uiPriority w:val="1"/>
    <w:qFormat/>
    <w:rsid w:val="002F4E3E"/>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96062">
      <w:bodyDiv w:val="1"/>
      <w:marLeft w:val="0"/>
      <w:marRight w:val="0"/>
      <w:marTop w:val="0"/>
      <w:marBottom w:val="0"/>
      <w:divBdr>
        <w:top w:val="none" w:sz="0" w:space="0" w:color="auto"/>
        <w:left w:val="none" w:sz="0" w:space="0" w:color="auto"/>
        <w:bottom w:val="none" w:sz="0" w:space="0" w:color="auto"/>
        <w:right w:val="none" w:sz="0" w:space="0" w:color="auto"/>
      </w:divBdr>
    </w:div>
    <w:div w:id="191169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avorsky@co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datelna@coi.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i.cz/cs/epodatelna"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C4F0F-100F-4121-B61D-61A8E757A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3</Pages>
  <Words>957</Words>
  <Characters>5652</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jpeskova</dc:creator>
  <cp:lastModifiedBy>Krňanský Jan, PhDr.</cp:lastModifiedBy>
  <cp:revision>86</cp:revision>
  <cp:lastPrinted>2016-10-26T07:02:00Z</cp:lastPrinted>
  <dcterms:created xsi:type="dcterms:W3CDTF">2016-07-25T13:41:00Z</dcterms:created>
  <dcterms:modified xsi:type="dcterms:W3CDTF">2016-11-02T06:31:00Z</dcterms:modified>
</cp:coreProperties>
</file>