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E6" w:rsidRPr="00C94878" w:rsidRDefault="008F17E6" w:rsidP="004424C8">
      <w:pPr>
        <w:pStyle w:val="Nzev"/>
        <w:ind w:right="-709"/>
        <w:jc w:val="both"/>
        <w:rPr>
          <w:color w:val="FFFFFF"/>
          <w:sz w:val="10"/>
          <w:szCs w:val="10"/>
        </w:rPr>
      </w:pPr>
      <w:bookmarkStart w:id="0" w:name="_GoBack"/>
      <w:bookmarkEnd w:id="0"/>
      <w:r w:rsidRPr="00F73477">
        <w:rPr>
          <w:noProof/>
          <w:color w:val="FFFFFF"/>
          <w:sz w:val="10"/>
          <w:szCs w:val="10"/>
        </w:rPr>
        <w:t>LFP_v2</w:t>
      </w:r>
      <w:r w:rsidRPr="00C94878">
        <w:rPr>
          <w:color w:val="FFFFFF"/>
          <w:sz w:val="10"/>
          <w:szCs w:val="10"/>
        </w:rPr>
        <w:t>§</w:t>
      </w:r>
    </w:p>
    <w:p w:rsidR="008F17E6" w:rsidRPr="007476EA" w:rsidRDefault="008F17E6">
      <w:pPr>
        <w:pStyle w:val="Nzev"/>
        <w:ind w:left="8364" w:right="-709"/>
        <w:jc w:val="left"/>
        <w:rPr>
          <w:sz w:val="19"/>
          <w:szCs w:val="19"/>
        </w:rPr>
      </w:pPr>
      <w:r w:rsidRPr="007476EA">
        <w:rPr>
          <w:sz w:val="19"/>
          <w:szCs w:val="19"/>
        </w:rPr>
        <w:t xml:space="preserve">Č.j.:        </w:t>
      </w:r>
      <w:r>
        <w:rPr>
          <w:sz w:val="19"/>
          <w:szCs w:val="19"/>
        </w:rPr>
        <w:t>06</w:t>
      </w:r>
      <w:r w:rsidRPr="007476EA">
        <w:rPr>
          <w:sz w:val="19"/>
          <w:szCs w:val="19"/>
        </w:rPr>
        <w:t xml:space="preserve"> /S/</w:t>
      </w:r>
      <w:r>
        <w:rPr>
          <w:sz w:val="19"/>
          <w:szCs w:val="19"/>
        </w:rPr>
        <w:t>16</w:t>
      </w:r>
    </w:p>
    <w:p w:rsidR="008F17E6" w:rsidRDefault="008F17E6">
      <w:pPr>
        <w:pStyle w:val="Nzev"/>
        <w:rPr>
          <w:rFonts w:ascii="Verdana" w:hAnsi="Verdana"/>
          <w:sz w:val="19"/>
          <w:szCs w:val="19"/>
        </w:rPr>
      </w:pPr>
    </w:p>
    <w:p w:rsidR="008F17E6" w:rsidRPr="007476EA" w:rsidRDefault="008F17E6">
      <w:pPr>
        <w:pStyle w:val="Nzev"/>
        <w:rPr>
          <w:rFonts w:ascii="Verdana" w:hAnsi="Verdana"/>
          <w:sz w:val="19"/>
          <w:szCs w:val="19"/>
        </w:rPr>
      </w:pPr>
      <w:r w:rsidRPr="007476EA">
        <w:rPr>
          <w:rFonts w:ascii="Verdana" w:hAnsi="Verdana"/>
          <w:sz w:val="19"/>
          <w:szCs w:val="19"/>
        </w:rPr>
        <w:t>Servisní smlouva</w:t>
      </w:r>
    </w:p>
    <w:p w:rsidR="008F17E6" w:rsidRPr="007476EA" w:rsidRDefault="008F17E6">
      <w:pPr>
        <w:jc w:val="center"/>
        <w:rPr>
          <w:rFonts w:ascii="Verdana" w:hAnsi="Verdana"/>
          <w:b/>
          <w:sz w:val="19"/>
          <w:szCs w:val="19"/>
        </w:rPr>
      </w:pPr>
    </w:p>
    <w:p w:rsidR="008F17E6" w:rsidRPr="00E131AE" w:rsidRDefault="008F17E6">
      <w:pPr>
        <w:pStyle w:val="Nadpis2"/>
        <w:rPr>
          <w:rFonts w:ascii="Verdana" w:hAnsi="Verdana"/>
          <w:sz w:val="22"/>
          <w:szCs w:val="22"/>
        </w:rPr>
      </w:pPr>
      <w:r w:rsidRPr="00E131AE">
        <w:rPr>
          <w:rFonts w:ascii="Verdana" w:hAnsi="Verdana"/>
          <w:sz w:val="22"/>
          <w:szCs w:val="22"/>
        </w:rPr>
        <w:t>Smluvní strany</w:t>
      </w:r>
    </w:p>
    <w:p w:rsidR="008F17E6" w:rsidRPr="007476EA" w:rsidRDefault="008F17E6">
      <w:pPr>
        <w:tabs>
          <w:tab w:val="left" w:pos="1560"/>
        </w:tabs>
        <w:rPr>
          <w:rFonts w:ascii="Verdana" w:hAnsi="Verdana"/>
          <w:sz w:val="19"/>
          <w:szCs w:val="19"/>
        </w:rPr>
      </w:pPr>
      <w:r w:rsidRPr="007476EA">
        <w:rPr>
          <w:rFonts w:ascii="Verdana" w:hAnsi="Verdana"/>
          <w:b/>
          <w:sz w:val="19"/>
          <w:szCs w:val="19"/>
        </w:rPr>
        <w:t>Poskytovatel:</w:t>
      </w:r>
      <w:r w:rsidRPr="007476EA">
        <w:rPr>
          <w:rFonts w:ascii="Verdana" w:hAnsi="Verdana"/>
          <w:b/>
          <w:sz w:val="19"/>
          <w:szCs w:val="19"/>
        </w:rPr>
        <w:tab/>
      </w:r>
      <w:r w:rsidRPr="00B14A3E">
        <w:rPr>
          <w:rFonts w:ascii="Verdana" w:hAnsi="Verdana"/>
          <w:b/>
          <w:sz w:val="19"/>
          <w:szCs w:val="19"/>
        </w:rPr>
        <w:t>Beckman Coulter Česká republika s.r.o.</w:t>
      </w:r>
    </w:p>
    <w:p w:rsidR="008F17E6" w:rsidRPr="007476EA" w:rsidRDefault="008F17E6">
      <w:pPr>
        <w:tabs>
          <w:tab w:val="left" w:pos="2127"/>
        </w:tabs>
        <w:ind w:left="1560"/>
        <w:rPr>
          <w:rFonts w:ascii="Verdana" w:hAnsi="Verdana"/>
          <w:sz w:val="19"/>
          <w:szCs w:val="19"/>
        </w:rPr>
      </w:pPr>
      <w:r w:rsidRPr="007476EA">
        <w:rPr>
          <w:rFonts w:ascii="Verdana" w:hAnsi="Verdana"/>
          <w:sz w:val="19"/>
          <w:szCs w:val="19"/>
        </w:rPr>
        <w:t>Radiová 1, 102 27 Praha 10</w:t>
      </w:r>
    </w:p>
    <w:p w:rsidR="008F17E6" w:rsidRPr="007476EA" w:rsidRDefault="008F17E6" w:rsidP="00600663">
      <w:pPr>
        <w:ind w:left="1985" w:hanging="425"/>
        <w:rPr>
          <w:rFonts w:ascii="Verdana" w:hAnsi="Verdana"/>
          <w:sz w:val="19"/>
          <w:szCs w:val="19"/>
        </w:rPr>
      </w:pPr>
      <w:r w:rsidRPr="007476EA">
        <w:rPr>
          <w:rFonts w:ascii="Verdana" w:hAnsi="Verdana"/>
          <w:sz w:val="19"/>
          <w:szCs w:val="19"/>
        </w:rPr>
        <w:t xml:space="preserve">IČ: </w:t>
      </w:r>
      <w:r>
        <w:rPr>
          <w:rFonts w:ascii="Verdana" w:hAnsi="Verdana"/>
          <w:sz w:val="19"/>
          <w:szCs w:val="19"/>
        </w:rPr>
        <w:t>28233492</w:t>
      </w:r>
      <w:r w:rsidRPr="007476EA">
        <w:rPr>
          <w:rFonts w:ascii="Verdana" w:hAnsi="Verdana"/>
          <w:sz w:val="19"/>
          <w:szCs w:val="19"/>
        </w:rPr>
        <w:t>,  DIČ: CZ-</w:t>
      </w:r>
      <w:r>
        <w:rPr>
          <w:rFonts w:ascii="Verdana" w:hAnsi="Verdana"/>
          <w:sz w:val="19"/>
          <w:szCs w:val="19"/>
        </w:rPr>
        <w:t>28233492</w:t>
      </w:r>
      <w:r w:rsidRPr="007476EA">
        <w:rPr>
          <w:rFonts w:ascii="Verdana" w:hAnsi="Verdana"/>
          <w:sz w:val="19"/>
          <w:szCs w:val="19"/>
        </w:rPr>
        <w:t xml:space="preserve">, </w:t>
      </w:r>
      <w:r>
        <w:rPr>
          <w:rFonts w:ascii="Verdana" w:hAnsi="Verdana"/>
          <w:sz w:val="19"/>
          <w:szCs w:val="19"/>
        </w:rPr>
        <w:t xml:space="preserve">registrace v OR: </w:t>
      </w:r>
      <w:r w:rsidRPr="007476EA">
        <w:rPr>
          <w:rFonts w:ascii="Verdana" w:hAnsi="Verdana"/>
          <w:sz w:val="19"/>
          <w:szCs w:val="19"/>
        </w:rPr>
        <w:t>Obchodnírejstřík</w:t>
      </w:r>
      <w:r>
        <w:rPr>
          <w:rFonts w:ascii="Verdana" w:hAnsi="Verdana"/>
          <w:sz w:val="19"/>
          <w:szCs w:val="19"/>
        </w:rPr>
        <w:t>, vedený</w:t>
      </w:r>
      <w:r w:rsidRPr="007476EA">
        <w:rPr>
          <w:rFonts w:ascii="Verdana" w:hAnsi="Verdana"/>
          <w:sz w:val="19"/>
          <w:szCs w:val="19"/>
        </w:rPr>
        <w:t xml:space="preserve"> M</w:t>
      </w:r>
      <w:r>
        <w:rPr>
          <w:rFonts w:ascii="Verdana" w:hAnsi="Verdana"/>
          <w:sz w:val="19"/>
          <w:szCs w:val="19"/>
        </w:rPr>
        <w:t>ěstským</w:t>
      </w:r>
      <w:r w:rsidRPr="007476EA">
        <w:rPr>
          <w:rFonts w:ascii="Verdana" w:hAnsi="Verdana"/>
          <w:sz w:val="19"/>
          <w:szCs w:val="19"/>
        </w:rPr>
        <w:t xml:space="preserve"> soud</w:t>
      </w:r>
      <w:r>
        <w:rPr>
          <w:rFonts w:ascii="Verdana" w:hAnsi="Verdana"/>
          <w:sz w:val="19"/>
          <w:szCs w:val="19"/>
        </w:rPr>
        <w:t xml:space="preserve">emv </w:t>
      </w:r>
      <w:r w:rsidRPr="007476EA">
        <w:rPr>
          <w:rFonts w:ascii="Verdana" w:hAnsi="Verdana"/>
          <w:sz w:val="19"/>
          <w:szCs w:val="19"/>
        </w:rPr>
        <w:t>Pra</w:t>
      </w:r>
      <w:r>
        <w:rPr>
          <w:rFonts w:ascii="Verdana" w:hAnsi="Verdana"/>
          <w:sz w:val="19"/>
          <w:szCs w:val="19"/>
        </w:rPr>
        <w:t>ze</w:t>
      </w:r>
      <w:r w:rsidRPr="007476EA">
        <w:rPr>
          <w:rFonts w:ascii="Verdana" w:hAnsi="Verdana"/>
          <w:sz w:val="19"/>
          <w:szCs w:val="19"/>
        </w:rPr>
        <w:t xml:space="preserve">, oddíl </w:t>
      </w:r>
      <w:r>
        <w:rPr>
          <w:rFonts w:ascii="Verdana" w:hAnsi="Verdana"/>
          <w:sz w:val="19"/>
          <w:szCs w:val="19"/>
        </w:rPr>
        <w:t>C</w:t>
      </w:r>
      <w:r w:rsidRPr="007476EA">
        <w:rPr>
          <w:rFonts w:ascii="Verdana" w:hAnsi="Verdana"/>
          <w:sz w:val="19"/>
          <w:szCs w:val="19"/>
        </w:rPr>
        <w:t>, vložka 1</w:t>
      </w:r>
      <w:r>
        <w:rPr>
          <w:rFonts w:ascii="Verdana" w:hAnsi="Verdana"/>
          <w:sz w:val="19"/>
          <w:szCs w:val="19"/>
        </w:rPr>
        <w:t>34167</w:t>
      </w:r>
    </w:p>
    <w:p w:rsidR="008F17E6" w:rsidRPr="007476EA" w:rsidRDefault="008F17E6" w:rsidP="00600663">
      <w:pPr>
        <w:ind w:left="1985" w:hanging="425"/>
        <w:rPr>
          <w:rFonts w:ascii="Verdana" w:hAnsi="Verdana"/>
          <w:sz w:val="19"/>
          <w:szCs w:val="19"/>
        </w:rPr>
      </w:pPr>
      <w:r w:rsidRPr="007476EA">
        <w:rPr>
          <w:rFonts w:ascii="Verdana" w:hAnsi="Verdana"/>
          <w:sz w:val="19"/>
          <w:szCs w:val="19"/>
        </w:rPr>
        <w:t xml:space="preserve">bankovní spojení: </w:t>
      </w:r>
      <w:r w:rsidRPr="00600663">
        <w:rPr>
          <w:rFonts w:ascii="Verdana" w:hAnsi="Verdana"/>
          <w:sz w:val="19"/>
          <w:szCs w:val="19"/>
        </w:rPr>
        <w:t xml:space="preserve">Deutsche Bank, Jungmannova 34/750, P.O.Box 829, </w:t>
      </w:r>
      <w:r>
        <w:rPr>
          <w:rFonts w:ascii="Verdana" w:hAnsi="Verdana"/>
          <w:sz w:val="19"/>
          <w:szCs w:val="19"/>
        </w:rPr>
        <w:t>111 </w:t>
      </w:r>
      <w:r w:rsidRPr="00600663">
        <w:rPr>
          <w:rFonts w:ascii="Verdana" w:hAnsi="Verdana"/>
          <w:sz w:val="19"/>
          <w:szCs w:val="19"/>
        </w:rPr>
        <w:t>21</w:t>
      </w:r>
      <w:r>
        <w:rPr>
          <w:rFonts w:ascii="Verdana" w:hAnsi="Verdana"/>
          <w:sz w:val="19"/>
          <w:szCs w:val="19"/>
        </w:rPr>
        <w:t> </w:t>
      </w:r>
      <w:r w:rsidRPr="00600663">
        <w:rPr>
          <w:rFonts w:ascii="Verdana" w:hAnsi="Verdana"/>
          <w:sz w:val="19"/>
          <w:szCs w:val="19"/>
        </w:rPr>
        <w:t>Praha 1</w:t>
      </w:r>
      <w:r>
        <w:rPr>
          <w:rFonts w:ascii="Verdana" w:hAnsi="Verdana"/>
          <w:sz w:val="19"/>
          <w:szCs w:val="19"/>
        </w:rPr>
        <w:t xml:space="preserve">, </w:t>
      </w:r>
      <w:r w:rsidRPr="00600663">
        <w:rPr>
          <w:rFonts w:ascii="Verdana" w:hAnsi="Verdana"/>
          <w:sz w:val="19"/>
          <w:szCs w:val="19"/>
        </w:rPr>
        <w:t>č.ú. 3148800008 / 7910</w:t>
      </w:r>
    </w:p>
    <w:p w:rsidR="008F17E6" w:rsidRPr="007476EA" w:rsidRDefault="008F17E6">
      <w:pPr>
        <w:tabs>
          <w:tab w:val="left" w:pos="2127"/>
        </w:tabs>
        <w:ind w:left="1560"/>
        <w:rPr>
          <w:rFonts w:ascii="Verdana" w:hAnsi="Verdana"/>
          <w:sz w:val="19"/>
          <w:szCs w:val="19"/>
        </w:rPr>
      </w:pPr>
      <w:r w:rsidRPr="007476EA">
        <w:rPr>
          <w:rFonts w:ascii="Verdana" w:hAnsi="Verdana"/>
          <w:sz w:val="19"/>
          <w:szCs w:val="19"/>
        </w:rPr>
        <w:t>odpovědný zástupce: Ing. Václav Mádr, ředitel</w:t>
      </w:r>
      <w:r>
        <w:rPr>
          <w:rFonts w:ascii="Verdana" w:hAnsi="Verdana"/>
          <w:sz w:val="19"/>
          <w:szCs w:val="19"/>
        </w:rPr>
        <w:t xml:space="preserve"> a jednatel společnosti</w:t>
      </w:r>
    </w:p>
    <w:p w:rsidR="008F17E6" w:rsidRPr="007476EA" w:rsidRDefault="008F17E6">
      <w:pPr>
        <w:rPr>
          <w:rFonts w:ascii="Verdana" w:hAnsi="Verdana"/>
          <w:sz w:val="19"/>
          <w:szCs w:val="19"/>
        </w:rPr>
      </w:pPr>
    </w:p>
    <w:p w:rsidR="008F17E6" w:rsidRPr="007476EA" w:rsidRDefault="008F17E6">
      <w:pPr>
        <w:pStyle w:val="Nadpis1"/>
        <w:tabs>
          <w:tab w:val="left" w:pos="1560"/>
        </w:tabs>
        <w:rPr>
          <w:rFonts w:ascii="Verdana" w:hAnsi="Verdana"/>
          <w:sz w:val="19"/>
          <w:szCs w:val="19"/>
        </w:rPr>
      </w:pPr>
      <w:r w:rsidRPr="007476EA">
        <w:rPr>
          <w:rFonts w:ascii="Verdana" w:hAnsi="Verdana"/>
          <w:sz w:val="19"/>
          <w:szCs w:val="19"/>
        </w:rPr>
        <w:t>Objednavatel:</w:t>
      </w:r>
      <w:r w:rsidRPr="007476EA">
        <w:rPr>
          <w:rFonts w:ascii="Verdana" w:hAnsi="Verdana"/>
          <w:sz w:val="19"/>
          <w:szCs w:val="19"/>
        </w:rPr>
        <w:tab/>
      </w:r>
      <w:r w:rsidRPr="00F73477">
        <w:rPr>
          <w:rFonts w:ascii="Verdana" w:hAnsi="Verdana"/>
          <w:noProof/>
          <w:sz w:val="19"/>
          <w:szCs w:val="19"/>
        </w:rPr>
        <w:t>Endokrinologický Ústav, oddělení steroidních hormonů</w:t>
      </w:r>
    </w:p>
    <w:p w:rsidR="008F17E6" w:rsidRPr="007476EA" w:rsidRDefault="008F17E6">
      <w:pPr>
        <w:pStyle w:val="Zkladntext"/>
        <w:tabs>
          <w:tab w:val="left" w:pos="-2127"/>
        </w:tabs>
        <w:ind w:left="1560"/>
        <w:rPr>
          <w:rFonts w:ascii="Verdana" w:hAnsi="Verdana"/>
          <w:sz w:val="19"/>
          <w:szCs w:val="19"/>
        </w:rPr>
      </w:pPr>
      <w:r w:rsidRPr="007476EA">
        <w:rPr>
          <w:rFonts w:ascii="Verdana" w:hAnsi="Verdana"/>
          <w:sz w:val="19"/>
          <w:szCs w:val="19"/>
        </w:rPr>
        <w:t>Sídlo</w:t>
      </w:r>
      <w:r>
        <w:rPr>
          <w:rFonts w:ascii="Verdana" w:hAnsi="Verdana"/>
          <w:sz w:val="19"/>
          <w:szCs w:val="19"/>
        </w:rPr>
        <w:t xml:space="preserve">: </w:t>
      </w:r>
      <w:r w:rsidRPr="00F73477">
        <w:rPr>
          <w:rFonts w:ascii="Verdana" w:hAnsi="Verdana"/>
          <w:noProof/>
          <w:sz w:val="19"/>
          <w:szCs w:val="19"/>
        </w:rPr>
        <w:t>Národní 139/8, 116 94 Praha 1</w:t>
      </w:r>
    </w:p>
    <w:p w:rsidR="008F17E6" w:rsidRPr="007476EA" w:rsidRDefault="008F17E6" w:rsidP="00600663">
      <w:pPr>
        <w:ind w:left="1985" w:hanging="425"/>
        <w:rPr>
          <w:rFonts w:ascii="Verdana" w:hAnsi="Verdana"/>
          <w:sz w:val="19"/>
          <w:szCs w:val="19"/>
        </w:rPr>
      </w:pPr>
      <w:r w:rsidRPr="007476EA">
        <w:rPr>
          <w:rFonts w:ascii="Verdana" w:hAnsi="Verdana"/>
          <w:sz w:val="19"/>
          <w:szCs w:val="19"/>
        </w:rPr>
        <w:t>IČ:</w:t>
      </w:r>
      <w:r w:rsidRPr="00F73477">
        <w:rPr>
          <w:rFonts w:ascii="Verdana" w:hAnsi="Verdana"/>
          <w:noProof/>
          <w:sz w:val="19"/>
          <w:szCs w:val="19"/>
        </w:rPr>
        <w:t>00023761,  DIČ: CZ00023761,  Registrace v OR: Zřizovatel ministerstvo Zdravotnicvtí</w:t>
      </w:r>
    </w:p>
    <w:p w:rsidR="008F17E6" w:rsidRPr="007476EA" w:rsidRDefault="008F17E6" w:rsidP="00600663">
      <w:pPr>
        <w:ind w:left="1985" w:hanging="425"/>
        <w:rPr>
          <w:rFonts w:ascii="Verdana" w:hAnsi="Verdana"/>
          <w:sz w:val="19"/>
          <w:szCs w:val="19"/>
        </w:rPr>
      </w:pPr>
      <w:r w:rsidRPr="007476EA">
        <w:rPr>
          <w:rFonts w:ascii="Verdana" w:hAnsi="Verdana"/>
          <w:sz w:val="19"/>
          <w:szCs w:val="19"/>
        </w:rPr>
        <w:t>bankovní spojení:</w:t>
      </w:r>
      <w:r w:rsidRPr="00F73477">
        <w:rPr>
          <w:rFonts w:ascii="Verdana" w:hAnsi="Verdana"/>
          <w:noProof/>
          <w:sz w:val="19"/>
          <w:szCs w:val="19"/>
        </w:rPr>
        <w:t>Komerční Banka, č.ú. 71133011/0100</w:t>
      </w:r>
    </w:p>
    <w:p w:rsidR="008F17E6" w:rsidRPr="007476EA" w:rsidRDefault="008F17E6">
      <w:pPr>
        <w:pStyle w:val="Zkladntext"/>
        <w:tabs>
          <w:tab w:val="left" w:pos="-2127"/>
        </w:tabs>
        <w:ind w:left="1560"/>
        <w:rPr>
          <w:rFonts w:ascii="Verdana" w:hAnsi="Verdana"/>
          <w:sz w:val="19"/>
          <w:szCs w:val="19"/>
        </w:rPr>
      </w:pPr>
      <w:r>
        <w:rPr>
          <w:rFonts w:ascii="Verdana" w:hAnsi="Verdana"/>
          <w:noProof/>
          <w:sz w:val="18"/>
          <w:szCs w:val="18"/>
        </w:rPr>
        <w:t xml:space="preserve">odpovědný zástupce: </w:t>
      </w:r>
      <w:r w:rsidRPr="00F73477">
        <w:rPr>
          <w:rFonts w:ascii="Verdana" w:hAnsi="Verdana"/>
          <w:noProof/>
          <w:sz w:val="19"/>
          <w:szCs w:val="19"/>
        </w:rPr>
        <w:t>Doc. RNDr. Běla Bendlová, ředitelka</w:t>
      </w:r>
    </w:p>
    <w:p w:rsidR="008F17E6" w:rsidRPr="007476EA" w:rsidRDefault="008F17E6">
      <w:pPr>
        <w:pStyle w:val="Zkladntext"/>
        <w:tabs>
          <w:tab w:val="left" w:pos="-2127"/>
        </w:tabs>
        <w:spacing w:before="480" w:after="240"/>
        <w:jc w:val="center"/>
        <w:rPr>
          <w:rFonts w:ascii="Verdana" w:hAnsi="Verdana"/>
          <w:b/>
          <w:sz w:val="19"/>
          <w:szCs w:val="19"/>
        </w:rPr>
      </w:pPr>
      <w:r w:rsidRPr="007476EA">
        <w:rPr>
          <w:rFonts w:ascii="Verdana" w:hAnsi="Verdana"/>
          <w:b/>
          <w:sz w:val="19"/>
          <w:szCs w:val="19"/>
        </w:rPr>
        <w:t>Preambule</w:t>
      </w:r>
    </w:p>
    <w:p w:rsidR="008F17E6" w:rsidRPr="007476EA" w:rsidRDefault="008F17E6">
      <w:pPr>
        <w:ind w:firstLine="284"/>
        <w:jc w:val="both"/>
        <w:rPr>
          <w:rFonts w:ascii="Verdana" w:hAnsi="Verdana"/>
          <w:sz w:val="19"/>
          <w:szCs w:val="19"/>
        </w:rPr>
      </w:pPr>
      <w:r w:rsidRPr="007476EA">
        <w:rPr>
          <w:rFonts w:ascii="Verdana" w:hAnsi="Verdana"/>
          <w:sz w:val="19"/>
          <w:szCs w:val="19"/>
        </w:rPr>
        <w:t xml:space="preserve">Poskytovatel je společnost, která je oprávněna výrobcem v souladu s ustanovením zákona </w:t>
      </w:r>
      <w:r>
        <w:rPr>
          <w:rFonts w:ascii="Verdana" w:hAnsi="Verdana"/>
          <w:sz w:val="19"/>
          <w:szCs w:val="19"/>
        </w:rPr>
        <w:t>268/2014</w:t>
      </w:r>
      <w:r w:rsidRPr="007476EA">
        <w:rPr>
          <w:rFonts w:ascii="Verdana" w:hAnsi="Verdana"/>
          <w:sz w:val="19"/>
          <w:szCs w:val="19"/>
        </w:rPr>
        <w:t xml:space="preserve"> Sb. o zdravotnických prostředcích, ve znění pozdějších předpisů, k provádění údržby a periodické </w:t>
      </w:r>
      <w:r>
        <w:rPr>
          <w:rFonts w:ascii="Verdana" w:hAnsi="Verdana"/>
          <w:sz w:val="19"/>
          <w:szCs w:val="19"/>
        </w:rPr>
        <w:t xml:space="preserve">bezpečnostně </w:t>
      </w:r>
      <w:r w:rsidRPr="007476EA">
        <w:rPr>
          <w:rFonts w:ascii="Verdana" w:hAnsi="Verdana"/>
          <w:sz w:val="19"/>
          <w:szCs w:val="19"/>
        </w:rPr>
        <w:t>technické kontroly stanovených in vitro diagnostických zdravotnických prostředků a která má systém jakosti vyhovující požadavkům normy ČSN EN ISO 9001</w:t>
      </w:r>
      <w:r>
        <w:rPr>
          <w:rFonts w:ascii="Verdana" w:hAnsi="Verdana"/>
          <w:sz w:val="19"/>
          <w:szCs w:val="19"/>
        </w:rPr>
        <w:t>-2008</w:t>
      </w:r>
      <w:r w:rsidRPr="007476EA">
        <w:rPr>
          <w:rFonts w:ascii="Verdana" w:hAnsi="Verdana"/>
          <w:sz w:val="19"/>
          <w:szCs w:val="19"/>
        </w:rPr>
        <w:t>, registrovaný a periodicky prověřovaný NSAI. Servisní činnost je prováděna v souladu s touto normou.</w:t>
      </w:r>
    </w:p>
    <w:p w:rsidR="008F17E6" w:rsidRPr="007476EA" w:rsidRDefault="008F17E6" w:rsidP="00443284">
      <w:pPr>
        <w:rPr>
          <w:rFonts w:ascii="Verdana" w:hAnsi="Verdana"/>
          <w:sz w:val="19"/>
          <w:szCs w:val="19"/>
        </w:rPr>
      </w:pPr>
      <w:r w:rsidRPr="007476EA">
        <w:rPr>
          <w:rFonts w:ascii="Verdana" w:hAnsi="Verdana"/>
          <w:sz w:val="19"/>
          <w:szCs w:val="19"/>
        </w:rPr>
        <w:t xml:space="preserve">Servis zajišťuje tým servisních techniků (dále jen technici), vyškolených ve školicích střediscích výrobce přístrojů nebo </w:t>
      </w:r>
      <w:r>
        <w:rPr>
          <w:rFonts w:ascii="Verdana" w:hAnsi="Verdana"/>
          <w:sz w:val="19"/>
          <w:szCs w:val="19"/>
        </w:rPr>
        <w:t xml:space="preserve">v </w:t>
      </w:r>
      <w:r w:rsidRPr="007476EA">
        <w:rPr>
          <w:rFonts w:ascii="Verdana" w:hAnsi="Verdana"/>
          <w:sz w:val="19"/>
          <w:szCs w:val="19"/>
        </w:rPr>
        <w:t>jím pověřené organizaci, kteří obdrželi certifikát, opravňující je k této činnosti.</w:t>
      </w:r>
    </w:p>
    <w:p w:rsidR="008F17E6" w:rsidRPr="00E131AE" w:rsidRDefault="008F17E6">
      <w:pPr>
        <w:pStyle w:val="Nadpis2"/>
        <w:rPr>
          <w:rFonts w:ascii="Verdana" w:hAnsi="Verdana"/>
          <w:sz w:val="22"/>
          <w:szCs w:val="22"/>
        </w:rPr>
      </w:pPr>
      <w:r w:rsidRPr="00E131AE">
        <w:rPr>
          <w:rFonts w:ascii="Verdana" w:hAnsi="Verdana"/>
          <w:sz w:val="22"/>
          <w:szCs w:val="22"/>
        </w:rPr>
        <w:t>Předmět smlouvy</w:t>
      </w:r>
    </w:p>
    <w:p w:rsidR="008F17E6" w:rsidRPr="007476EA" w:rsidRDefault="008F17E6">
      <w:pPr>
        <w:ind w:firstLine="284"/>
        <w:rPr>
          <w:rFonts w:ascii="Verdana" w:hAnsi="Verdana"/>
          <w:sz w:val="19"/>
          <w:szCs w:val="19"/>
        </w:rPr>
      </w:pPr>
      <w:r w:rsidRPr="007476EA">
        <w:rPr>
          <w:rFonts w:ascii="Verdana" w:hAnsi="Verdana"/>
          <w:sz w:val="19"/>
          <w:szCs w:val="19"/>
        </w:rPr>
        <w:t xml:space="preserve">Předmětem smlouvy je provádění oprav a údržby (dále jen servis) přístroje/ů používaných k diagnostickým nebo výzkumným účelům ve zdravotnictví. Přístroj/e a rozsah činnosti </w:t>
      </w:r>
      <w:r>
        <w:rPr>
          <w:rFonts w:ascii="Verdana" w:hAnsi="Verdana"/>
          <w:sz w:val="19"/>
          <w:szCs w:val="19"/>
        </w:rPr>
        <w:t>je p</w:t>
      </w:r>
      <w:r>
        <w:rPr>
          <w:rFonts w:ascii="Verdana" w:hAnsi="Verdana"/>
          <w:sz w:val="19"/>
          <w:szCs w:val="19"/>
        </w:rPr>
        <w:t>o</w:t>
      </w:r>
      <w:r>
        <w:rPr>
          <w:rFonts w:ascii="Verdana" w:hAnsi="Verdana"/>
          <w:sz w:val="19"/>
          <w:szCs w:val="19"/>
        </w:rPr>
        <w:t>drobně uveden v Příloze 1, která tvoří nedílnou součást této smlouvy.</w:t>
      </w:r>
    </w:p>
    <w:p w:rsidR="008F17E6" w:rsidRPr="00E131AE" w:rsidRDefault="008F17E6">
      <w:pPr>
        <w:pStyle w:val="Nadpis2"/>
        <w:rPr>
          <w:rFonts w:ascii="Verdana" w:hAnsi="Verdana"/>
          <w:sz w:val="22"/>
          <w:szCs w:val="22"/>
        </w:rPr>
      </w:pPr>
      <w:r w:rsidRPr="00E131AE">
        <w:rPr>
          <w:rFonts w:ascii="Verdana" w:hAnsi="Verdana"/>
          <w:sz w:val="22"/>
          <w:szCs w:val="22"/>
        </w:rPr>
        <w:t>Práva a povinnosti poskytovatele</w:t>
      </w:r>
    </w:p>
    <w:p w:rsidR="008F17E6" w:rsidRPr="007476EA" w:rsidRDefault="008F17E6" w:rsidP="007476EA">
      <w:pPr>
        <w:numPr>
          <w:ilvl w:val="0"/>
          <w:numId w:val="3"/>
        </w:numPr>
        <w:spacing w:before="60"/>
        <w:jc w:val="both"/>
        <w:rPr>
          <w:rFonts w:ascii="Verdana" w:hAnsi="Verdana"/>
          <w:sz w:val="19"/>
          <w:szCs w:val="19"/>
        </w:rPr>
      </w:pPr>
      <w:r w:rsidRPr="007476EA">
        <w:rPr>
          <w:rFonts w:ascii="Verdana" w:hAnsi="Verdana"/>
          <w:sz w:val="19"/>
          <w:szCs w:val="19"/>
        </w:rPr>
        <w:t>Nedílnou součástí smlouvy jsou podmínky pro servis přístrojů (dále Podmínky, příloha 2), vydané poskytovatelem, podle kterých je servis zajišťován. Jsou-li ustanovení v této smlouvě a v Podmínkách definována odlišně, platí ustanovení ve smlouvě.</w:t>
      </w:r>
    </w:p>
    <w:p w:rsidR="008F17E6" w:rsidRPr="007476EA" w:rsidRDefault="008F17E6" w:rsidP="007476EA">
      <w:pPr>
        <w:numPr>
          <w:ilvl w:val="0"/>
          <w:numId w:val="3"/>
        </w:numPr>
        <w:spacing w:before="60"/>
        <w:jc w:val="both"/>
        <w:rPr>
          <w:rFonts w:ascii="Verdana" w:hAnsi="Verdana"/>
          <w:sz w:val="19"/>
          <w:szCs w:val="19"/>
        </w:rPr>
      </w:pPr>
      <w:r w:rsidRPr="007476EA">
        <w:rPr>
          <w:rFonts w:ascii="Verdana" w:hAnsi="Verdana"/>
          <w:sz w:val="19"/>
          <w:szCs w:val="19"/>
        </w:rPr>
        <w:t>Poskytovatel je oprávněn aktualizovat Podmínky podle vlastní potřeby. Po</w:t>
      </w:r>
      <w:r>
        <w:rPr>
          <w:rFonts w:ascii="Verdana" w:hAnsi="Verdana"/>
          <w:sz w:val="19"/>
          <w:szCs w:val="19"/>
        </w:rPr>
        <w:t xml:space="preserve">kud </w:t>
      </w:r>
      <w:r w:rsidRPr="007476EA">
        <w:rPr>
          <w:rFonts w:ascii="Verdana" w:hAnsi="Verdana"/>
          <w:sz w:val="19"/>
          <w:szCs w:val="19"/>
        </w:rPr>
        <w:t>objednavatel</w:t>
      </w:r>
      <w:r>
        <w:rPr>
          <w:rFonts w:ascii="Verdana" w:hAnsi="Verdana"/>
          <w:sz w:val="19"/>
          <w:szCs w:val="19"/>
        </w:rPr>
        <w:t xml:space="preserve"> se změnami</w:t>
      </w:r>
      <w:r w:rsidRPr="007476EA">
        <w:rPr>
          <w:rFonts w:ascii="Verdana" w:hAnsi="Verdana"/>
          <w:sz w:val="19"/>
          <w:szCs w:val="19"/>
        </w:rPr>
        <w:t xml:space="preserve"> nesouhlasí, </w:t>
      </w:r>
      <w:r>
        <w:rPr>
          <w:rFonts w:ascii="Verdana" w:hAnsi="Verdana"/>
          <w:sz w:val="19"/>
          <w:szCs w:val="19"/>
        </w:rPr>
        <w:t xml:space="preserve">může </w:t>
      </w:r>
      <w:r w:rsidRPr="007476EA">
        <w:rPr>
          <w:rFonts w:ascii="Verdana" w:hAnsi="Verdana"/>
          <w:sz w:val="19"/>
          <w:szCs w:val="19"/>
        </w:rPr>
        <w:t>ve lhůtě do 15 dnů</w:t>
      </w:r>
      <w:r>
        <w:rPr>
          <w:rFonts w:ascii="Verdana" w:hAnsi="Verdana"/>
          <w:sz w:val="19"/>
          <w:szCs w:val="19"/>
        </w:rPr>
        <w:t xml:space="preserve"> od jejich doručení </w:t>
      </w:r>
      <w:r w:rsidRPr="007476EA">
        <w:rPr>
          <w:rFonts w:ascii="Verdana" w:hAnsi="Verdana"/>
          <w:sz w:val="19"/>
          <w:szCs w:val="19"/>
        </w:rPr>
        <w:t>okamžitě odstoupit od smlouvy, aniž by mohl poskytovatel uplatnit ustanovení o navýšení vypočítané částky za pr</w:t>
      </w:r>
      <w:r w:rsidRPr="007476EA">
        <w:rPr>
          <w:rFonts w:ascii="Verdana" w:hAnsi="Verdana"/>
          <w:sz w:val="19"/>
          <w:szCs w:val="19"/>
        </w:rPr>
        <w:t>o</w:t>
      </w:r>
      <w:r w:rsidRPr="007476EA">
        <w:rPr>
          <w:rFonts w:ascii="Verdana" w:hAnsi="Verdana"/>
          <w:sz w:val="19"/>
          <w:szCs w:val="19"/>
        </w:rPr>
        <w:t xml:space="preserve">vedenou preventivní údržbu a periodické bezpečnostně technické kontroly (viz </w:t>
      </w:r>
      <w:r>
        <w:rPr>
          <w:rFonts w:ascii="Verdana" w:hAnsi="Verdana"/>
          <w:sz w:val="19"/>
          <w:szCs w:val="19"/>
        </w:rPr>
        <w:t>čl. VI.3.</w:t>
      </w:r>
      <w:r w:rsidRPr="007476EA">
        <w:rPr>
          <w:rFonts w:ascii="Verdana" w:hAnsi="Verdana"/>
          <w:sz w:val="19"/>
          <w:szCs w:val="19"/>
        </w:rPr>
        <w:t>).</w:t>
      </w:r>
    </w:p>
    <w:p w:rsidR="008F17E6" w:rsidRPr="007476EA" w:rsidRDefault="008F17E6">
      <w:pPr>
        <w:pStyle w:val="Zkladntext"/>
        <w:numPr>
          <w:ilvl w:val="0"/>
          <w:numId w:val="3"/>
        </w:numPr>
        <w:spacing w:before="60"/>
        <w:jc w:val="both"/>
        <w:rPr>
          <w:rFonts w:ascii="Verdana" w:hAnsi="Verdana"/>
          <w:sz w:val="19"/>
          <w:szCs w:val="19"/>
        </w:rPr>
      </w:pPr>
      <w:r w:rsidRPr="007476EA">
        <w:rPr>
          <w:rFonts w:ascii="Verdana" w:hAnsi="Verdana"/>
          <w:sz w:val="19"/>
          <w:szCs w:val="19"/>
        </w:rPr>
        <w:t>Poskytovatel je povinen splnit předmět smlouvy podle pokynů objednavatele v co nejkratší možné lhůtě. Pokud není schopen opravu provést v termínu uvedeném v</w:t>
      </w:r>
      <w:r>
        <w:rPr>
          <w:rFonts w:ascii="Verdana" w:hAnsi="Verdana"/>
          <w:sz w:val="19"/>
          <w:szCs w:val="19"/>
        </w:rPr>
        <w:t xml:space="preserve"> Podmínkách </w:t>
      </w:r>
      <w:r w:rsidRPr="007476EA">
        <w:rPr>
          <w:rFonts w:ascii="Verdana" w:hAnsi="Verdana"/>
          <w:sz w:val="19"/>
          <w:szCs w:val="19"/>
        </w:rPr>
        <w:t>(např. pro nedostatek příslušného náhradního dílu), informuje objednavatele o předpokládané čas</w:t>
      </w:r>
      <w:r w:rsidRPr="007476EA">
        <w:rPr>
          <w:rFonts w:ascii="Verdana" w:hAnsi="Verdana"/>
          <w:sz w:val="19"/>
          <w:szCs w:val="19"/>
        </w:rPr>
        <w:t>o</w:t>
      </w:r>
      <w:r w:rsidRPr="007476EA">
        <w:rPr>
          <w:rFonts w:ascii="Verdana" w:hAnsi="Verdana"/>
          <w:sz w:val="19"/>
          <w:szCs w:val="19"/>
        </w:rPr>
        <w:t>vé prodlevě, o předpokládané ceně a domluví s objednavatelem další postup.</w:t>
      </w:r>
    </w:p>
    <w:p w:rsidR="008F17E6" w:rsidRPr="007476EA" w:rsidRDefault="008F17E6">
      <w:pPr>
        <w:numPr>
          <w:ilvl w:val="0"/>
          <w:numId w:val="3"/>
        </w:numPr>
        <w:spacing w:before="60"/>
        <w:jc w:val="both"/>
        <w:rPr>
          <w:rFonts w:ascii="Verdana" w:hAnsi="Verdana"/>
          <w:sz w:val="19"/>
          <w:szCs w:val="19"/>
        </w:rPr>
      </w:pPr>
      <w:r w:rsidRPr="007476EA">
        <w:rPr>
          <w:rFonts w:ascii="Verdana" w:hAnsi="Verdana"/>
          <w:sz w:val="19"/>
          <w:szCs w:val="19"/>
        </w:rPr>
        <w:t>Poskytovatel je oprávněn zadat zhotovení předmětu smlouvy třetí straně, je však povinen zajistit takové podmínky, jako by servis zajišťoval sám.</w:t>
      </w:r>
    </w:p>
    <w:p w:rsidR="008F17E6" w:rsidRPr="007476EA" w:rsidRDefault="008F17E6">
      <w:pPr>
        <w:numPr>
          <w:ilvl w:val="0"/>
          <w:numId w:val="3"/>
        </w:numPr>
        <w:spacing w:before="60"/>
        <w:jc w:val="both"/>
        <w:rPr>
          <w:rFonts w:ascii="Verdana" w:hAnsi="Verdana"/>
          <w:sz w:val="19"/>
          <w:szCs w:val="19"/>
        </w:rPr>
      </w:pPr>
      <w:r w:rsidRPr="007476EA">
        <w:rPr>
          <w:rFonts w:ascii="Verdana" w:hAnsi="Verdana"/>
          <w:sz w:val="19"/>
          <w:szCs w:val="19"/>
        </w:rPr>
        <w:lastRenderedPageBreak/>
        <w:t>Poskytovatel si je vědom skutečnosti, že veškeré podklady a poznatky získané od objednav</w:t>
      </w:r>
      <w:r w:rsidRPr="007476EA">
        <w:rPr>
          <w:rFonts w:ascii="Verdana" w:hAnsi="Verdana"/>
          <w:sz w:val="19"/>
          <w:szCs w:val="19"/>
        </w:rPr>
        <w:t>a</w:t>
      </w:r>
      <w:r w:rsidRPr="007476EA">
        <w:rPr>
          <w:rFonts w:ascii="Verdana" w:hAnsi="Verdana"/>
          <w:sz w:val="19"/>
          <w:szCs w:val="19"/>
        </w:rPr>
        <w:t>tele, ale i vzniklé při plnění předmětu smlouvy, jsou obchodním tajemstvím objednavatele a že je povinen je chránit a k jeho ochraně zavázat i osoby, které využije ke splnění předmětu smlouvy.</w:t>
      </w:r>
    </w:p>
    <w:p w:rsidR="008F17E6" w:rsidRPr="00E131AE" w:rsidRDefault="008F17E6">
      <w:pPr>
        <w:pStyle w:val="Nadpis2"/>
        <w:rPr>
          <w:rFonts w:ascii="Verdana" w:hAnsi="Verdana"/>
          <w:sz w:val="22"/>
          <w:szCs w:val="22"/>
        </w:rPr>
      </w:pPr>
      <w:r w:rsidRPr="00E131AE">
        <w:rPr>
          <w:rFonts w:ascii="Verdana" w:hAnsi="Verdana"/>
          <w:sz w:val="22"/>
          <w:szCs w:val="22"/>
        </w:rPr>
        <w:t>Práva a povinnosti objednavatele</w:t>
      </w:r>
    </w:p>
    <w:p w:rsidR="008F17E6" w:rsidRPr="007476EA" w:rsidRDefault="008F17E6">
      <w:pPr>
        <w:numPr>
          <w:ilvl w:val="0"/>
          <w:numId w:val="2"/>
        </w:numPr>
        <w:spacing w:before="60"/>
        <w:jc w:val="both"/>
        <w:rPr>
          <w:rFonts w:ascii="Verdana" w:hAnsi="Verdana"/>
          <w:sz w:val="19"/>
          <w:szCs w:val="19"/>
        </w:rPr>
      </w:pPr>
      <w:r w:rsidRPr="007476EA">
        <w:rPr>
          <w:rFonts w:ascii="Verdana" w:hAnsi="Verdana"/>
          <w:sz w:val="19"/>
          <w:szCs w:val="19"/>
        </w:rPr>
        <w:t>Objednavatel je povinen předat poskytovateli přístroj k servisnímu zásahu ve stavu a v prostředí odpovídající platným hygienickým normám a zajistit přítomnost poučeného pers</w:t>
      </w:r>
      <w:r w:rsidRPr="007476EA">
        <w:rPr>
          <w:rFonts w:ascii="Verdana" w:hAnsi="Verdana"/>
          <w:sz w:val="19"/>
          <w:szCs w:val="19"/>
        </w:rPr>
        <w:t>o</w:t>
      </w:r>
      <w:r w:rsidRPr="007476EA">
        <w:rPr>
          <w:rFonts w:ascii="Verdana" w:hAnsi="Verdana"/>
          <w:sz w:val="19"/>
          <w:szCs w:val="19"/>
        </w:rPr>
        <w:t>nálu po celou dobu servisního zásahu, pokud bude technikem vyžadován.</w:t>
      </w:r>
    </w:p>
    <w:p w:rsidR="008F17E6" w:rsidRPr="007476EA" w:rsidRDefault="008F17E6">
      <w:pPr>
        <w:numPr>
          <w:ilvl w:val="0"/>
          <w:numId w:val="2"/>
        </w:numPr>
        <w:spacing w:before="60"/>
        <w:jc w:val="both"/>
        <w:rPr>
          <w:rFonts w:ascii="Verdana" w:hAnsi="Verdana"/>
          <w:sz w:val="19"/>
          <w:szCs w:val="19"/>
        </w:rPr>
      </w:pPr>
      <w:r w:rsidRPr="007476EA">
        <w:rPr>
          <w:rFonts w:ascii="Verdana" w:hAnsi="Verdana"/>
          <w:sz w:val="19"/>
          <w:szCs w:val="19"/>
        </w:rPr>
        <w:t>Objednavatel je oprávněn průběžně kontrolovat činnost technika na svém pracovišti sám nebo prostřednictvím osoby, kterou k tomuto účelu pověří.</w:t>
      </w:r>
    </w:p>
    <w:p w:rsidR="008F17E6" w:rsidRPr="00B315E0" w:rsidRDefault="008F17E6" w:rsidP="00B315E0">
      <w:pPr>
        <w:numPr>
          <w:ilvl w:val="0"/>
          <w:numId w:val="2"/>
        </w:numPr>
        <w:spacing w:before="60"/>
        <w:jc w:val="both"/>
        <w:rPr>
          <w:rFonts w:ascii="Verdana" w:hAnsi="Verdana"/>
          <w:sz w:val="19"/>
          <w:szCs w:val="19"/>
        </w:rPr>
      </w:pPr>
      <w:r w:rsidRPr="007476EA">
        <w:rPr>
          <w:rFonts w:ascii="Verdana" w:hAnsi="Verdana"/>
          <w:sz w:val="19"/>
          <w:szCs w:val="19"/>
        </w:rPr>
        <w:t xml:space="preserve">Objednavatel se zavazuje </w:t>
      </w:r>
      <w:r>
        <w:rPr>
          <w:rFonts w:ascii="Verdana" w:hAnsi="Verdana"/>
          <w:sz w:val="19"/>
          <w:szCs w:val="19"/>
        </w:rPr>
        <w:t>(</w:t>
      </w:r>
      <w:r w:rsidRPr="007476EA">
        <w:rPr>
          <w:rFonts w:ascii="Verdana" w:hAnsi="Verdana"/>
          <w:sz w:val="19"/>
          <w:szCs w:val="19"/>
        </w:rPr>
        <w:t>sám nebo prostřednictvím osoby, kterou k tomuto účelu pověří</w:t>
      </w:r>
      <w:r>
        <w:rPr>
          <w:rFonts w:ascii="Verdana" w:hAnsi="Verdana"/>
          <w:sz w:val="19"/>
          <w:szCs w:val="19"/>
        </w:rPr>
        <w:t>)</w:t>
      </w:r>
      <w:r w:rsidRPr="007476EA">
        <w:rPr>
          <w:rFonts w:ascii="Verdana" w:hAnsi="Verdana"/>
          <w:sz w:val="19"/>
          <w:szCs w:val="19"/>
        </w:rPr>
        <w:t xml:space="preserve">po skončení servisního zásahu přístroj převzít. Součástí předání a převzetí je jeho přezkoušení. </w:t>
      </w:r>
      <w:r w:rsidRPr="00B315E0">
        <w:rPr>
          <w:rFonts w:ascii="Verdana" w:hAnsi="Verdana"/>
          <w:sz w:val="19"/>
          <w:szCs w:val="19"/>
        </w:rPr>
        <w:t>Převzetí přístroje stvrdí podpisem na Servisním listu resp. na jeho elektronickém e</w:t>
      </w:r>
      <w:r>
        <w:rPr>
          <w:rFonts w:ascii="Verdana" w:hAnsi="Verdana"/>
          <w:sz w:val="19"/>
          <w:szCs w:val="19"/>
        </w:rPr>
        <w:t>k</w:t>
      </w:r>
      <w:r w:rsidRPr="00B315E0">
        <w:rPr>
          <w:rFonts w:ascii="Verdana" w:hAnsi="Verdana"/>
          <w:sz w:val="19"/>
          <w:szCs w:val="19"/>
        </w:rPr>
        <w:t>vivalentu.</w:t>
      </w:r>
    </w:p>
    <w:p w:rsidR="008F17E6" w:rsidRPr="00E131AE" w:rsidRDefault="008F17E6">
      <w:pPr>
        <w:pStyle w:val="Nadpis2"/>
        <w:rPr>
          <w:rFonts w:ascii="Verdana" w:hAnsi="Verdana"/>
          <w:sz w:val="22"/>
          <w:szCs w:val="22"/>
        </w:rPr>
      </w:pPr>
      <w:r w:rsidRPr="00E131AE">
        <w:rPr>
          <w:rFonts w:ascii="Verdana" w:hAnsi="Verdana"/>
          <w:sz w:val="22"/>
          <w:szCs w:val="22"/>
        </w:rPr>
        <w:t>Cena a způsob placení</w:t>
      </w:r>
    </w:p>
    <w:p w:rsidR="008F17E6" w:rsidRPr="007476EA" w:rsidRDefault="008F17E6">
      <w:pPr>
        <w:numPr>
          <w:ilvl w:val="0"/>
          <w:numId w:val="11"/>
        </w:numPr>
        <w:rPr>
          <w:rFonts w:ascii="Verdana" w:hAnsi="Verdana"/>
          <w:sz w:val="19"/>
          <w:szCs w:val="19"/>
        </w:rPr>
      </w:pPr>
      <w:r w:rsidRPr="007476EA">
        <w:rPr>
          <w:rFonts w:ascii="Verdana" w:hAnsi="Verdana"/>
          <w:sz w:val="19"/>
          <w:szCs w:val="19"/>
        </w:rPr>
        <w:t>Výsledná cena je určena  podle základního ceníku servisních smluv a případně upravena po</w:t>
      </w:r>
      <w:r w:rsidRPr="007476EA">
        <w:rPr>
          <w:rFonts w:ascii="Verdana" w:hAnsi="Verdana"/>
          <w:sz w:val="19"/>
          <w:szCs w:val="19"/>
        </w:rPr>
        <w:t>d</w:t>
      </w:r>
      <w:r w:rsidRPr="007476EA">
        <w:rPr>
          <w:rFonts w:ascii="Verdana" w:hAnsi="Verdana"/>
          <w:sz w:val="19"/>
          <w:szCs w:val="19"/>
        </w:rPr>
        <w:t>le výběru volitelných položek.</w:t>
      </w:r>
    </w:p>
    <w:p w:rsidR="008F17E6" w:rsidRPr="007476EA" w:rsidRDefault="008F17E6">
      <w:pPr>
        <w:spacing w:before="120" w:after="120"/>
        <w:jc w:val="center"/>
        <w:rPr>
          <w:rFonts w:ascii="Verdana" w:hAnsi="Verdana"/>
          <w:b/>
          <w:sz w:val="19"/>
          <w:szCs w:val="19"/>
        </w:rPr>
      </w:pPr>
      <w:r w:rsidRPr="007476EA">
        <w:rPr>
          <w:rFonts w:ascii="Verdana" w:hAnsi="Verdana"/>
          <w:b/>
          <w:sz w:val="19"/>
          <w:szCs w:val="19"/>
        </w:rPr>
        <w:t>Celko</w:t>
      </w:r>
      <w:r>
        <w:rPr>
          <w:rFonts w:ascii="Verdana" w:hAnsi="Verdana"/>
          <w:b/>
          <w:sz w:val="19"/>
          <w:szCs w:val="19"/>
        </w:rPr>
        <w:t xml:space="preserve">vá cena servisní smlouvy je :  </w:t>
      </w:r>
      <w:r w:rsidRPr="00F73477">
        <w:rPr>
          <w:rFonts w:ascii="Verdana" w:hAnsi="Verdana"/>
          <w:b/>
          <w:noProof/>
          <w:sz w:val="19"/>
          <w:szCs w:val="19"/>
        </w:rPr>
        <w:t>25 000Kč</w:t>
      </w:r>
      <w:r w:rsidRPr="007476EA">
        <w:rPr>
          <w:rFonts w:ascii="Verdana" w:hAnsi="Verdana"/>
          <w:b/>
          <w:sz w:val="19"/>
          <w:szCs w:val="19"/>
        </w:rPr>
        <w:t xml:space="preserve"> ročně</w:t>
      </w:r>
      <w:r>
        <w:rPr>
          <w:rFonts w:ascii="Verdana" w:hAnsi="Verdana"/>
          <w:b/>
          <w:sz w:val="19"/>
          <w:szCs w:val="19"/>
        </w:rPr>
        <w:t xml:space="preserve"> bez DPH</w:t>
      </w:r>
      <w:r w:rsidRPr="007476EA">
        <w:rPr>
          <w:rFonts w:ascii="Verdana" w:hAnsi="Verdana"/>
          <w:b/>
          <w:sz w:val="19"/>
          <w:szCs w:val="19"/>
        </w:rPr>
        <w:t>.</w:t>
      </w:r>
    </w:p>
    <w:p w:rsidR="008F17E6" w:rsidRPr="007476EA" w:rsidRDefault="008F17E6" w:rsidP="00B57662">
      <w:pPr>
        <w:pStyle w:val="Zkladntext"/>
        <w:spacing w:after="20"/>
        <w:ind w:left="284"/>
        <w:rPr>
          <w:rFonts w:ascii="Verdana" w:hAnsi="Verdana"/>
          <w:sz w:val="19"/>
          <w:szCs w:val="19"/>
        </w:rPr>
      </w:pPr>
      <w:r w:rsidRPr="007476EA">
        <w:rPr>
          <w:rFonts w:ascii="Verdana" w:hAnsi="Verdana"/>
          <w:sz w:val="19"/>
          <w:szCs w:val="19"/>
        </w:rPr>
        <w:t>Cena neobsahuje DPH, kter</w:t>
      </w:r>
      <w:r>
        <w:rPr>
          <w:rFonts w:ascii="Verdana" w:hAnsi="Verdana"/>
          <w:sz w:val="19"/>
          <w:szCs w:val="19"/>
        </w:rPr>
        <w:t>é</w:t>
      </w:r>
      <w:r w:rsidRPr="007476EA">
        <w:rPr>
          <w:rFonts w:ascii="Verdana" w:hAnsi="Verdana"/>
          <w:sz w:val="19"/>
          <w:szCs w:val="19"/>
        </w:rPr>
        <w:t xml:space="preserve"> činí</w:t>
      </w:r>
      <w:r w:rsidRPr="00F73477">
        <w:rPr>
          <w:rFonts w:ascii="Verdana" w:hAnsi="Verdana"/>
          <w:noProof/>
          <w:sz w:val="19"/>
          <w:szCs w:val="19"/>
        </w:rPr>
        <w:t>5 250Kč</w:t>
      </w:r>
      <w:r w:rsidRPr="007476EA">
        <w:rPr>
          <w:rFonts w:ascii="Verdana" w:hAnsi="Verdana"/>
          <w:sz w:val="19"/>
          <w:szCs w:val="19"/>
        </w:rPr>
        <w:t>.</w:t>
      </w:r>
      <w:r>
        <w:rPr>
          <w:rFonts w:ascii="Verdana" w:hAnsi="Verdana"/>
          <w:sz w:val="19"/>
          <w:szCs w:val="19"/>
        </w:rPr>
        <w:t xml:space="preserve"> Cena včetně DPH je </w:t>
      </w:r>
      <w:r w:rsidRPr="00F73477">
        <w:rPr>
          <w:rFonts w:ascii="Verdana" w:hAnsi="Verdana"/>
          <w:noProof/>
          <w:sz w:val="19"/>
          <w:szCs w:val="19"/>
        </w:rPr>
        <w:t>30 250Kč</w:t>
      </w:r>
      <w:r>
        <w:rPr>
          <w:rFonts w:ascii="Verdana" w:hAnsi="Verdana"/>
          <w:sz w:val="19"/>
          <w:szCs w:val="19"/>
        </w:rPr>
        <w:t xml:space="preserve"> ročně.</w:t>
      </w:r>
    </w:p>
    <w:p w:rsidR="008F17E6" w:rsidRDefault="008F17E6" w:rsidP="00E77085">
      <w:pPr>
        <w:numPr>
          <w:ilvl w:val="0"/>
          <w:numId w:val="11"/>
        </w:numPr>
        <w:spacing w:before="60"/>
        <w:rPr>
          <w:rFonts w:ascii="Verdana" w:hAnsi="Verdana"/>
          <w:sz w:val="19"/>
          <w:szCs w:val="19"/>
        </w:rPr>
      </w:pPr>
      <w:r w:rsidRPr="00E77085">
        <w:rPr>
          <w:rFonts w:ascii="Verdana" w:hAnsi="Verdana"/>
          <w:sz w:val="19"/>
          <w:szCs w:val="19"/>
        </w:rPr>
        <w:t>Cena bude hrazena</w:t>
      </w:r>
      <w:r w:rsidRPr="00F73477">
        <w:rPr>
          <w:rFonts w:ascii="Verdana" w:hAnsi="Verdana"/>
          <w:noProof/>
          <w:sz w:val="19"/>
          <w:szCs w:val="19"/>
        </w:rPr>
        <w:t>ročně</w:t>
      </w:r>
      <w:r w:rsidRPr="00E77085">
        <w:rPr>
          <w:rFonts w:ascii="Verdana" w:hAnsi="Verdana"/>
          <w:sz w:val="19"/>
          <w:szCs w:val="19"/>
        </w:rPr>
        <w:t>. Při uzavření smlouvy v průběhu kalendářního roku náleží poskyt</w:t>
      </w:r>
      <w:r w:rsidRPr="00E77085">
        <w:rPr>
          <w:rFonts w:ascii="Verdana" w:hAnsi="Verdana"/>
          <w:sz w:val="19"/>
          <w:szCs w:val="19"/>
        </w:rPr>
        <w:t>o</w:t>
      </w:r>
      <w:r w:rsidRPr="00E77085">
        <w:rPr>
          <w:rFonts w:ascii="Verdana" w:hAnsi="Verdana"/>
          <w:sz w:val="19"/>
          <w:szCs w:val="19"/>
        </w:rPr>
        <w:t xml:space="preserve">vateli poměrná část roční </w:t>
      </w:r>
      <w:r>
        <w:rPr>
          <w:rFonts w:ascii="Verdana" w:hAnsi="Verdana"/>
          <w:sz w:val="19"/>
          <w:szCs w:val="19"/>
        </w:rPr>
        <w:t>ce</w:t>
      </w:r>
      <w:r w:rsidRPr="00E77085">
        <w:rPr>
          <w:rFonts w:ascii="Verdana" w:hAnsi="Verdana"/>
          <w:sz w:val="19"/>
          <w:szCs w:val="19"/>
        </w:rPr>
        <w:t>ny</w:t>
      </w:r>
      <w:r>
        <w:rPr>
          <w:rFonts w:ascii="Verdana" w:hAnsi="Verdana"/>
          <w:sz w:val="19"/>
          <w:szCs w:val="19"/>
        </w:rPr>
        <w:t xml:space="preserve"> stanovené v předchozím odstavci</w:t>
      </w:r>
      <w:r w:rsidRPr="00E77085">
        <w:rPr>
          <w:rFonts w:ascii="Verdana" w:hAnsi="Verdana"/>
          <w:sz w:val="19"/>
          <w:szCs w:val="19"/>
        </w:rPr>
        <w:t xml:space="preserve"> ve výši </w:t>
      </w:r>
      <w:r>
        <w:rPr>
          <w:rFonts w:ascii="Verdana" w:hAnsi="Verdana"/>
          <w:sz w:val="19"/>
          <w:szCs w:val="19"/>
        </w:rPr>
        <w:t xml:space="preserve">její </w:t>
      </w:r>
      <w:r w:rsidRPr="00E77085">
        <w:rPr>
          <w:rFonts w:ascii="Verdana" w:hAnsi="Verdana"/>
          <w:sz w:val="19"/>
          <w:szCs w:val="19"/>
        </w:rPr>
        <w:t xml:space="preserve">1/12 za každý (i </w:t>
      </w:r>
      <w:r>
        <w:rPr>
          <w:rFonts w:ascii="Verdana" w:hAnsi="Verdana"/>
          <w:sz w:val="19"/>
          <w:szCs w:val="19"/>
        </w:rPr>
        <w:t>neúplný)</w:t>
      </w:r>
      <w:r w:rsidRPr="00E77085">
        <w:rPr>
          <w:rFonts w:ascii="Verdana" w:hAnsi="Verdana"/>
          <w:sz w:val="19"/>
          <w:szCs w:val="19"/>
        </w:rPr>
        <w:t xml:space="preserve"> mě</w:t>
      </w:r>
      <w:r>
        <w:rPr>
          <w:rFonts w:ascii="Verdana" w:hAnsi="Verdana"/>
          <w:sz w:val="19"/>
          <w:szCs w:val="19"/>
        </w:rPr>
        <w:t>sícplatnosti smlouvy.</w:t>
      </w:r>
    </w:p>
    <w:p w:rsidR="008F17E6" w:rsidRDefault="008F17E6" w:rsidP="00C05A30">
      <w:pPr>
        <w:spacing w:before="20"/>
        <w:ind w:left="284"/>
        <w:rPr>
          <w:rFonts w:ascii="Verdana" w:hAnsi="Verdana"/>
          <w:sz w:val="19"/>
          <w:szCs w:val="19"/>
        </w:rPr>
      </w:pPr>
      <w:r w:rsidRPr="00E77085">
        <w:rPr>
          <w:rFonts w:ascii="Verdana" w:hAnsi="Verdana"/>
          <w:sz w:val="19"/>
          <w:szCs w:val="19"/>
        </w:rPr>
        <w:t>Zhotovitel</w:t>
      </w:r>
      <w:r>
        <w:rPr>
          <w:rFonts w:ascii="Verdana" w:hAnsi="Verdana"/>
          <w:sz w:val="19"/>
          <w:szCs w:val="19"/>
        </w:rPr>
        <w:t xml:space="preserve"> bude vystavovat faktury na uvedenou částku s následujícími parametry:</w:t>
      </w:r>
    </w:p>
    <w:p w:rsidR="008F17E6" w:rsidRDefault="008F17E6" w:rsidP="00704B81">
      <w:pPr>
        <w:numPr>
          <w:ilvl w:val="0"/>
          <w:numId w:val="15"/>
        </w:numPr>
        <w:tabs>
          <w:tab w:val="left" w:pos="709"/>
          <w:tab w:val="left" w:pos="2552"/>
        </w:tabs>
        <w:spacing w:before="20"/>
        <w:ind w:left="2552" w:hanging="1985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splatnost faktury:</w:t>
      </w:r>
      <w:r>
        <w:rPr>
          <w:rFonts w:ascii="Verdana" w:hAnsi="Verdana"/>
          <w:sz w:val="19"/>
          <w:szCs w:val="19"/>
        </w:rPr>
        <w:tab/>
      </w:r>
      <w:r w:rsidRPr="00F73477">
        <w:rPr>
          <w:rFonts w:ascii="Verdana" w:hAnsi="Verdana"/>
          <w:noProof/>
          <w:sz w:val="19"/>
          <w:szCs w:val="19"/>
        </w:rPr>
        <w:t>60d</w:t>
      </w:r>
      <w:r>
        <w:rPr>
          <w:rFonts w:ascii="Verdana" w:hAnsi="Verdana"/>
          <w:sz w:val="19"/>
          <w:szCs w:val="19"/>
        </w:rPr>
        <w:t xml:space="preserve"> dnů</w:t>
      </w:r>
    </w:p>
    <w:p w:rsidR="008F17E6" w:rsidRDefault="008F17E6" w:rsidP="00704B81">
      <w:pPr>
        <w:numPr>
          <w:ilvl w:val="0"/>
          <w:numId w:val="15"/>
        </w:numPr>
        <w:tabs>
          <w:tab w:val="left" w:pos="709"/>
          <w:tab w:val="left" w:pos="2552"/>
        </w:tabs>
        <w:spacing w:before="20"/>
        <w:ind w:left="2552" w:hanging="1985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fakturováno bude:</w:t>
      </w:r>
      <w:r>
        <w:rPr>
          <w:rFonts w:ascii="Verdana" w:hAnsi="Verdana"/>
          <w:sz w:val="19"/>
          <w:szCs w:val="19"/>
        </w:rPr>
        <w:tab/>
        <w:t xml:space="preserve">5 dnů </w:t>
      </w:r>
      <w:r w:rsidRPr="00F73477">
        <w:rPr>
          <w:rFonts w:ascii="Verdana" w:hAnsi="Verdana"/>
          <w:noProof/>
          <w:sz w:val="19"/>
          <w:szCs w:val="19"/>
        </w:rPr>
        <w:t>před koncem roku</w:t>
      </w:r>
      <w:r>
        <w:rPr>
          <w:rFonts w:ascii="Verdana" w:hAnsi="Verdana"/>
          <w:sz w:val="19"/>
          <w:szCs w:val="19"/>
        </w:rPr>
        <w:t xml:space="preserve"> (nebo v jednotlivých případech po vzájemné dohodě jinak)</w:t>
      </w:r>
    </w:p>
    <w:p w:rsidR="008F17E6" w:rsidRPr="00E77085" w:rsidRDefault="008F17E6" w:rsidP="00704B81">
      <w:pPr>
        <w:numPr>
          <w:ilvl w:val="0"/>
          <w:numId w:val="15"/>
        </w:numPr>
        <w:tabs>
          <w:tab w:val="left" w:pos="709"/>
          <w:tab w:val="left" w:pos="2552"/>
        </w:tabs>
        <w:spacing w:before="20"/>
        <w:ind w:left="2552" w:hanging="1985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fakturační adresa:</w:t>
      </w:r>
      <w:r>
        <w:rPr>
          <w:rFonts w:ascii="Verdana" w:hAnsi="Verdana"/>
          <w:sz w:val="19"/>
          <w:szCs w:val="19"/>
        </w:rPr>
        <w:tab/>
      </w:r>
      <w:r w:rsidRPr="00F73477">
        <w:rPr>
          <w:rFonts w:ascii="Verdana" w:hAnsi="Verdana"/>
          <w:noProof/>
          <w:sz w:val="19"/>
          <w:szCs w:val="19"/>
        </w:rPr>
        <w:t>Endokrinologický Ústav, oddělení steroidních hormonů, Endokrinologický Ústav, oddělení steroidních hormonů, Národní 139/8, 116 94 Praha 1</w:t>
      </w:r>
    </w:p>
    <w:p w:rsidR="008F17E6" w:rsidRPr="00E77085" w:rsidRDefault="008F17E6" w:rsidP="00E77085">
      <w:pPr>
        <w:numPr>
          <w:ilvl w:val="0"/>
          <w:numId w:val="11"/>
        </w:numPr>
        <w:spacing w:before="60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Pokud budeobjednavatel v prodlení s úhradou </w:t>
      </w:r>
      <w:r w:rsidRPr="00E77085">
        <w:rPr>
          <w:rFonts w:ascii="Verdana" w:hAnsi="Verdana"/>
          <w:sz w:val="19"/>
          <w:szCs w:val="19"/>
        </w:rPr>
        <w:t>faktur</w:t>
      </w:r>
      <w:r>
        <w:rPr>
          <w:rFonts w:ascii="Verdana" w:hAnsi="Verdana"/>
          <w:sz w:val="19"/>
          <w:szCs w:val="19"/>
        </w:rPr>
        <w:t>y</w:t>
      </w:r>
      <w:r w:rsidRPr="00E77085">
        <w:rPr>
          <w:rFonts w:ascii="Verdana" w:hAnsi="Verdana"/>
          <w:sz w:val="19"/>
          <w:szCs w:val="19"/>
        </w:rPr>
        <w:t xml:space="preserve">, </w:t>
      </w:r>
      <w:r>
        <w:rPr>
          <w:rFonts w:ascii="Verdana" w:hAnsi="Verdana"/>
          <w:sz w:val="19"/>
          <w:szCs w:val="19"/>
        </w:rPr>
        <w:t xml:space="preserve">pak až do provedení platby </w:t>
      </w:r>
      <w:r w:rsidRPr="00E77085">
        <w:rPr>
          <w:rFonts w:ascii="Verdana" w:hAnsi="Verdana"/>
          <w:sz w:val="19"/>
          <w:szCs w:val="19"/>
        </w:rPr>
        <w:t>nemusí poskytovatel v</w:t>
      </w:r>
      <w:r>
        <w:rPr>
          <w:rFonts w:ascii="Verdana" w:hAnsi="Verdana"/>
          <w:sz w:val="19"/>
          <w:szCs w:val="19"/>
        </w:rPr>
        <w:t> </w:t>
      </w:r>
      <w:r w:rsidRPr="00E77085">
        <w:rPr>
          <w:rFonts w:ascii="Verdana" w:hAnsi="Verdana"/>
          <w:sz w:val="19"/>
          <w:szCs w:val="19"/>
        </w:rPr>
        <w:t>první</w:t>
      </w:r>
      <w:r>
        <w:rPr>
          <w:rFonts w:ascii="Verdana" w:hAnsi="Verdana"/>
          <w:sz w:val="19"/>
          <w:szCs w:val="19"/>
        </w:rPr>
        <w:t>ch 12 měsících</w:t>
      </w:r>
      <w:r w:rsidRPr="00E77085">
        <w:rPr>
          <w:rFonts w:ascii="Verdana" w:hAnsi="Verdana"/>
          <w:sz w:val="19"/>
          <w:szCs w:val="19"/>
        </w:rPr>
        <w:t xml:space="preserve"> trvání smluvního vztahu provádět ve prospěch objedn</w:t>
      </w:r>
      <w:r w:rsidRPr="00E77085">
        <w:rPr>
          <w:rFonts w:ascii="Verdana" w:hAnsi="Verdana"/>
          <w:sz w:val="19"/>
          <w:szCs w:val="19"/>
        </w:rPr>
        <w:t>a</w:t>
      </w:r>
      <w:r w:rsidRPr="00E77085">
        <w:rPr>
          <w:rFonts w:ascii="Verdana" w:hAnsi="Verdana"/>
          <w:sz w:val="19"/>
          <w:szCs w:val="19"/>
        </w:rPr>
        <w:t xml:space="preserve">vatele žádné servisní </w:t>
      </w:r>
      <w:r>
        <w:rPr>
          <w:rFonts w:ascii="Verdana" w:hAnsi="Verdana"/>
          <w:sz w:val="19"/>
          <w:szCs w:val="19"/>
        </w:rPr>
        <w:t>úkony.Po 12 měsících</w:t>
      </w:r>
      <w:r w:rsidRPr="00E77085">
        <w:rPr>
          <w:rFonts w:ascii="Verdana" w:hAnsi="Verdana"/>
          <w:sz w:val="19"/>
          <w:szCs w:val="19"/>
        </w:rPr>
        <w:t xml:space="preserve"> trvání smluvního vztahu provede jedno zprovo</w:t>
      </w:r>
      <w:r w:rsidRPr="00E77085">
        <w:rPr>
          <w:rFonts w:ascii="Verdana" w:hAnsi="Verdana"/>
          <w:sz w:val="19"/>
          <w:szCs w:val="19"/>
        </w:rPr>
        <w:t>z</w:t>
      </w:r>
      <w:r w:rsidRPr="00E77085">
        <w:rPr>
          <w:rFonts w:ascii="Verdana" w:hAnsi="Verdana"/>
          <w:sz w:val="19"/>
          <w:szCs w:val="19"/>
        </w:rPr>
        <w:t>nění přístroje, je-li objednavatel v nouzi.</w:t>
      </w:r>
    </w:p>
    <w:p w:rsidR="008F17E6" w:rsidRPr="007476EA" w:rsidRDefault="008F17E6">
      <w:pPr>
        <w:numPr>
          <w:ilvl w:val="0"/>
          <w:numId w:val="11"/>
        </w:numPr>
        <w:spacing w:before="60"/>
        <w:rPr>
          <w:rFonts w:ascii="Verdana" w:hAnsi="Verdana"/>
          <w:sz w:val="19"/>
          <w:szCs w:val="19"/>
        </w:rPr>
      </w:pPr>
      <w:r w:rsidRPr="007476EA">
        <w:rPr>
          <w:rFonts w:ascii="Verdana" w:hAnsi="Verdana"/>
          <w:sz w:val="19"/>
          <w:szCs w:val="19"/>
        </w:rPr>
        <w:t>Ceny zůstávají pevné v průběhu kalendářního roku. Na počátku dalšího roku může být cena upravena s přihlédnutím k míře inflace a průměrným kurzovým sazbám v předchozím roce.</w:t>
      </w:r>
    </w:p>
    <w:p w:rsidR="008F17E6" w:rsidRPr="00E131AE" w:rsidRDefault="008F17E6">
      <w:pPr>
        <w:pStyle w:val="Nadpis2"/>
        <w:rPr>
          <w:rFonts w:ascii="Verdana" w:hAnsi="Verdana"/>
          <w:sz w:val="22"/>
          <w:szCs w:val="22"/>
        </w:rPr>
      </w:pPr>
      <w:r w:rsidRPr="00E131AE">
        <w:rPr>
          <w:rFonts w:ascii="Verdana" w:hAnsi="Verdana"/>
          <w:sz w:val="22"/>
          <w:szCs w:val="22"/>
        </w:rPr>
        <w:t>Platnost smlouvy</w:t>
      </w:r>
    </w:p>
    <w:p w:rsidR="008F17E6" w:rsidRPr="007476EA" w:rsidRDefault="008F17E6">
      <w:pPr>
        <w:numPr>
          <w:ilvl w:val="0"/>
          <w:numId w:val="9"/>
        </w:numPr>
        <w:rPr>
          <w:rFonts w:ascii="Verdana" w:hAnsi="Verdana"/>
          <w:sz w:val="19"/>
          <w:szCs w:val="19"/>
        </w:rPr>
      </w:pPr>
      <w:r w:rsidRPr="007476EA">
        <w:rPr>
          <w:rFonts w:ascii="Verdana" w:hAnsi="Verdana"/>
          <w:sz w:val="19"/>
          <w:szCs w:val="19"/>
        </w:rPr>
        <w:t xml:space="preserve">Smlouva je uzavřena na dobu </w:t>
      </w:r>
      <w:r w:rsidRPr="00F73477">
        <w:rPr>
          <w:rFonts w:ascii="Verdana" w:hAnsi="Verdana"/>
          <w:noProof/>
          <w:sz w:val="19"/>
          <w:szCs w:val="19"/>
        </w:rPr>
        <w:t>neurčitou</w:t>
      </w:r>
      <w:r w:rsidRPr="007476EA">
        <w:rPr>
          <w:rFonts w:ascii="Verdana" w:hAnsi="Verdana"/>
          <w:sz w:val="19"/>
          <w:szCs w:val="19"/>
        </w:rPr>
        <w:t>a nabývá platnosti dnem jejího podpisu. Předmět smlouvy bude plněn průběžně.</w:t>
      </w:r>
    </w:p>
    <w:p w:rsidR="008F17E6" w:rsidRPr="007476EA" w:rsidRDefault="008F17E6">
      <w:pPr>
        <w:numPr>
          <w:ilvl w:val="0"/>
          <w:numId w:val="9"/>
        </w:numPr>
        <w:spacing w:before="60"/>
        <w:rPr>
          <w:rFonts w:ascii="Verdana" w:hAnsi="Verdana"/>
          <w:sz w:val="19"/>
          <w:szCs w:val="19"/>
        </w:rPr>
      </w:pPr>
      <w:r w:rsidRPr="007476EA">
        <w:rPr>
          <w:rFonts w:ascii="Verdana" w:hAnsi="Verdana"/>
          <w:sz w:val="19"/>
          <w:szCs w:val="19"/>
        </w:rPr>
        <w:t xml:space="preserve">Smlouvu lze vypovědět k poslednímu dni </w:t>
      </w:r>
      <w:r>
        <w:rPr>
          <w:rFonts w:ascii="Verdana" w:hAnsi="Verdana"/>
          <w:sz w:val="19"/>
          <w:szCs w:val="19"/>
        </w:rPr>
        <w:t>kalendářního čtvrtletí</w:t>
      </w:r>
      <w:r w:rsidRPr="007476EA">
        <w:rPr>
          <w:rFonts w:ascii="Verdana" w:hAnsi="Verdana"/>
          <w:sz w:val="19"/>
          <w:szCs w:val="19"/>
        </w:rPr>
        <w:t>, následujícího po měsíci, ve kterém byla vý</w:t>
      </w:r>
      <w:r>
        <w:rPr>
          <w:rFonts w:ascii="Verdana" w:hAnsi="Verdana"/>
          <w:sz w:val="19"/>
          <w:szCs w:val="19"/>
        </w:rPr>
        <w:t>pověď druhé straně doručena, nebo dohodou smluvních stran.</w:t>
      </w:r>
    </w:p>
    <w:p w:rsidR="008F17E6" w:rsidRPr="007476EA" w:rsidRDefault="008F17E6">
      <w:pPr>
        <w:numPr>
          <w:ilvl w:val="0"/>
          <w:numId w:val="9"/>
        </w:numPr>
        <w:spacing w:before="60"/>
        <w:rPr>
          <w:rFonts w:ascii="Verdana" w:hAnsi="Verdana"/>
          <w:sz w:val="19"/>
          <w:szCs w:val="19"/>
        </w:rPr>
      </w:pPr>
      <w:r w:rsidRPr="00552FD8">
        <w:rPr>
          <w:rFonts w:ascii="Verdana" w:hAnsi="Verdana"/>
          <w:sz w:val="19"/>
          <w:szCs w:val="19"/>
        </w:rPr>
        <w:t>P</w:t>
      </w:r>
      <w:r>
        <w:rPr>
          <w:rFonts w:ascii="Verdana" w:hAnsi="Verdana"/>
          <w:sz w:val="19"/>
          <w:szCs w:val="19"/>
        </w:rPr>
        <w:t>okud</w:t>
      </w:r>
      <w:r w:rsidRPr="00552FD8">
        <w:rPr>
          <w:rFonts w:ascii="Verdana" w:hAnsi="Verdana"/>
          <w:sz w:val="19"/>
          <w:szCs w:val="19"/>
        </w:rPr>
        <w:t xml:space="preserve"> smlouv</w:t>
      </w:r>
      <w:r>
        <w:rPr>
          <w:rFonts w:ascii="Verdana" w:hAnsi="Verdana"/>
          <w:sz w:val="19"/>
          <w:szCs w:val="19"/>
        </w:rPr>
        <w:t>u vypoví</w:t>
      </w:r>
      <w:r w:rsidRPr="00552FD8">
        <w:rPr>
          <w:rFonts w:ascii="Verdana" w:hAnsi="Verdana"/>
          <w:sz w:val="19"/>
          <w:szCs w:val="19"/>
        </w:rPr>
        <w:t xml:space="preserve"> objednavatel</w:t>
      </w:r>
      <w:r>
        <w:rPr>
          <w:rFonts w:ascii="Verdana" w:hAnsi="Verdana"/>
          <w:sz w:val="19"/>
          <w:szCs w:val="19"/>
        </w:rPr>
        <w:t>,</w:t>
      </w:r>
      <w:r w:rsidRPr="00552FD8">
        <w:rPr>
          <w:rFonts w:ascii="Verdana" w:hAnsi="Verdana"/>
          <w:sz w:val="19"/>
          <w:szCs w:val="19"/>
        </w:rPr>
        <w:t xml:space="preserve"> poskytovatel </w:t>
      </w:r>
      <w:r>
        <w:rPr>
          <w:rFonts w:ascii="Verdana" w:hAnsi="Verdana"/>
          <w:sz w:val="19"/>
          <w:szCs w:val="19"/>
        </w:rPr>
        <w:t xml:space="preserve">přičte k </w:t>
      </w:r>
      <w:r w:rsidRPr="00552FD8">
        <w:rPr>
          <w:rFonts w:ascii="Verdana" w:hAnsi="Verdana"/>
          <w:sz w:val="19"/>
          <w:szCs w:val="19"/>
        </w:rPr>
        <w:t>část</w:t>
      </w:r>
      <w:r>
        <w:rPr>
          <w:rFonts w:ascii="Verdana" w:hAnsi="Verdana"/>
          <w:sz w:val="19"/>
          <w:szCs w:val="19"/>
        </w:rPr>
        <w:t>ce</w:t>
      </w:r>
      <w:r w:rsidRPr="00552FD8">
        <w:rPr>
          <w:rFonts w:ascii="Verdana" w:hAnsi="Verdana"/>
          <w:sz w:val="19"/>
          <w:szCs w:val="19"/>
        </w:rPr>
        <w:t xml:space="preserve">, </w:t>
      </w:r>
      <w:r>
        <w:rPr>
          <w:rFonts w:ascii="Verdana" w:hAnsi="Verdana"/>
          <w:sz w:val="19"/>
          <w:szCs w:val="19"/>
        </w:rPr>
        <w:t xml:space="preserve">zbývající k fakturaci i dílčí část nákladů za </w:t>
      </w:r>
      <w:r w:rsidRPr="00552FD8">
        <w:rPr>
          <w:rFonts w:ascii="Verdana" w:hAnsi="Verdana"/>
          <w:sz w:val="19"/>
          <w:szCs w:val="19"/>
        </w:rPr>
        <w:t xml:space="preserve">preventivní údržbu </w:t>
      </w:r>
      <w:r>
        <w:rPr>
          <w:rFonts w:ascii="Verdana" w:hAnsi="Verdana"/>
          <w:sz w:val="19"/>
          <w:szCs w:val="19"/>
        </w:rPr>
        <w:t>a</w:t>
      </w:r>
      <w:r w:rsidRPr="00552FD8">
        <w:rPr>
          <w:rFonts w:ascii="Verdana" w:hAnsi="Verdana"/>
          <w:sz w:val="19"/>
          <w:szCs w:val="19"/>
        </w:rPr>
        <w:t xml:space="preserve"> periodick</w:t>
      </w:r>
      <w:r>
        <w:rPr>
          <w:rFonts w:ascii="Verdana" w:hAnsi="Verdana"/>
          <w:sz w:val="19"/>
          <w:szCs w:val="19"/>
        </w:rPr>
        <w:t>é</w:t>
      </w:r>
      <w:r w:rsidRPr="00552FD8">
        <w:rPr>
          <w:rFonts w:ascii="Verdana" w:hAnsi="Verdana"/>
          <w:sz w:val="19"/>
          <w:szCs w:val="19"/>
        </w:rPr>
        <w:t xml:space="preserve"> bezpečnostně technick</w:t>
      </w:r>
      <w:r>
        <w:rPr>
          <w:rFonts w:ascii="Verdana" w:hAnsi="Verdana"/>
          <w:sz w:val="19"/>
          <w:szCs w:val="19"/>
        </w:rPr>
        <w:t>é</w:t>
      </w:r>
      <w:r w:rsidRPr="00552FD8">
        <w:rPr>
          <w:rFonts w:ascii="Verdana" w:hAnsi="Verdana"/>
          <w:sz w:val="19"/>
          <w:szCs w:val="19"/>
        </w:rPr>
        <w:t xml:space="preserve"> kontro</w:t>
      </w:r>
      <w:r>
        <w:rPr>
          <w:rFonts w:ascii="Verdana" w:hAnsi="Verdana"/>
          <w:sz w:val="19"/>
          <w:szCs w:val="19"/>
        </w:rPr>
        <w:t>ly (dále jen úkony), provedené v období posledních 12 měsíců. Tyto dílčí části nákladů stanoví následo</w:t>
      </w:r>
      <w:r>
        <w:rPr>
          <w:rFonts w:ascii="Verdana" w:hAnsi="Verdana"/>
          <w:sz w:val="19"/>
          <w:szCs w:val="19"/>
        </w:rPr>
        <w:t>v</w:t>
      </w:r>
      <w:r>
        <w:rPr>
          <w:rFonts w:ascii="Verdana" w:hAnsi="Verdana"/>
          <w:sz w:val="19"/>
          <w:szCs w:val="19"/>
        </w:rPr>
        <w:t>ně: za úkony, provedené do 6 měsíců před ukončením smlouvy je částka navýšena o 50% sumy katalogových cen jednotlivých úkonů a za úkony, provedené před 6 až 12 měsíci je částka navýšena o 25% sumy katalogových cen jednotlivých úkonů</w:t>
      </w:r>
      <w:r w:rsidRPr="007476EA">
        <w:rPr>
          <w:rFonts w:ascii="Verdana" w:hAnsi="Verdana"/>
          <w:sz w:val="19"/>
          <w:szCs w:val="19"/>
        </w:rPr>
        <w:t>.</w:t>
      </w:r>
    </w:p>
    <w:p w:rsidR="008F17E6" w:rsidRPr="007476EA" w:rsidRDefault="008F17E6">
      <w:pPr>
        <w:numPr>
          <w:ilvl w:val="0"/>
          <w:numId w:val="9"/>
        </w:numPr>
        <w:spacing w:before="60"/>
        <w:rPr>
          <w:rFonts w:ascii="Verdana" w:hAnsi="Verdana"/>
          <w:sz w:val="19"/>
          <w:szCs w:val="19"/>
        </w:rPr>
      </w:pPr>
      <w:r w:rsidRPr="00AE508A">
        <w:rPr>
          <w:rFonts w:ascii="Verdana" w:hAnsi="Verdana"/>
          <w:sz w:val="19"/>
          <w:szCs w:val="19"/>
        </w:rPr>
        <w:t>Pokud objednavatel zruší smlouvu do 6 měsíců od uzavření smlouvy, bude mu částka, stan</w:t>
      </w:r>
      <w:r w:rsidRPr="00AE508A">
        <w:rPr>
          <w:rFonts w:ascii="Verdana" w:hAnsi="Verdana"/>
          <w:sz w:val="19"/>
          <w:szCs w:val="19"/>
        </w:rPr>
        <w:t>o</w:t>
      </w:r>
      <w:r w:rsidRPr="00AE508A">
        <w:rPr>
          <w:rFonts w:ascii="Verdana" w:hAnsi="Verdana"/>
          <w:sz w:val="19"/>
          <w:szCs w:val="19"/>
        </w:rPr>
        <w:t>vovaná dle předchozího bodu, navýšena o cenu spotřebovaných náhradních dílů</w:t>
      </w:r>
      <w:r w:rsidRPr="007476EA">
        <w:rPr>
          <w:rFonts w:ascii="Verdana" w:hAnsi="Verdana"/>
          <w:sz w:val="19"/>
          <w:szCs w:val="19"/>
        </w:rPr>
        <w:t>.</w:t>
      </w:r>
    </w:p>
    <w:p w:rsidR="008F17E6" w:rsidRPr="00E131AE" w:rsidRDefault="008F17E6">
      <w:pPr>
        <w:pStyle w:val="Nadpis2"/>
        <w:rPr>
          <w:rFonts w:ascii="Verdana" w:hAnsi="Verdana"/>
          <w:sz w:val="22"/>
          <w:szCs w:val="22"/>
        </w:rPr>
      </w:pPr>
      <w:r w:rsidRPr="00E131AE">
        <w:rPr>
          <w:rFonts w:ascii="Verdana" w:hAnsi="Verdana"/>
          <w:sz w:val="22"/>
          <w:szCs w:val="22"/>
        </w:rPr>
        <w:lastRenderedPageBreak/>
        <w:t>Další ujednání</w:t>
      </w:r>
    </w:p>
    <w:p w:rsidR="008F17E6" w:rsidRPr="007476EA" w:rsidRDefault="008F17E6">
      <w:pPr>
        <w:numPr>
          <w:ilvl w:val="0"/>
          <w:numId w:val="5"/>
        </w:numPr>
        <w:spacing w:before="20"/>
        <w:jc w:val="both"/>
        <w:rPr>
          <w:rFonts w:ascii="Verdana" w:hAnsi="Verdana"/>
          <w:sz w:val="19"/>
          <w:szCs w:val="19"/>
        </w:rPr>
      </w:pPr>
      <w:r w:rsidRPr="007476EA">
        <w:rPr>
          <w:rFonts w:ascii="Verdana" w:hAnsi="Verdana"/>
          <w:sz w:val="19"/>
          <w:szCs w:val="19"/>
        </w:rPr>
        <w:t xml:space="preserve">Smlouva je uzavřena podle </w:t>
      </w:r>
      <w:r w:rsidRPr="00CE4440">
        <w:rPr>
          <w:rFonts w:ascii="Verdana" w:hAnsi="Verdana"/>
          <w:sz w:val="19"/>
          <w:szCs w:val="19"/>
        </w:rPr>
        <w:t xml:space="preserve">Občanského zákoníku č. 89/2012 Sb., </w:t>
      </w:r>
      <w:r w:rsidRPr="007476EA">
        <w:rPr>
          <w:rFonts w:ascii="Verdana" w:hAnsi="Verdana"/>
          <w:sz w:val="19"/>
          <w:szCs w:val="19"/>
        </w:rPr>
        <w:t>v platném znění</w:t>
      </w:r>
      <w:r>
        <w:rPr>
          <w:rFonts w:ascii="Verdana" w:hAnsi="Verdana"/>
          <w:sz w:val="19"/>
          <w:szCs w:val="19"/>
        </w:rPr>
        <w:t xml:space="preserve"> (dále též „OZ“)</w:t>
      </w:r>
      <w:r w:rsidRPr="007476EA">
        <w:rPr>
          <w:rFonts w:ascii="Verdana" w:hAnsi="Verdana"/>
          <w:sz w:val="19"/>
          <w:szCs w:val="19"/>
        </w:rPr>
        <w:t>.</w:t>
      </w:r>
    </w:p>
    <w:p w:rsidR="008F17E6" w:rsidRPr="00CE4440" w:rsidRDefault="008F17E6" w:rsidP="00CE4440">
      <w:pPr>
        <w:pStyle w:val="Zkladntext"/>
        <w:numPr>
          <w:ilvl w:val="0"/>
          <w:numId w:val="5"/>
        </w:numPr>
        <w:spacing w:before="60"/>
        <w:jc w:val="both"/>
        <w:rPr>
          <w:rFonts w:ascii="Verdana" w:hAnsi="Verdana"/>
          <w:sz w:val="19"/>
          <w:szCs w:val="19"/>
        </w:rPr>
      </w:pPr>
      <w:r w:rsidRPr="00CE4440">
        <w:rPr>
          <w:rFonts w:ascii="Verdana" w:hAnsi="Verdana"/>
          <w:sz w:val="19"/>
          <w:szCs w:val="19"/>
        </w:rPr>
        <w:t>Obě smluvní strany berou na vědomí, že tato smlouva se uzavírá jako projev úplného souhlasu obou stran s jejím obsahem a bez jakýchkoli výhrad k jednotlivým ujednáním. Jednání vedená před uzavřením smlouvy mají pouze informativní povahu. Ustanovení § 1728</w:t>
      </w:r>
      <w:r>
        <w:rPr>
          <w:rFonts w:ascii="Verdana" w:hAnsi="Verdana"/>
          <w:sz w:val="19"/>
          <w:szCs w:val="19"/>
        </w:rPr>
        <w:t xml:space="preserve"> a 1729 OZ</w:t>
      </w:r>
      <w:r w:rsidRPr="00CE4440">
        <w:rPr>
          <w:rFonts w:ascii="Verdana" w:hAnsi="Verdana"/>
          <w:sz w:val="19"/>
          <w:szCs w:val="19"/>
        </w:rPr>
        <w:t xml:space="preserve"> se tedy nepoužijí. Přijetí smlouvy s dodatkem nebo</w:t>
      </w:r>
      <w:r>
        <w:rPr>
          <w:rFonts w:ascii="Verdana" w:hAnsi="Verdana"/>
          <w:sz w:val="19"/>
          <w:szCs w:val="19"/>
        </w:rPr>
        <w:t xml:space="preserve"> s odchylkou se tímto vylučuje.</w:t>
      </w:r>
    </w:p>
    <w:p w:rsidR="008F17E6" w:rsidRPr="007476EA" w:rsidRDefault="008F17E6" w:rsidP="00CE4440">
      <w:pPr>
        <w:pStyle w:val="Zkladntext"/>
        <w:numPr>
          <w:ilvl w:val="0"/>
          <w:numId w:val="5"/>
        </w:numPr>
        <w:spacing w:before="60"/>
        <w:jc w:val="both"/>
        <w:rPr>
          <w:rFonts w:ascii="Verdana" w:hAnsi="Verdana"/>
          <w:sz w:val="19"/>
          <w:szCs w:val="19"/>
        </w:rPr>
      </w:pPr>
      <w:r w:rsidRPr="00CE4440">
        <w:rPr>
          <w:rFonts w:ascii="Verdana" w:hAnsi="Verdana"/>
          <w:sz w:val="19"/>
          <w:szCs w:val="19"/>
        </w:rPr>
        <w:t>Změny této smlouvy jsou možné pouze v písemné formě oboustranně podepsanými dodatky; aplikace ust</w:t>
      </w:r>
      <w:r>
        <w:rPr>
          <w:rFonts w:ascii="Verdana" w:hAnsi="Verdana"/>
          <w:sz w:val="19"/>
          <w:szCs w:val="19"/>
        </w:rPr>
        <w:t>anovení</w:t>
      </w:r>
      <w:r w:rsidRPr="00CE4440">
        <w:rPr>
          <w:rFonts w:ascii="Verdana" w:hAnsi="Verdana"/>
          <w:sz w:val="19"/>
          <w:szCs w:val="19"/>
        </w:rPr>
        <w:t xml:space="preserve"> § 1740 a 1756-1758 </w:t>
      </w:r>
      <w:r>
        <w:rPr>
          <w:rFonts w:ascii="Verdana" w:hAnsi="Verdana"/>
          <w:sz w:val="19"/>
          <w:szCs w:val="19"/>
        </w:rPr>
        <w:t>OZ</w:t>
      </w:r>
      <w:r w:rsidRPr="00CE4440">
        <w:rPr>
          <w:rFonts w:ascii="Verdana" w:hAnsi="Verdana"/>
          <w:sz w:val="19"/>
          <w:szCs w:val="19"/>
        </w:rPr>
        <w:t xml:space="preserve"> je vyloučena</w:t>
      </w:r>
      <w:r>
        <w:rPr>
          <w:rFonts w:ascii="Verdana" w:hAnsi="Verdana"/>
          <w:sz w:val="19"/>
          <w:szCs w:val="19"/>
        </w:rPr>
        <w:t>.</w:t>
      </w:r>
    </w:p>
    <w:p w:rsidR="008F17E6" w:rsidRPr="007476EA" w:rsidRDefault="008F17E6">
      <w:pPr>
        <w:pStyle w:val="Zkladntext"/>
        <w:numPr>
          <w:ilvl w:val="0"/>
          <w:numId w:val="5"/>
        </w:numPr>
        <w:spacing w:before="60"/>
        <w:jc w:val="both"/>
        <w:rPr>
          <w:rFonts w:ascii="Verdana" w:hAnsi="Verdana"/>
          <w:sz w:val="19"/>
          <w:szCs w:val="19"/>
        </w:rPr>
      </w:pPr>
      <w:r w:rsidRPr="007476EA">
        <w:rPr>
          <w:rFonts w:ascii="Verdana" w:hAnsi="Verdana"/>
          <w:sz w:val="19"/>
          <w:szCs w:val="19"/>
        </w:rPr>
        <w:t>Vyskytnou-li se okolnosti, které jedné straně částečně nebo úplně znemožní plnění jejich povinností podle smlouvy, jsou povinni se o tom bez zbytečného prodlení informovat a společně podniknout kroky k jejich překonání. Nesplnění této povinnosti zakládá nárok na náhradu škody pro stranu, která se porušení smlouvy v tomto bodě nedopustila.</w:t>
      </w:r>
    </w:p>
    <w:p w:rsidR="008F17E6" w:rsidRPr="007476EA" w:rsidRDefault="008F17E6">
      <w:pPr>
        <w:pStyle w:val="Zkladntext"/>
        <w:numPr>
          <w:ilvl w:val="0"/>
          <w:numId w:val="5"/>
        </w:numPr>
        <w:spacing w:before="60"/>
        <w:jc w:val="both"/>
        <w:rPr>
          <w:rFonts w:ascii="Verdana" w:hAnsi="Verdana"/>
          <w:sz w:val="19"/>
          <w:szCs w:val="19"/>
        </w:rPr>
      </w:pPr>
      <w:r w:rsidRPr="007476EA">
        <w:rPr>
          <w:rFonts w:ascii="Verdana" w:hAnsi="Verdana"/>
          <w:sz w:val="19"/>
          <w:szCs w:val="19"/>
        </w:rPr>
        <w:t>Poskytovatel nepřebírá žádnou odpovědnost za škody způsobené neodbornými zásahy obsluhy nebo zásahy neautorizovaných servisních organizací.</w:t>
      </w:r>
    </w:p>
    <w:p w:rsidR="008F17E6" w:rsidRDefault="008F17E6" w:rsidP="001B495C">
      <w:pPr>
        <w:pStyle w:val="Zkladntext"/>
        <w:numPr>
          <w:ilvl w:val="0"/>
          <w:numId w:val="5"/>
        </w:numPr>
        <w:spacing w:before="60"/>
        <w:jc w:val="both"/>
        <w:rPr>
          <w:rFonts w:ascii="Verdana" w:hAnsi="Verdana"/>
          <w:sz w:val="19"/>
          <w:szCs w:val="19"/>
        </w:rPr>
      </w:pPr>
      <w:r w:rsidRPr="001B495C">
        <w:rPr>
          <w:rFonts w:ascii="Verdana" w:hAnsi="Verdana"/>
          <w:sz w:val="19"/>
          <w:szCs w:val="19"/>
        </w:rPr>
        <w:t>Pokud se při plnění předmětu smlouvy vyskytne potřeba provedení dalších prací, které nejsou obsaženy ve specifikaci a</w:t>
      </w:r>
      <w:r>
        <w:rPr>
          <w:rFonts w:ascii="Verdana" w:hAnsi="Verdana"/>
          <w:sz w:val="19"/>
          <w:szCs w:val="19"/>
        </w:rPr>
        <w:t>/nebo</w:t>
      </w:r>
      <w:r w:rsidRPr="001B495C">
        <w:rPr>
          <w:rFonts w:ascii="Verdana" w:hAnsi="Verdana"/>
          <w:sz w:val="19"/>
          <w:szCs w:val="19"/>
        </w:rPr>
        <w:t xml:space="preserve"> nemohly být předvídány, nebo které si objednavatel přeje provést nad rámec předmětu smlouvy, nebo byla závada prokazatelně způsobena obsluhou chybnou manipulací se zařízením resp. použitím nesprávného spotřebního materiálu, půjde o servisní výkon nad rámec této smlouvy a jako takový bude řešen samostatně podle Podmínek.</w:t>
      </w:r>
    </w:p>
    <w:p w:rsidR="008F17E6" w:rsidRPr="007476EA" w:rsidRDefault="008F17E6" w:rsidP="001B495C">
      <w:pPr>
        <w:numPr>
          <w:ilvl w:val="0"/>
          <w:numId w:val="5"/>
        </w:numPr>
        <w:spacing w:before="60"/>
        <w:rPr>
          <w:rFonts w:ascii="Verdana" w:hAnsi="Verdana"/>
          <w:sz w:val="19"/>
          <w:szCs w:val="19"/>
        </w:rPr>
      </w:pPr>
      <w:r w:rsidRPr="007476EA">
        <w:rPr>
          <w:rFonts w:ascii="Verdana" w:hAnsi="Verdana"/>
          <w:sz w:val="19"/>
          <w:szCs w:val="19"/>
        </w:rPr>
        <w:t>Před uzavřením smlouvy musí být přístroj/e plně funkční a musí mít proveden</w:t>
      </w:r>
      <w:r>
        <w:rPr>
          <w:rFonts w:ascii="Verdana" w:hAnsi="Verdana"/>
          <w:sz w:val="19"/>
          <w:szCs w:val="19"/>
        </w:rPr>
        <w:t>u</w:t>
      </w:r>
      <w:r w:rsidRPr="007476EA">
        <w:rPr>
          <w:rFonts w:ascii="Verdana" w:hAnsi="Verdana"/>
          <w:sz w:val="19"/>
          <w:szCs w:val="19"/>
        </w:rPr>
        <w:t xml:space="preserve"> výrobcem předepsan</w:t>
      </w:r>
      <w:r>
        <w:rPr>
          <w:rFonts w:ascii="Verdana" w:hAnsi="Verdana"/>
          <w:sz w:val="19"/>
          <w:szCs w:val="19"/>
        </w:rPr>
        <w:t>ou preventivní údržbu</w:t>
      </w:r>
      <w:r w:rsidRPr="007476EA">
        <w:rPr>
          <w:rFonts w:ascii="Verdana" w:hAnsi="Verdana"/>
          <w:sz w:val="19"/>
          <w:szCs w:val="19"/>
        </w:rPr>
        <w:t>. Pokud tomu tak není, jsou tyto skutečnosti napraveny mimo rámec této smlouvy individuálním servisním zásahem v souladu s </w:t>
      </w:r>
      <w:r>
        <w:rPr>
          <w:rFonts w:ascii="Verdana" w:hAnsi="Verdana"/>
          <w:sz w:val="19"/>
          <w:szCs w:val="19"/>
        </w:rPr>
        <w:t>Podmínkami</w:t>
      </w:r>
      <w:r w:rsidRPr="007476EA">
        <w:rPr>
          <w:rFonts w:ascii="Verdana" w:hAnsi="Verdana"/>
          <w:sz w:val="19"/>
          <w:szCs w:val="19"/>
        </w:rPr>
        <w:t>. Stejně tak je postupováno při obnově zaniklé servisní smlouvy, jestliže doba mezi ukončením staré a uzavřením nové smlouvy je delší něž 90 dnů.</w:t>
      </w:r>
    </w:p>
    <w:p w:rsidR="008F17E6" w:rsidRPr="007476EA" w:rsidRDefault="008F17E6">
      <w:pPr>
        <w:numPr>
          <w:ilvl w:val="0"/>
          <w:numId w:val="5"/>
        </w:numPr>
        <w:spacing w:before="60"/>
        <w:jc w:val="both"/>
        <w:rPr>
          <w:rFonts w:ascii="Verdana" w:hAnsi="Verdana"/>
          <w:sz w:val="19"/>
          <w:szCs w:val="19"/>
        </w:rPr>
      </w:pPr>
      <w:r w:rsidRPr="007476EA">
        <w:rPr>
          <w:rFonts w:ascii="Verdana" w:hAnsi="Verdana"/>
          <w:sz w:val="19"/>
          <w:szCs w:val="19"/>
        </w:rPr>
        <w:t>Poskytovatel bude informovat objednavatele o všech případných změnách cen, které mohou mít vliv na výslednou cenu servisního zásahu nejpozději do zahájení servisního zásahu.</w:t>
      </w:r>
    </w:p>
    <w:p w:rsidR="008F17E6" w:rsidRPr="007476EA" w:rsidRDefault="008F17E6">
      <w:pPr>
        <w:jc w:val="both"/>
        <w:rPr>
          <w:rFonts w:ascii="Verdana" w:hAnsi="Verdana"/>
          <w:sz w:val="19"/>
          <w:szCs w:val="19"/>
        </w:rPr>
      </w:pPr>
    </w:p>
    <w:p w:rsidR="008F17E6" w:rsidRPr="007476EA" w:rsidRDefault="008F17E6">
      <w:pPr>
        <w:jc w:val="both"/>
        <w:rPr>
          <w:rFonts w:ascii="Verdana" w:hAnsi="Verdana"/>
          <w:b/>
          <w:sz w:val="19"/>
          <w:szCs w:val="19"/>
        </w:rPr>
      </w:pPr>
    </w:p>
    <w:p w:rsidR="008F17E6" w:rsidRPr="007476EA" w:rsidRDefault="008F17E6">
      <w:pPr>
        <w:pStyle w:val="Nadpis3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Smluvní strany </w:t>
      </w:r>
      <w:r w:rsidRPr="007476EA">
        <w:rPr>
          <w:rFonts w:ascii="Verdana" w:hAnsi="Verdana"/>
          <w:sz w:val="19"/>
          <w:szCs w:val="19"/>
        </w:rPr>
        <w:t>si smlouvu přečetl</w:t>
      </w:r>
      <w:r>
        <w:rPr>
          <w:rFonts w:ascii="Verdana" w:hAnsi="Verdana"/>
          <w:sz w:val="19"/>
          <w:szCs w:val="19"/>
        </w:rPr>
        <w:t>y</w:t>
      </w:r>
      <w:r w:rsidRPr="007476EA">
        <w:rPr>
          <w:rFonts w:ascii="Verdana" w:hAnsi="Verdana"/>
          <w:sz w:val="19"/>
          <w:szCs w:val="19"/>
        </w:rPr>
        <w:t>, souhlasí s jejím obsahem a na důkaz svého souhlasu ji podepisují.</w:t>
      </w:r>
    </w:p>
    <w:p w:rsidR="008F17E6" w:rsidRPr="007476EA" w:rsidRDefault="008F17E6">
      <w:pPr>
        <w:rPr>
          <w:rFonts w:ascii="Verdana" w:hAnsi="Verdana"/>
          <w:sz w:val="19"/>
          <w:szCs w:val="19"/>
        </w:rPr>
      </w:pPr>
    </w:p>
    <w:p w:rsidR="008F17E6" w:rsidRPr="007476EA" w:rsidRDefault="008F17E6">
      <w:pPr>
        <w:rPr>
          <w:rFonts w:ascii="Verdana" w:hAnsi="Verdana"/>
          <w:sz w:val="19"/>
          <w:szCs w:val="19"/>
        </w:rPr>
      </w:pPr>
    </w:p>
    <w:p w:rsidR="008F17E6" w:rsidRDefault="008F17E6">
      <w:pPr>
        <w:rPr>
          <w:rFonts w:ascii="Verdana" w:hAnsi="Verdana"/>
          <w:sz w:val="19"/>
          <w:szCs w:val="19"/>
        </w:rPr>
      </w:pPr>
      <w:r w:rsidRPr="007476EA">
        <w:rPr>
          <w:rFonts w:ascii="Verdana" w:hAnsi="Verdana"/>
          <w:sz w:val="19"/>
          <w:szCs w:val="19"/>
        </w:rPr>
        <w:t>V………………dne………………</w:t>
      </w:r>
    </w:p>
    <w:p w:rsidR="008F17E6" w:rsidRDefault="008F17E6">
      <w:pPr>
        <w:rPr>
          <w:rFonts w:ascii="Verdana" w:hAnsi="Verdana"/>
          <w:sz w:val="19"/>
          <w:szCs w:val="19"/>
        </w:rPr>
      </w:pPr>
    </w:p>
    <w:p w:rsidR="008F17E6" w:rsidRDefault="008F17E6">
      <w:pPr>
        <w:rPr>
          <w:rFonts w:ascii="Verdana" w:hAnsi="Verdana"/>
          <w:sz w:val="19"/>
          <w:szCs w:val="19"/>
        </w:rPr>
      </w:pPr>
    </w:p>
    <w:p w:rsidR="008F17E6" w:rsidRDefault="008F17E6">
      <w:pPr>
        <w:rPr>
          <w:rFonts w:ascii="Verdana" w:hAnsi="Verdana"/>
          <w:sz w:val="19"/>
          <w:szCs w:val="19"/>
        </w:rPr>
      </w:pPr>
    </w:p>
    <w:p w:rsidR="008F17E6" w:rsidRPr="007476EA" w:rsidRDefault="008F17E6">
      <w:pPr>
        <w:rPr>
          <w:rFonts w:ascii="Verdana" w:hAnsi="Verdana"/>
          <w:sz w:val="19"/>
          <w:szCs w:val="19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97"/>
        <w:gridCol w:w="4423"/>
      </w:tblGrid>
      <w:tr w:rsidR="008F17E6" w:rsidTr="009073B8">
        <w:trPr>
          <w:jc w:val="center"/>
        </w:trPr>
        <w:tc>
          <w:tcPr>
            <w:tcW w:w="4797" w:type="dxa"/>
          </w:tcPr>
          <w:p w:rsidR="008F17E6" w:rsidRPr="009073B8" w:rsidRDefault="008F17E6" w:rsidP="009073B8">
            <w:pPr>
              <w:jc w:val="center"/>
              <w:rPr>
                <w:rFonts w:ascii="Verdana" w:hAnsi="Verdana"/>
              </w:rPr>
            </w:pPr>
            <w:r w:rsidRPr="00E936C8">
              <w:t xml:space="preserve">. . . . . . . . . . . . . . . . . . . . . . . </w:t>
            </w:r>
            <w:r>
              <w:t>. . . . . . . . .</w:t>
            </w:r>
          </w:p>
        </w:tc>
        <w:tc>
          <w:tcPr>
            <w:tcW w:w="4423" w:type="dxa"/>
          </w:tcPr>
          <w:p w:rsidR="008F17E6" w:rsidRPr="009073B8" w:rsidRDefault="008F17E6" w:rsidP="009073B8">
            <w:pPr>
              <w:jc w:val="center"/>
              <w:rPr>
                <w:rFonts w:ascii="Verdana" w:hAnsi="Verdana"/>
              </w:rPr>
            </w:pPr>
            <w:r w:rsidRPr="00E936C8">
              <w:t xml:space="preserve">. . . . . . . . . . . . . . . . . . . . . . . </w:t>
            </w:r>
            <w:r>
              <w:t>. . . . . . . . .</w:t>
            </w:r>
          </w:p>
        </w:tc>
      </w:tr>
      <w:tr w:rsidR="008F17E6" w:rsidTr="009073B8">
        <w:trPr>
          <w:jc w:val="center"/>
        </w:trPr>
        <w:tc>
          <w:tcPr>
            <w:tcW w:w="4797" w:type="dxa"/>
          </w:tcPr>
          <w:p w:rsidR="008F17E6" w:rsidRPr="009073B8" w:rsidRDefault="008F17E6" w:rsidP="009073B8">
            <w:pPr>
              <w:jc w:val="center"/>
              <w:rPr>
                <w:rFonts w:ascii="Verdana" w:hAnsi="Verdana"/>
              </w:rPr>
            </w:pPr>
            <w:r w:rsidRPr="009073B8">
              <w:rPr>
                <w:sz w:val="16"/>
              </w:rPr>
              <w:t>za objednavatele</w:t>
            </w:r>
          </w:p>
        </w:tc>
        <w:tc>
          <w:tcPr>
            <w:tcW w:w="4423" w:type="dxa"/>
          </w:tcPr>
          <w:p w:rsidR="008F17E6" w:rsidRPr="009073B8" w:rsidRDefault="008F17E6" w:rsidP="009073B8">
            <w:pPr>
              <w:jc w:val="center"/>
              <w:rPr>
                <w:rFonts w:ascii="Verdana" w:hAnsi="Verdana"/>
              </w:rPr>
            </w:pPr>
            <w:r w:rsidRPr="009073B8">
              <w:rPr>
                <w:sz w:val="16"/>
              </w:rPr>
              <w:t>za poskytovatele</w:t>
            </w:r>
          </w:p>
        </w:tc>
      </w:tr>
      <w:tr w:rsidR="008F17E6" w:rsidTr="009073B8">
        <w:trPr>
          <w:jc w:val="center"/>
        </w:trPr>
        <w:tc>
          <w:tcPr>
            <w:tcW w:w="4797" w:type="dxa"/>
          </w:tcPr>
          <w:p w:rsidR="008F17E6" w:rsidRPr="009073B8" w:rsidRDefault="008F17E6" w:rsidP="009073B8">
            <w:pPr>
              <w:jc w:val="center"/>
              <w:rPr>
                <w:rFonts w:ascii="Verdana" w:hAnsi="Verdana"/>
              </w:rPr>
            </w:pPr>
            <w:r w:rsidRPr="009073B8">
              <w:rPr>
                <w:rFonts w:ascii="Verdana" w:hAnsi="Verdana"/>
                <w:noProof/>
                <w:sz w:val="18"/>
                <w:szCs w:val="18"/>
              </w:rPr>
              <w:t>Doc. RNDr. Běla Bendlová, ředitelka</w:t>
            </w:r>
          </w:p>
        </w:tc>
        <w:tc>
          <w:tcPr>
            <w:tcW w:w="4423" w:type="dxa"/>
          </w:tcPr>
          <w:p w:rsidR="008F17E6" w:rsidRPr="009073B8" w:rsidRDefault="008F17E6" w:rsidP="009073B8">
            <w:pPr>
              <w:jc w:val="center"/>
              <w:rPr>
                <w:rFonts w:ascii="Verdana" w:hAnsi="Verdana"/>
              </w:rPr>
            </w:pPr>
            <w:r w:rsidRPr="009073B8">
              <w:rPr>
                <w:rFonts w:ascii="Verdana" w:hAnsi="Verdana"/>
                <w:sz w:val="18"/>
                <w:szCs w:val="18"/>
              </w:rPr>
              <w:t>Ing. Václav Mádr, jednatel</w:t>
            </w:r>
          </w:p>
        </w:tc>
      </w:tr>
    </w:tbl>
    <w:p w:rsidR="008F17E6" w:rsidRDefault="008F17E6" w:rsidP="00842130">
      <w:pPr>
        <w:pStyle w:val="Zkladntext"/>
        <w:tabs>
          <w:tab w:val="left" w:pos="-2127"/>
          <w:tab w:val="left" w:pos="6096"/>
        </w:tabs>
        <w:rPr>
          <w:rFonts w:ascii="Verdana" w:hAnsi="Verdana"/>
          <w:sz w:val="18"/>
          <w:szCs w:val="18"/>
        </w:rPr>
        <w:sectPr w:rsidR="008F17E6" w:rsidSect="00F918E9">
          <w:headerReference w:type="default" r:id="rId8"/>
          <w:pgSz w:w="11906" w:h="16838" w:code="9"/>
          <w:pgMar w:top="1247" w:right="1304" w:bottom="964" w:left="1304" w:header="567" w:footer="567" w:gutter="0"/>
          <w:pgNumType w:start="1"/>
          <w:cols w:space="708"/>
          <w:titlePg/>
        </w:sectPr>
      </w:pPr>
    </w:p>
    <w:p w:rsidR="008F17E6" w:rsidRPr="00CE4440" w:rsidRDefault="008F17E6" w:rsidP="00842130">
      <w:pPr>
        <w:pStyle w:val="Zkladntext"/>
        <w:tabs>
          <w:tab w:val="left" w:pos="-2127"/>
          <w:tab w:val="left" w:pos="6096"/>
        </w:tabs>
        <w:rPr>
          <w:rFonts w:ascii="Verdana" w:hAnsi="Verdana"/>
          <w:sz w:val="18"/>
          <w:szCs w:val="18"/>
        </w:rPr>
      </w:pPr>
    </w:p>
    <w:sectPr w:rsidR="008F17E6" w:rsidRPr="00CE4440" w:rsidSect="00F918E9">
      <w:headerReference w:type="default" r:id="rId9"/>
      <w:type w:val="continuous"/>
      <w:pgSz w:w="11906" w:h="16838" w:code="9"/>
      <w:pgMar w:top="1247" w:right="1304" w:bottom="964" w:left="130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7E6" w:rsidRDefault="008F17E6">
      <w:r>
        <w:separator/>
      </w:r>
    </w:p>
  </w:endnote>
  <w:endnote w:type="continuationSeparator" w:id="0">
    <w:p w:rsidR="008F17E6" w:rsidRDefault="008F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7E6" w:rsidRDefault="008F17E6">
      <w:r>
        <w:separator/>
      </w:r>
    </w:p>
  </w:footnote>
  <w:footnote w:type="continuationSeparator" w:id="0">
    <w:p w:rsidR="008F17E6" w:rsidRDefault="008F1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E6" w:rsidRPr="00DA050D" w:rsidRDefault="008F17E6" w:rsidP="00DA050D">
    <w:pPr>
      <w:pStyle w:val="Zhlav"/>
      <w:tabs>
        <w:tab w:val="clear" w:pos="4536"/>
        <w:tab w:val="clear" w:pos="9072"/>
        <w:tab w:val="right" w:pos="8647"/>
      </w:tabs>
      <w:rPr>
        <w:rFonts w:ascii="Tahoma" w:hAnsi="Tahoma" w:cs="Tahoma"/>
        <w:sz w:val="14"/>
        <w:szCs w:val="14"/>
      </w:rPr>
    </w:pPr>
    <w:r w:rsidRPr="00DA050D">
      <w:rPr>
        <w:rFonts w:ascii="Tahoma" w:hAnsi="Tahoma" w:cs="Tahoma"/>
        <w:sz w:val="14"/>
        <w:szCs w:val="14"/>
      </w:rPr>
      <w:t xml:space="preserve">Servisní smlouva: BCCZ - </w:t>
    </w:r>
    <w:r w:rsidRPr="00F73477">
      <w:rPr>
        <w:rFonts w:ascii="Tahoma" w:hAnsi="Tahoma" w:cs="Tahoma"/>
        <w:noProof/>
        <w:sz w:val="14"/>
        <w:szCs w:val="14"/>
      </w:rPr>
      <w:t>Endokrinologický Ústav, oddělení steroidních hormonů</w:t>
    </w:r>
    <w:r w:rsidRPr="00DA050D">
      <w:rPr>
        <w:rFonts w:ascii="Tahoma" w:hAnsi="Tahoma" w:cs="Tahoma"/>
        <w:sz w:val="14"/>
        <w:szCs w:val="14"/>
      </w:rPr>
      <w:tab/>
    </w:r>
    <w:r w:rsidRPr="00DA050D">
      <w:rPr>
        <w:rFonts w:ascii="Tahoma" w:hAnsi="Tahoma" w:cs="Tahoma"/>
        <w:bCs/>
        <w:sz w:val="14"/>
        <w:szCs w:val="14"/>
      </w:rPr>
      <w:fldChar w:fldCharType="begin"/>
    </w:r>
    <w:r w:rsidRPr="00DA050D">
      <w:rPr>
        <w:rFonts w:ascii="Tahoma" w:hAnsi="Tahoma" w:cs="Tahoma"/>
        <w:bCs/>
        <w:sz w:val="14"/>
        <w:szCs w:val="14"/>
      </w:rPr>
      <w:instrText>PAGE</w:instrText>
    </w:r>
    <w:r w:rsidRPr="00DA050D">
      <w:rPr>
        <w:rFonts w:ascii="Tahoma" w:hAnsi="Tahoma" w:cs="Tahoma"/>
        <w:bCs/>
        <w:sz w:val="14"/>
        <w:szCs w:val="14"/>
      </w:rPr>
      <w:fldChar w:fldCharType="separate"/>
    </w:r>
    <w:r w:rsidR="007B0EAF">
      <w:rPr>
        <w:rFonts w:ascii="Tahoma" w:hAnsi="Tahoma" w:cs="Tahoma"/>
        <w:bCs/>
        <w:noProof/>
        <w:sz w:val="14"/>
        <w:szCs w:val="14"/>
      </w:rPr>
      <w:t>2</w:t>
    </w:r>
    <w:r w:rsidRPr="00DA050D">
      <w:rPr>
        <w:rFonts w:ascii="Tahoma" w:hAnsi="Tahoma" w:cs="Tahoma"/>
        <w:bCs/>
        <w:sz w:val="14"/>
        <w:szCs w:val="14"/>
      </w:rPr>
      <w:fldChar w:fldCharType="end"/>
    </w:r>
    <w:r w:rsidRPr="00DA050D">
      <w:rPr>
        <w:rFonts w:ascii="Tahoma" w:hAnsi="Tahoma" w:cs="Tahoma"/>
        <w:sz w:val="14"/>
        <w:szCs w:val="14"/>
      </w:rPr>
      <w:t>/</w:t>
    </w:r>
    <w:r w:rsidRPr="00DA050D">
      <w:rPr>
        <w:rFonts w:ascii="Tahoma" w:hAnsi="Tahoma" w:cs="Tahoma"/>
        <w:bCs/>
        <w:sz w:val="14"/>
        <w:szCs w:val="14"/>
      </w:rPr>
      <w:fldChar w:fldCharType="begin"/>
    </w:r>
    <w:r w:rsidRPr="00DA050D">
      <w:rPr>
        <w:rFonts w:ascii="Tahoma" w:hAnsi="Tahoma" w:cs="Tahoma"/>
        <w:bCs/>
        <w:sz w:val="14"/>
        <w:szCs w:val="14"/>
      </w:rPr>
      <w:instrText>NUMPAGES</w:instrText>
    </w:r>
    <w:r w:rsidRPr="00DA050D">
      <w:rPr>
        <w:rFonts w:ascii="Tahoma" w:hAnsi="Tahoma" w:cs="Tahoma"/>
        <w:bCs/>
        <w:sz w:val="14"/>
        <w:szCs w:val="14"/>
      </w:rPr>
      <w:fldChar w:fldCharType="separate"/>
    </w:r>
    <w:r w:rsidR="007B0EAF">
      <w:rPr>
        <w:rFonts w:ascii="Tahoma" w:hAnsi="Tahoma" w:cs="Tahoma"/>
        <w:bCs/>
        <w:noProof/>
        <w:sz w:val="14"/>
        <w:szCs w:val="14"/>
      </w:rPr>
      <w:t>2</w:t>
    </w:r>
    <w:r w:rsidRPr="00DA050D">
      <w:rPr>
        <w:rFonts w:ascii="Tahoma" w:hAnsi="Tahoma" w:cs="Tahoma"/>
        <w:bCs/>
        <w:sz w:val="14"/>
        <w:szCs w:val="1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E6" w:rsidRPr="00DA050D" w:rsidRDefault="008F17E6" w:rsidP="00DA050D">
    <w:pPr>
      <w:pStyle w:val="Zhlav"/>
      <w:tabs>
        <w:tab w:val="clear" w:pos="4536"/>
        <w:tab w:val="clear" w:pos="9072"/>
        <w:tab w:val="right" w:pos="8647"/>
      </w:tabs>
      <w:rPr>
        <w:rFonts w:ascii="Tahoma" w:hAnsi="Tahoma" w:cs="Tahoma"/>
        <w:sz w:val="14"/>
        <w:szCs w:val="14"/>
      </w:rPr>
    </w:pPr>
    <w:r w:rsidRPr="00DA050D">
      <w:rPr>
        <w:rFonts w:ascii="Tahoma" w:hAnsi="Tahoma" w:cs="Tahoma"/>
        <w:sz w:val="14"/>
        <w:szCs w:val="14"/>
      </w:rPr>
      <w:t xml:space="preserve">Servisní smlouva: BCCZ - </w:t>
    </w:r>
    <w:r>
      <w:rPr>
        <w:rFonts w:ascii="Tahoma" w:hAnsi="Tahoma" w:cs="Tahoma"/>
        <w:noProof/>
        <w:sz w:val="14"/>
        <w:szCs w:val="14"/>
      </w:rPr>
      <w:t>«Firma»</w:t>
    </w:r>
    <w:r w:rsidRPr="00DA050D">
      <w:rPr>
        <w:rFonts w:ascii="Tahoma" w:hAnsi="Tahoma" w:cs="Tahoma"/>
        <w:sz w:val="14"/>
        <w:szCs w:val="14"/>
      </w:rPr>
      <w:tab/>
    </w:r>
    <w:r w:rsidRPr="00DA050D">
      <w:rPr>
        <w:rFonts w:ascii="Tahoma" w:hAnsi="Tahoma" w:cs="Tahoma"/>
        <w:bCs/>
        <w:sz w:val="14"/>
        <w:szCs w:val="14"/>
      </w:rPr>
      <w:fldChar w:fldCharType="begin"/>
    </w:r>
    <w:r w:rsidRPr="00DA050D">
      <w:rPr>
        <w:rFonts w:ascii="Tahoma" w:hAnsi="Tahoma" w:cs="Tahoma"/>
        <w:bCs/>
        <w:sz w:val="14"/>
        <w:szCs w:val="14"/>
      </w:rPr>
      <w:instrText>PAGE</w:instrText>
    </w:r>
    <w:r w:rsidRPr="00DA050D">
      <w:rPr>
        <w:rFonts w:ascii="Tahoma" w:hAnsi="Tahoma" w:cs="Tahoma"/>
        <w:bCs/>
        <w:sz w:val="14"/>
        <w:szCs w:val="14"/>
      </w:rPr>
      <w:fldChar w:fldCharType="separate"/>
    </w:r>
    <w:r>
      <w:rPr>
        <w:rFonts w:ascii="Tahoma" w:hAnsi="Tahoma" w:cs="Tahoma"/>
        <w:bCs/>
        <w:noProof/>
        <w:sz w:val="14"/>
        <w:szCs w:val="14"/>
      </w:rPr>
      <w:t>3</w:t>
    </w:r>
    <w:r w:rsidRPr="00DA050D">
      <w:rPr>
        <w:rFonts w:ascii="Tahoma" w:hAnsi="Tahoma" w:cs="Tahoma"/>
        <w:bCs/>
        <w:sz w:val="14"/>
        <w:szCs w:val="14"/>
      </w:rPr>
      <w:fldChar w:fldCharType="end"/>
    </w:r>
    <w:r w:rsidRPr="00DA050D">
      <w:rPr>
        <w:rFonts w:ascii="Tahoma" w:hAnsi="Tahoma" w:cs="Tahoma"/>
        <w:sz w:val="14"/>
        <w:szCs w:val="14"/>
      </w:rPr>
      <w:t>/</w:t>
    </w:r>
    <w:r w:rsidRPr="00DA050D">
      <w:rPr>
        <w:rFonts w:ascii="Tahoma" w:hAnsi="Tahoma" w:cs="Tahoma"/>
        <w:bCs/>
        <w:sz w:val="14"/>
        <w:szCs w:val="14"/>
      </w:rPr>
      <w:fldChar w:fldCharType="begin"/>
    </w:r>
    <w:r w:rsidRPr="00DA050D">
      <w:rPr>
        <w:rFonts w:ascii="Tahoma" w:hAnsi="Tahoma" w:cs="Tahoma"/>
        <w:bCs/>
        <w:sz w:val="14"/>
        <w:szCs w:val="14"/>
      </w:rPr>
      <w:instrText>NUMPAGES</w:instrText>
    </w:r>
    <w:r w:rsidRPr="00DA050D">
      <w:rPr>
        <w:rFonts w:ascii="Tahoma" w:hAnsi="Tahoma" w:cs="Tahoma"/>
        <w:bCs/>
        <w:sz w:val="14"/>
        <w:szCs w:val="14"/>
      </w:rPr>
      <w:fldChar w:fldCharType="separate"/>
    </w:r>
    <w:r>
      <w:rPr>
        <w:rFonts w:ascii="Tahoma" w:hAnsi="Tahoma" w:cs="Tahoma"/>
        <w:bCs/>
        <w:noProof/>
        <w:sz w:val="14"/>
        <w:szCs w:val="14"/>
      </w:rPr>
      <w:t>3</w:t>
    </w:r>
    <w:r w:rsidRPr="00DA050D">
      <w:rPr>
        <w:rFonts w:ascii="Tahoma" w:hAnsi="Tahoma" w:cs="Tahoma"/>
        <w:bCs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B05"/>
    <w:multiLevelType w:val="hybridMultilevel"/>
    <w:tmpl w:val="1FC41CAA"/>
    <w:lvl w:ilvl="0" w:tplc="490A7A2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E24DDE"/>
    <w:multiLevelType w:val="singleLevel"/>
    <w:tmpl w:val="4D565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9315E02"/>
    <w:multiLevelType w:val="hybridMultilevel"/>
    <w:tmpl w:val="F31E49F0"/>
    <w:lvl w:ilvl="0" w:tplc="52A608C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7A4248"/>
    <w:multiLevelType w:val="singleLevel"/>
    <w:tmpl w:val="9C58779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</w:abstractNum>
  <w:abstractNum w:abstractNumId="4">
    <w:nsid w:val="1B222F5B"/>
    <w:multiLevelType w:val="hybridMultilevel"/>
    <w:tmpl w:val="07CEDF1C"/>
    <w:lvl w:ilvl="0" w:tplc="479A6F8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069E0"/>
    <w:multiLevelType w:val="hybridMultilevel"/>
    <w:tmpl w:val="21B8E536"/>
    <w:lvl w:ilvl="0" w:tplc="02B67FF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E83AAF"/>
    <w:multiLevelType w:val="multilevel"/>
    <w:tmpl w:val="8E84D78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A502F87"/>
    <w:multiLevelType w:val="singleLevel"/>
    <w:tmpl w:val="7E4C90AA"/>
    <w:lvl w:ilvl="0">
      <w:start w:val="1"/>
      <w:numFmt w:val="upperRoman"/>
      <w:pStyle w:val="Nadpis2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  <w:i w:val="0"/>
        <w:sz w:val="22"/>
        <w:szCs w:val="22"/>
      </w:rPr>
    </w:lvl>
  </w:abstractNum>
  <w:abstractNum w:abstractNumId="8">
    <w:nsid w:val="4ACC2CA2"/>
    <w:multiLevelType w:val="singleLevel"/>
    <w:tmpl w:val="417ED55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</w:abstractNum>
  <w:abstractNum w:abstractNumId="9">
    <w:nsid w:val="4C5C1B80"/>
    <w:multiLevelType w:val="hybridMultilevel"/>
    <w:tmpl w:val="65F26142"/>
    <w:lvl w:ilvl="0" w:tplc="933E17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A0539C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5DE3DF6"/>
    <w:multiLevelType w:val="singleLevel"/>
    <w:tmpl w:val="FA760CA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</w:abstractNum>
  <w:abstractNum w:abstractNumId="12">
    <w:nsid w:val="67D5159B"/>
    <w:multiLevelType w:val="multilevel"/>
    <w:tmpl w:val="1FC41C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7"/>
  </w:num>
  <w:num w:numId="9">
    <w:abstractNumId w:val="2"/>
  </w:num>
  <w:num w:numId="10">
    <w:abstractNumId w:val="12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58"/>
    <w:rsid w:val="00007791"/>
    <w:rsid w:val="0001563B"/>
    <w:rsid w:val="000336F1"/>
    <w:rsid w:val="00046D8C"/>
    <w:rsid w:val="00060BC8"/>
    <w:rsid w:val="00065FA1"/>
    <w:rsid w:val="00071E32"/>
    <w:rsid w:val="000724A8"/>
    <w:rsid w:val="0009663D"/>
    <w:rsid w:val="000C0FDF"/>
    <w:rsid w:val="000F07F9"/>
    <w:rsid w:val="00136A57"/>
    <w:rsid w:val="00143B7C"/>
    <w:rsid w:val="001532A6"/>
    <w:rsid w:val="0015375B"/>
    <w:rsid w:val="00164D46"/>
    <w:rsid w:val="001855CB"/>
    <w:rsid w:val="001A0250"/>
    <w:rsid w:val="001B495C"/>
    <w:rsid w:val="001C2080"/>
    <w:rsid w:val="00215341"/>
    <w:rsid w:val="00215FEA"/>
    <w:rsid w:val="002763F6"/>
    <w:rsid w:val="00285CEC"/>
    <w:rsid w:val="00294D77"/>
    <w:rsid w:val="002A79E9"/>
    <w:rsid w:val="002B56B8"/>
    <w:rsid w:val="00311E31"/>
    <w:rsid w:val="00370E36"/>
    <w:rsid w:val="003742AA"/>
    <w:rsid w:val="00383474"/>
    <w:rsid w:val="0039559E"/>
    <w:rsid w:val="003B1BB3"/>
    <w:rsid w:val="003C1B5D"/>
    <w:rsid w:val="003F1378"/>
    <w:rsid w:val="003F7FC5"/>
    <w:rsid w:val="004424C8"/>
    <w:rsid w:val="00442D46"/>
    <w:rsid w:val="00443284"/>
    <w:rsid w:val="00451736"/>
    <w:rsid w:val="00483317"/>
    <w:rsid w:val="00490273"/>
    <w:rsid w:val="00490D67"/>
    <w:rsid w:val="004936E7"/>
    <w:rsid w:val="004B35D9"/>
    <w:rsid w:val="004B78D0"/>
    <w:rsid w:val="004C2BDB"/>
    <w:rsid w:val="005205C3"/>
    <w:rsid w:val="00526719"/>
    <w:rsid w:val="00545B1E"/>
    <w:rsid w:val="00552FD8"/>
    <w:rsid w:val="005535EC"/>
    <w:rsid w:val="005560C1"/>
    <w:rsid w:val="00556F34"/>
    <w:rsid w:val="005607A7"/>
    <w:rsid w:val="00570043"/>
    <w:rsid w:val="0059490A"/>
    <w:rsid w:val="005D4769"/>
    <w:rsid w:val="005D725B"/>
    <w:rsid w:val="00600663"/>
    <w:rsid w:val="00652182"/>
    <w:rsid w:val="006858ED"/>
    <w:rsid w:val="0069305F"/>
    <w:rsid w:val="006A3CB9"/>
    <w:rsid w:val="006D4CE9"/>
    <w:rsid w:val="006D7BBA"/>
    <w:rsid w:val="006F28A0"/>
    <w:rsid w:val="006F2FFB"/>
    <w:rsid w:val="00704B81"/>
    <w:rsid w:val="007117B6"/>
    <w:rsid w:val="00716EDD"/>
    <w:rsid w:val="00731A8A"/>
    <w:rsid w:val="0073795D"/>
    <w:rsid w:val="007476EA"/>
    <w:rsid w:val="00752787"/>
    <w:rsid w:val="00776CAB"/>
    <w:rsid w:val="00796A5B"/>
    <w:rsid w:val="007B0EAF"/>
    <w:rsid w:val="007B1E01"/>
    <w:rsid w:val="007D77F0"/>
    <w:rsid w:val="007F5438"/>
    <w:rsid w:val="00802065"/>
    <w:rsid w:val="0083119B"/>
    <w:rsid w:val="00842130"/>
    <w:rsid w:val="00842529"/>
    <w:rsid w:val="008614D9"/>
    <w:rsid w:val="008779D3"/>
    <w:rsid w:val="00892C76"/>
    <w:rsid w:val="008A4BCC"/>
    <w:rsid w:val="008D25A9"/>
    <w:rsid w:val="008D6A3C"/>
    <w:rsid w:val="008E34DD"/>
    <w:rsid w:val="008E5B04"/>
    <w:rsid w:val="008F0255"/>
    <w:rsid w:val="008F17E6"/>
    <w:rsid w:val="008F2045"/>
    <w:rsid w:val="008F6B2C"/>
    <w:rsid w:val="009073B8"/>
    <w:rsid w:val="00937A76"/>
    <w:rsid w:val="00967F75"/>
    <w:rsid w:val="00975379"/>
    <w:rsid w:val="009845CF"/>
    <w:rsid w:val="00986E93"/>
    <w:rsid w:val="00A022AF"/>
    <w:rsid w:val="00A207DB"/>
    <w:rsid w:val="00A345F6"/>
    <w:rsid w:val="00A51C10"/>
    <w:rsid w:val="00A52AC7"/>
    <w:rsid w:val="00A534A1"/>
    <w:rsid w:val="00A664B6"/>
    <w:rsid w:val="00A701CC"/>
    <w:rsid w:val="00A71601"/>
    <w:rsid w:val="00A765D4"/>
    <w:rsid w:val="00A952ED"/>
    <w:rsid w:val="00AE508A"/>
    <w:rsid w:val="00AF36F9"/>
    <w:rsid w:val="00AF6BA7"/>
    <w:rsid w:val="00B14180"/>
    <w:rsid w:val="00B14A3E"/>
    <w:rsid w:val="00B26380"/>
    <w:rsid w:val="00B315E0"/>
    <w:rsid w:val="00B519C4"/>
    <w:rsid w:val="00B53499"/>
    <w:rsid w:val="00B57662"/>
    <w:rsid w:val="00B71144"/>
    <w:rsid w:val="00B76EB0"/>
    <w:rsid w:val="00BA3589"/>
    <w:rsid w:val="00BB1076"/>
    <w:rsid w:val="00BC7A3D"/>
    <w:rsid w:val="00BE22F8"/>
    <w:rsid w:val="00BE4338"/>
    <w:rsid w:val="00BF2AFD"/>
    <w:rsid w:val="00C05A30"/>
    <w:rsid w:val="00C932CE"/>
    <w:rsid w:val="00C94878"/>
    <w:rsid w:val="00CC2055"/>
    <w:rsid w:val="00CC27F6"/>
    <w:rsid w:val="00CE4440"/>
    <w:rsid w:val="00D13E5A"/>
    <w:rsid w:val="00D20856"/>
    <w:rsid w:val="00D20B6A"/>
    <w:rsid w:val="00D30C21"/>
    <w:rsid w:val="00D7737B"/>
    <w:rsid w:val="00D77E99"/>
    <w:rsid w:val="00D83558"/>
    <w:rsid w:val="00D96713"/>
    <w:rsid w:val="00DA050D"/>
    <w:rsid w:val="00DA7B96"/>
    <w:rsid w:val="00DB31D6"/>
    <w:rsid w:val="00DD1498"/>
    <w:rsid w:val="00DE380D"/>
    <w:rsid w:val="00DE47DE"/>
    <w:rsid w:val="00E05F80"/>
    <w:rsid w:val="00E062EE"/>
    <w:rsid w:val="00E131AE"/>
    <w:rsid w:val="00E17A78"/>
    <w:rsid w:val="00E261A0"/>
    <w:rsid w:val="00E43717"/>
    <w:rsid w:val="00E51381"/>
    <w:rsid w:val="00E752CD"/>
    <w:rsid w:val="00E77085"/>
    <w:rsid w:val="00E85E0F"/>
    <w:rsid w:val="00E936C8"/>
    <w:rsid w:val="00E96C28"/>
    <w:rsid w:val="00EA1408"/>
    <w:rsid w:val="00EC0FFB"/>
    <w:rsid w:val="00EE0F86"/>
    <w:rsid w:val="00F26866"/>
    <w:rsid w:val="00F35D19"/>
    <w:rsid w:val="00F6021D"/>
    <w:rsid w:val="00F674D2"/>
    <w:rsid w:val="00F73477"/>
    <w:rsid w:val="00F918E9"/>
    <w:rsid w:val="00FD079E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34DD"/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E34DD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E34DD"/>
    <w:pPr>
      <w:keepNext/>
      <w:numPr>
        <w:numId w:val="6"/>
      </w:numPr>
      <w:spacing w:before="480" w:after="240"/>
      <w:jc w:val="center"/>
      <w:outlineLvl w:val="1"/>
    </w:pPr>
    <w:rPr>
      <w:b/>
      <w:color w:val="000000"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8E34DD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32D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32D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32D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8E34DD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uiPriority w:val="10"/>
    <w:rsid w:val="00D732D3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link w:val="PodtitulChar"/>
    <w:uiPriority w:val="99"/>
    <w:qFormat/>
    <w:rsid w:val="008E34DD"/>
    <w:pPr>
      <w:jc w:val="center"/>
    </w:pPr>
    <w:rPr>
      <w:rFonts w:ascii="Arial" w:hAnsi="Arial"/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D732D3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Zkladntext">
    <w:name w:val="Body Text"/>
    <w:basedOn w:val="Normln"/>
    <w:link w:val="ZkladntextChar"/>
    <w:uiPriority w:val="99"/>
    <w:rsid w:val="008E34DD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732D3"/>
    <w:rPr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E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2D3"/>
    <w:rPr>
      <w:sz w:val="0"/>
      <w:szCs w:val="0"/>
      <w:lang w:eastAsia="en-US"/>
    </w:rPr>
  </w:style>
  <w:style w:type="table" w:styleId="Mkatabulky">
    <w:name w:val="Table Grid"/>
    <w:basedOn w:val="Normlntabulka"/>
    <w:uiPriority w:val="99"/>
    <w:rsid w:val="008E34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8E34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A050D"/>
    <w:rPr>
      <w:lang w:eastAsia="en-US"/>
    </w:rPr>
  </w:style>
  <w:style w:type="paragraph" w:styleId="Zpat">
    <w:name w:val="footer"/>
    <w:basedOn w:val="Normln"/>
    <w:link w:val="ZpatChar"/>
    <w:uiPriority w:val="99"/>
    <w:rsid w:val="008E34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732D3"/>
    <w:rPr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rsid w:val="008E34DD"/>
    <w:rPr>
      <w:rFonts w:cs="Times New Roman"/>
    </w:rPr>
  </w:style>
  <w:style w:type="character" w:styleId="Odkaznakoment">
    <w:name w:val="annotation reference"/>
    <w:basedOn w:val="Standardnpsmoodstavce"/>
    <w:uiPriority w:val="99"/>
    <w:rsid w:val="00EE0F8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EE0F86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E0F8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E0F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E0F86"/>
    <w:rPr>
      <w:b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34DD"/>
    <w:rPr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E34DD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E34DD"/>
    <w:pPr>
      <w:keepNext/>
      <w:numPr>
        <w:numId w:val="6"/>
      </w:numPr>
      <w:spacing w:before="480" w:after="240"/>
      <w:jc w:val="center"/>
      <w:outlineLvl w:val="1"/>
    </w:pPr>
    <w:rPr>
      <w:b/>
      <w:color w:val="000000"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8E34DD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32D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32D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32D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Nzev">
    <w:name w:val="Title"/>
    <w:basedOn w:val="Normln"/>
    <w:link w:val="NzevChar"/>
    <w:uiPriority w:val="99"/>
    <w:qFormat/>
    <w:rsid w:val="008E34DD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uiPriority w:val="10"/>
    <w:rsid w:val="00D732D3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link w:val="PodtitulChar"/>
    <w:uiPriority w:val="99"/>
    <w:qFormat/>
    <w:rsid w:val="008E34DD"/>
    <w:pPr>
      <w:jc w:val="center"/>
    </w:pPr>
    <w:rPr>
      <w:rFonts w:ascii="Arial" w:hAnsi="Arial"/>
      <w:b/>
    </w:rPr>
  </w:style>
  <w:style w:type="character" w:customStyle="1" w:styleId="PodtitulChar">
    <w:name w:val="Podtitul Char"/>
    <w:basedOn w:val="Standardnpsmoodstavce"/>
    <w:link w:val="Podtitul"/>
    <w:uiPriority w:val="11"/>
    <w:rsid w:val="00D732D3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Zkladntext">
    <w:name w:val="Body Text"/>
    <w:basedOn w:val="Normln"/>
    <w:link w:val="ZkladntextChar"/>
    <w:uiPriority w:val="99"/>
    <w:rsid w:val="008E34DD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732D3"/>
    <w:rPr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E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2D3"/>
    <w:rPr>
      <w:sz w:val="0"/>
      <w:szCs w:val="0"/>
      <w:lang w:eastAsia="en-US"/>
    </w:rPr>
  </w:style>
  <w:style w:type="table" w:styleId="Mkatabulky">
    <w:name w:val="Table Grid"/>
    <w:basedOn w:val="Normlntabulka"/>
    <w:uiPriority w:val="99"/>
    <w:rsid w:val="008E34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8E34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A050D"/>
    <w:rPr>
      <w:lang w:eastAsia="en-US"/>
    </w:rPr>
  </w:style>
  <w:style w:type="paragraph" w:styleId="Zpat">
    <w:name w:val="footer"/>
    <w:basedOn w:val="Normln"/>
    <w:link w:val="ZpatChar"/>
    <w:uiPriority w:val="99"/>
    <w:rsid w:val="008E34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732D3"/>
    <w:rPr>
      <w:sz w:val="20"/>
      <w:szCs w:val="20"/>
      <w:lang w:eastAsia="en-US"/>
    </w:rPr>
  </w:style>
  <w:style w:type="character" w:styleId="slostrnky">
    <w:name w:val="page number"/>
    <w:basedOn w:val="Standardnpsmoodstavce"/>
    <w:uiPriority w:val="99"/>
    <w:rsid w:val="008E34DD"/>
    <w:rPr>
      <w:rFonts w:cs="Times New Roman"/>
    </w:rPr>
  </w:style>
  <w:style w:type="character" w:styleId="Odkaznakoment">
    <w:name w:val="annotation reference"/>
    <w:basedOn w:val="Standardnpsmoodstavce"/>
    <w:uiPriority w:val="99"/>
    <w:rsid w:val="00EE0F8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EE0F86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E0F8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E0F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E0F86"/>
    <w:rPr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1237</Words>
  <Characters>7301</Characters>
  <Application>Microsoft Office Word</Application>
  <DocSecurity>0</DocSecurity>
  <Lines>60</Lines>
  <Paragraphs>17</Paragraphs>
  <ScaleCrop>false</ScaleCrop>
  <Company>IMMUNOTECH a.s.</Company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Marta Šebková</dc:creator>
  <cp:lastModifiedBy>Fuxová Zdenka</cp:lastModifiedBy>
  <cp:revision>2</cp:revision>
  <cp:lastPrinted>2004-10-20T12:37:00Z</cp:lastPrinted>
  <dcterms:created xsi:type="dcterms:W3CDTF">2016-11-09T08:31:00Z</dcterms:created>
  <dcterms:modified xsi:type="dcterms:W3CDTF">2016-11-09T08:31:00Z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0x0101003D3768D6EBC66B4AB8232B1C1C0D7131</vt:lpwstr>
  </property>
</Properties>
</file>