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1C" w:rsidRPr="006052EE" w:rsidRDefault="0072401C" w:rsidP="0072401C">
      <w:pPr>
        <w:widowControl w:val="0"/>
        <w:suppressAutoHyphens/>
        <w:spacing w:after="0"/>
        <w:ind w:firstLine="0"/>
        <w:jc w:val="center"/>
        <w:rPr>
          <w:rFonts w:ascii="Arial" w:eastAsia="Times New Roman" w:hAnsi="Arial" w:cs="Arial"/>
          <w:b/>
          <w:kern w:val="1"/>
          <w:sz w:val="24"/>
          <w:szCs w:val="24"/>
          <w:lang w:eastAsia="cs-CZ" w:bidi="ar-SA"/>
        </w:rPr>
      </w:pPr>
      <w:r w:rsidRPr="006052EE">
        <w:rPr>
          <w:rFonts w:ascii="Arial" w:eastAsia="Times New Roman" w:hAnsi="Arial" w:cs="Arial"/>
          <w:b/>
          <w:kern w:val="1"/>
          <w:sz w:val="24"/>
          <w:szCs w:val="24"/>
          <w:lang w:eastAsia="cs-CZ" w:bidi="ar-SA"/>
        </w:rPr>
        <w:t>KUPNÍ SMLOUVA,</w:t>
      </w:r>
    </w:p>
    <w:p w:rsidR="0072401C" w:rsidRPr="006052EE" w:rsidRDefault="0072401C" w:rsidP="0072401C">
      <w:pPr>
        <w:widowControl w:val="0"/>
        <w:suppressAutoHyphens/>
        <w:spacing w:after="0"/>
        <w:ind w:firstLine="0"/>
        <w:jc w:val="center"/>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(dále jen „Smlouva“)</w:t>
      </w: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SMLUVNÍ STRANY</w:t>
      </w:r>
    </w:p>
    <w:p w:rsidR="0072401C" w:rsidRPr="006052EE" w:rsidRDefault="0072401C" w:rsidP="0072401C">
      <w:pPr>
        <w:widowControl w:val="0"/>
        <w:numPr>
          <w:ilvl w:val="1"/>
          <w:numId w:val="2"/>
        </w:numPr>
        <w:suppressAutoHyphens/>
        <w:spacing w:before="240" w:after="120"/>
        <w:jc w:val="left"/>
        <w:rPr>
          <w:rFonts w:ascii="Arial" w:eastAsia="Times New Roman" w:hAnsi="Arial" w:cs="Arial"/>
          <w:b/>
          <w:bCs/>
          <w:kern w:val="1"/>
          <w:sz w:val="24"/>
          <w:szCs w:val="24"/>
          <w:lang w:eastAsia="cs-CZ" w:bidi="ar-SA"/>
        </w:rPr>
      </w:pPr>
      <w:r w:rsidRPr="006052EE">
        <w:rPr>
          <w:rFonts w:ascii="Arial" w:eastAsia="Times New Roman" w:hAnsi="Arial" w:cs="Arial"/>
          <w:b/>
          <w:bCs/>
          <w:kern w:val="1"/>
          <w:sz w:val="24"/>
          <w:szCs w:val="24"/>
          <w:lang w:eastAsia="cs-CZ" w:bidi="ar-SA"/>
        </w:rPr>
        <w:t>Městská část Praha 3,</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Sídlem:</w:t>
      </w:r>
      <w:r w:rsidRPr="006052EE">
        <w:rPr>
          <w:rFonts w:ascii="Arial" w:eastAsia="Times New Roman" w:hAnsi="Arial" w:cs="Arial"/>
          <w:sz w:val="24"/>
          <w:szCs w:val="24"/>
          <w:lang w:bidi="ar-SA"/>
        </w:rPr>
        <w:tab/>
        <w:t xml:space="preserve">Havlíčkovo nám. 9/700, 130 85 Praha 3 </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IČ:</w:t>
      </w:r>
      <w:r w:rsidRPr="006052EE">
        <w:rPr>
          <w:rFonts w:ascii="Arial" w:eastAsia="Times New Roman" w:hAnsi="Arial" w:cs="Arial"/>
          <w:sz w:val="24"/>
          <w:szCs w:val="24"/>
          <w:lang w:bidi="ar-SA"/>
        </w:rPr>
        <w:tab/>
        <w:t>00063517</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DIČ:</w:t>
      </w:r>
      <w:r w:rsidRPr="006052EE">
        <w:rPr>
          <w:rFonts w:ascii="Arial" w:eastAsia="Times New Roman" w:hAnsi="Arial" w:cs="Arial"/>
          <w:sz w:val="24"/>
          <w:szCs w:val="24"/>
          <w:lang w:bidi="ar-SA"/>
        </w:rPr>
        <w:tab/>
        <w:t>CZ00063517</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Zastoupená:</w:t>
      </w:r>
      <w:r w:rsidRPr="006052EE">
        <w:rPr>
          <w:rFonts w:ascii="Arial" w:eastAsia="Times New Roman" w:hAnsi="Arial" w:cs="Arial"/>
          <w:sz w:val="24"/>
          <w:szCs w:val="24"/>
          <w:lang w:bidi="ar-SA"/>
        </w:rPr>
        <w:tab/>
        <w:t xml:space="preserve">Ing. Vladislavou </w:t>
      </w:r>
      <w:proofErr w:type="spellStart"/>
      <w:r w:rsidRPr="006052EE">
        <w:rPr>
          <w:rFonts w:ascii="Arial" w:eastAsia="Times New Roman" w:hAnsi="Arial" w:cs="Arial"/>
          <w:sz w:val="24"/>
          <w:szCs w:val="24"/>
          <w:lang w:bidi="ar-SA"/>
        </w:rPr>
        <w:t>Hujovou</w:t>
      </w:r>
      <w:proofErr w:type="spellEnd"/>
      <w:r w:rsidRPr="006052EE">
        <w:rPr>
          <w:rFonts w:ascii="Arial" w:eastAsia="Times New Roman" w:hAnsi="Arial" w:cs="Arial"/>
          <w:sz w:val="24"/>
          <w:szCs w:val="24"/>
          <w:lang w:bidi="ar-SA"/>
        </w:rPr>
        <w:t>, starostkou</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Kontaktní osoba:</w:t>
      </w:r>
      <w:r w:rsidRPr="006052EE">
        <w:rPr>
          <w:rFonts w:ascii="Arial" w:eastAsia="Times New Roman" w:hAnsi="Arial" w:cs="Arial"/>
          <w:sz w:val="24"/>
          <w:szCs w:val="24"/>
          <w:lang w:bidi="ar-SA"/>
        </w:rPr>
        <w:tab/>
        <w:t xml:space="preserve">vedoucí Odboru informatiky Úřadu městské části Prahy 3, kterým je v době uzavření této smlouvy pan Tomáš </w:t>
      </w:r>
      <w:proofErr w:type="spellStart"/>
      <w:r w:rsidRPr="006052EE">
        <w:rPr>
          <w:rFonts w:ascii="Arial" w:eastAsia="Times New Roman" w:hAnsi="Arial" w:cs="Arial"/>
          <w:sz w:val="24"/>
          <w:szCs w:val="24"/>
          <w:lang w:bidi="ar-SA"/>
        </w:rPr>
        <w:t>Hilmar</w:t>
      </w:r>
      <w:proofErr w:type="spellEnd"/>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E-mail:</w:t>
      </w:r>
      <w:r w:rsidRPr="006052EE">
        <w:rPr>
          <w:rFonts w:ascii="Arial" w:eastAsia="Times New Roman" w:hAnsi="Arial" w:cs="Arial"/>
          <w:sz w:val="24"/>
          <w:szCs w:val="24"/>
          <w:lang w:bidi="ar-SA"/>
        </w:rPr>
        <w:tab/>
        <w:t>tomash@praha3.cz</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Telefon:</w:t>
      </w:r>
      <w:r w:rsidRPr="006052EE">
        <w:rPr>
          <w:rFonts w:ascii="Arial" w:eastAsia="Times New Roman" w:hAnsi="Arial" w:cs="Arial"/>
          <w:sz w:val="24"/>
          <w:szCs w:val="24"/>
          <w:lang w:bidi="ar-SA"/>
        </w:rPr>
        <w:tab/>
        <w:t>+420 222116371</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(dále jen "Kupující")</w:t>
      </w:r>
    </w:p>
    <w:p w:rsidR="0072401C" w:rsidRPr="006052EE" w:rsidRDefault="0072401C" w:rsidP="0072401C">
      <w:pPr>
        <w:widowControl w:val="0"/>
        <w:suppressAutoHyphens/>
        <w:spacing w:after="0"/>
        <w:ind w:firstLine="0"/>
        <w:rPr>
          <w:rFonts w:ascii="Arial" w:eastAsia="Calibri" w:hAnsi="Arial" w:cs="Arial"/>
          <w:b/>
          <w:kern w:val="1"/>
          <w:sz w:val="24"/>
          <w:szCs w:val="24"/>
          <w:lang w:eastAsia="cs-CZ" w:bidi="ar-SA"/>
        </w:rPr>
      </w:pPr>
    </w:p>
    <w:p w:rsidR="0072401C" w:rsidRPr="006052EE" w:rsidRDefault="0072401C" w:rsidP="0072401C">
      <w:pPr>
        <w:widowControl w:val="0"/>
        <w:suppressAutoHyphens/>
        <w:spacing w:after="0"/>
        <w:ind w:left="360" w:firstLine="0"/>
        <w:rPr>
          <w:rFonts w:ascii="Arial" w:eastAsia="Times New Roman" w:hAnsi="Arial" w:cs="Arial"/>
          <w:b/>
          <w:kern w:val="1"/>
          <w:sz w:val="24"/>
          <w:szCs w:val="24"/>
          <w:lang w:eastAsia="cs-CZ" w:bidi="ar-SA"/>
        </w:rPr>
      </w:pPr>
      <w:r w:rsidRPr="006052EE">
        <w:rPr>
          <w:rFonts w:ascii="Arial" w:eastAsia="Times New Roman" w:hAnsi="Arial" w:cs="Arial"/>
          <w:b/>
          <w:kern w:val="1"/>
          <w:sz w:val="24"/>
          <w:szCs w:val="24"/>
          <w:lang w:eastAsia="cs-CZ" w:bidi="ar-SA"/>
        </w:rPr>
        <w:t>a</w:t>
      </w:r>
    </w:p>
    <w:p w:rsidR="0072401C" w:rsidRPr="006052EE" w:rsidRDefault="0072401C" w:rsidP="0072401C">
      <w:pPr>
        <w:widowControl w:val="0"/>
        <w:suppressAutoHyphens/>
        <w:spacing w:after="0"/>
        <w:ind w:firstLine="0"/>
        <w:rPr>
          <w:rFonts w:ascii="Arial" w:eastAsia="Calibri" w:hAnsi="Arial" w:cs="Arial"/>
          <w:b/>
          <w:kern w:val="1"/>
          <w:sz w:val="24"/>
          <w:szCs w:val="24"/>
          <w:highlight w:val="yellow"/>
          <w:lang w:eastAsia="cs-CZ" w:bidi="ar-SA"/>
        </w:rPr>
      </w:pPr>
    </w:p>
    <w:p w:rsidR="0072401C" w:rsidRPr="006052EE" w:rsidRDefault="0072401C" w:rsidP="0072401C">
      <w:pPr>
        <w:widowControl w:val="0"/>
        <w:suppressAutoHyphens/>
        <w:spacing w:after="0"/>
        <w:ind w:left="360" w:firstLine="0"/>
        <w:rPr>
          <w:rFonts w:ascii="Arial" w:eastAsia="Times New Roman" w:hAnsi="Arial" w:cs="Arial"/>
          <w:b/>
          <w:kern w:val="1"/>
          <w:sz w:val="24"/>
          <w:szCs w:val="24"/>
          <w:lang w:eastAsia="cs-CZ" w:bidi="ar-SA"/>
        </w:rPr>
      </w:pPr>
      <w:r>
        <w:rPr>
          <w:rFonts w:ascii="Arial" w:eastAsia="Times New Roman" w:hAnsi="Arial" w:cs="Arial"/>
          <w:b/>
          <w:kern w:val="1"/>
          <w:sz w:val="24"/>
          <w:szCs w:val="24"/>
          <w:lang w:eastAsia="cs-CZ" w:bidi="ar-SA"/>
        </w:rPr>
        <w:t>COMTESYS, spol. s r.o.</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Pr>
          <w:rFonts w:ascii="Arial" w:eastAsia="Times New Roman" w:hAnsi="Arial" w:cs="Arial"/>
          <w:kern w:val="1"/>
          <w:sz w:val="24"/>
          <w:szCs w:val="24"/>
          <w:lang w:eastAsia="cs-CZ" w:bidi="ar-SA"/>
        </w:rPr>
        <w:t>se sídlem:</w:t>
      </w:r>
      <w:r>
        <w:rPr>
          <w:rFonts w:ascii="Arial" w:eastAsia="Times New Roman" w:hAnsi="Arial" w:cs="Arial"/>
          <w:kern w:val="1"/>
          <w:sz w:val="24"/>
          <w:szCs w:val="24"/>
          <w:lang w:eastAsia="cs-CZ" w:bidi="ar-SA"/>
        </w:rPr>
        <w:tab/>
      </w:r>
      <w:r>
        <w:rPr>
          <w:rFonts w:ascii="Arial" w:eastAsia="Times New Roman" w:hAnsi="Arial" w:cs="Arial"/>
          <w:kern w:val="1"/>
          <w:sz w:val="24"/>
          <w:szCs w:val="24"/>
          <w:lang w:eastAsia="cs-CZ" w:bidi="ar-SA"/>
        </w:rPr>
        <w:tab/>
      </w:r>
      <w:r>
        <w:rPr>
          <w:rFonts w:ascii="Arial" w:eastAsia="Times New Roman" w:hAnsi="Arial" w:cs="Arial"/>
          <w:kern w:val="1"/>
          <w:sz w:val="24"/>
          <w:szCs w:val="24"/>
          <w:lang w:eastAsia="cs-CZ" w:bidi="ar-SA"/>
        </w:rPr>
        <w:tab/>
        <w:t>Pod Pramenem 1633/3, 140 00 Praha 4</w:t>
      </w:r>
      <w:r w:rsidRPr="006052EE">
        <w:rPr>
          <w:rFonts w:ascii="Arial" w:eastAsia="Times New Roman" w:hAnsi="Arial" w:cs="Arial"/>
          <w:kern w:val="1"/>
          <w:sz w:val="24"/>
          <w:szCs w:val="24"/>
          <w:lang w:eastAsia="cs-CZ" w:bidi="ar-SA"/>
        </w:rPr>
        <w:t>,</w:t>
      </w:r>
    </w:p>
    <w:p w:rsidR="0072401C" w:rsidRPr="006052EE" w:rsidRDefault="0072401C" w:rsidP="0072401C">
      <w:pPr>
        <w:tabs>
          <w:tab w:val="left" w:pos="3402"/>
        </w:tabs>
        <w:spacing w:after="60"/>
        <w:ind w:left="360" w:firstLine="0"/>
        <w:jc w:val="left"/>
        <w:rPr>
          <w:rFonts w:ascii="Arial" w:eastAsia="Times New Roman" w:hAnsi="Arial" w:cs="Arial"/>
          <w:sz w:val="24"/>
          <w:szCs w:val="24"/>
          <w:lang w:bidi="ar-SA"/>
        </w:rPr>
      </w:pPr>
      <w:r w:rsidRPr="006052EE">
        <w:rPr>
          <w:rFonts w:ascii="Arial" w:eastAsia="Times New Roman" w:hAnsi="Arial" w:cs="Arial"/>
          <w:sz w:val="24"/>
          <w:szCs w:val="24"/>
          <w:lang w:bidi="ar-SA"/>
        </w:rPr>
        <w:t xml:space="preserve">Zastoupená: </w:t>
      </w:r>
      <w:r w:rsidRPr="006052EE">
        <w:rPr>
          <w:rFonts w:ascii="Arial" w:eastAsia="Times New Roman" w:hAnsi="Arial" w:cs="Arial"/>
          <w:sz w:val="24"/>
          <w:szCs w:val="24"/>
          <w:lang w:bidi="ar-SA"/>
        </w:rPr>
        <w:tab/>
      </w:r>
      <w:r w:rsidRPr="006052EE">
        <w:rPr>
          <w:rFonts w:ascii="Arial" w:eastAsia="Times New Roman" w:hAnsi="Arial" w:cs="Arial"/>
          <w:sz w:val="24"/>
          <w:szCs w:val="24"/>
          <w:lang w:bidi="ar-SA"/>
        </w:rPr>
        <w:tab/>
      </w:r>
      <w:r>
        <w:rPr>
          <w:rFonts w:ascii="Arial" w:eastAsia="Times New Roman" w:hAnsi="Arial" w:cs="Arial"/>
          <w:sz w:val="24"/>
          <w:szCs w:val="24"/>
          <w:lang w:bidi="ar-SA"/>
        </w:rPr>
        <w:t>Lukášem Bartoněm, jednatelem společnosti</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zapsaná v rejstříku vedeném </w:t>
      </w:r>
      <w:r w:rsidRPr="00D2771E">
        <w:rPr>
          <w:rFonts w:ascii="Arial" w:eastAsia="Times New Roman" w:hAnsi="Arial" w:cs="Arial"/>
          <w:kern w:val="1"/>
          <w:sz w:val="24"/>
          <w:szCs w:val="24"/>
          <w:lang w:eastAsia="cs-CZ" w:bidi="ar-SA"/>
        </w:rPr>
        <w:t>Městským soudem v Praze</w:t>
      </w:r>
      <w:r w:rsidRPr="006052EE">
        <w:rPr>
          <w:rFonts w:ascii="Arial" w:eastAsia="Times New Roman" w:hAnsi="Arial" w:cs="Arial"/>
          <w:kern w:val="1"/>
          <w:sz w:val="24"/>
          <w:szCs w:val="24"/>
          <w:lang w:eastAsia="cs-CZ" w:bidi="ar-SA"/>
        </w:rPr>
        <w:t xml:space="preserve">, oddíl </w:t>
      </w:r>
      <w:r w:rsidRPr="00D2771E">
        <w:rPr>
          <w:rFonts w:ascii="Arial" w:eastAsia="Times New Roman" w:hAnsi="Arial" w:cs="Arial"/>
          <w:kern w:val="1"/>
          <w:sz w:val="24"/>
          <w:szCs w:val="24"/>
          <w:lang w:eastAsia="cs-CZ" w:bidi="ar-SA"/>
        </w:rPr>
        <w:t>C, vložka 85526</w:t>
      </w:r>
      <w:r w:rsidRPr="006052EE">
        <w:rPr>
          <w:rFonts w:ascii="Arial" w:eastAsia="Times New Roman" w:hAnsi="Arial" w:cs="Arial"/>
          <w:kern w:val="1"/>
          <w:sz w:val="24"/>
          <w:szCs w:val="24"/>
          <w:lang w:eastAsia="cs-CZ" w:bidi="ar-SA"/>
        </w:rPr>
        <w:t xml:space="preserve">, </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D2771E">
        <w:rPr>
          <w:rFonts w:ascii="Arial" w:eastAsia="Times New Roman" w:hAnsi="Arial" w:cs="Arial"/>
          <w:kern w:val="1"/>
          <w:sz w:val="24"/>
          <w:szCs w:val="24"/>
          <w:lang w:eastAsia="cs-CZ" w:bidi="ar-SA"/>
        </w:rPr>
        <w:t>Kontaktní osoba:</w:t>
      </w:r>
      <w:r w:rsidRPr="00D2771E">
        <w:rPr>
          <w:rFonts w:ascii="Arial" w:eastAsia="Times New Roman" w:hAnsi="Arial" w:cs="Arial"/>
          <w:kern w:val="1"/>
          <w:sz w:val="24"/>
          <w:szCs w:val="24"/>
          <w:lang w:eastAsia="cs-CZ" w:bidi="ar-SA"/>
        </w:rPr>
        <w:tab/>
        <w:t xml:space="preserve">  </w:t>
      </w:r>
      <w:r w:rsidRPr="00D2771E">
        <w:rPr>
          <w:rFonts w:ascii="Arial" w:eastAsia="Times New Roman" w:hAnsi="Arial" w:cs="Arial"/>
          <w:kern w:val="1"/>
          <w:sz w:val="24"/>
          <w:szCs w:val="24"/>
          <w:lang w:eastAsia="cs-CZ" w:bidi="ar-SA"/>
        </w:rPr>
        <w:tab/>
        <w:t>Roman Koutecký</w:t>
      </w:r>
      <w:r w:rsidRPr="006052EE">
        <w:rPr>
          <w:rFonts w:ascii="Arial" w:eastAsia="Times New Roman" w:hAnsi="Arial" w:cs="Arial"/>
          <w:kern w:val="1"/>
          <w:sz w:val="24"/>
          <w:szCs w:val="24"/>
          <w:lang w:eastAsia="cs-CZ" w:bidi="ar-SA"/>
        </w:rPr>
        <w:t xml:space="preserve">, </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E-mail: </w:t>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obchod@comtesys.cz</w:t>
      </w:r>
      <w:r w:rsidRPr="006052EE">
        <w:rPr>
          <w:rFonts w:ascii="Arial" w:eastAsia="Times New Roman" w:hAnsi="Arial" w:cs="Arial"/>
          <w:kern w:val="1"/>
          <w:sz w:val="24"/>
          <w:szCs w:val="24"/>
          <w:lang w:eastAsia="cs-CZ" w:bidi="ar-SA"/>
        </w:rPr>
        <w:t>,</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D2771E">
        <w:rPr>
          <w:rFonts w:ascii="Arial" w:eastAsia="Times New Roman" w:hAnsi="Arial" w:cs="Arial"/>
          <w:kern w:val="1"/>
          <w:sz w:val="24"/>
          <w:szCs w:val="24"/>
          <w:lang w:eastAsia="cs-CZ" w:bidi="ar-SA"/>
        </w:rPr>
        <w:t>Telefon</w:t>
      </w:r>
      <w:r w:rsidRPr="006052EE">
        <w:rPr>
          <w:rFonts w:ascii="Arial" w:eastAsia="Times New Roman" w:hAnsi="Arial" w:cs="Arial"/>
          <w:kern w:val="1"/>
          <w:sz w:val="24"/>
          <w:szCs w:val="24"/>
          <w:lang w:eastAsia="cs-CZ" w:bidi="ar-SA"/>
        </w:rPr>
        <w:t xml:space="preserve">: </w:t>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+420 241 091 260</w:t>
      </w:r>
      <w:r w:rsidRPr="006052EE">
        <w:rPr>
          <w:rFonts w:ascii="Arial" w:eastAsia="Times New Roman" w:hAnsi="Arial" w:cs="Arial"/>
          <w:kern w:val="1"/>
          <w:sz w:val="24"/>
          <w:szCs w:val="24"/>
          <w:lang w:eastAsia="cs-CZ" w:bidi="ar-SA"/>
        </w:rPr>
        <w:t>,</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D2771E">
        <w:rPr>
          <w:rFonts w:ascii="Arial" w:eastAsia="Times New Roman" w:hAnsi="Arial" w:cs="Arial"/>
          <w:kern w:val="1"/>
          <w:sz w:val="24"/>
          <w:szCs w:val="24"/>
          <w:lang w:eastAsia="cs-CZ" w:bidi="ar-SA"/>
        </w:rPr>
        <w:t xml:space="preserve">Bankovní spojení: </w:t>
      </w:r>
      <w:r w:rsidRPr="00D2771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ab/>
        <w:t>Československá obchodní banka, a.s.</w:t>
      </w:r>
      <w:r w:rsidRPr="006052EE">
        <w:rPr>
          <w:rFonts w:ascii="Arial" w:eastAsia="Times New Roman" w:hAnsi="Arial" w:cs="Arial"/>
          <w:kern w:val="1"/>
          <w:sz w:val="24"/>
          <w:szCs w:val="24"/>
          <w:lang w:eastAsia="cs-CZ" w:bidi="ar-SA"/>
        </w:rPr>
        <w:t>,</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D2771E">
        <w:rPr>
          <w:rFonts w:ascii="Arial" w:eastAsia="Times New Roman" w:hAnsi="Arial" w:cs="Arial"/>
          <w:kern w:val="1"/>
          <w:sz w:val="24"/>
          <w:szCs w:val="24"/>
          <w:lang w:eastAsia="cs-CZ" w:bidi="ar-SA"/>
        </w:rPr>
        <w:t>Číslo účtu:</w:t>
      </w:r>
      <w:r w:rsidRPr="00D2771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ab/>
        <w:t>259914370/0300</w:t>
      </w:r>
      <w:r w:rsidRPr="006052EE">
        <w:rPr>
          <w:rFonts w:ascii="Arial" w:eastAsia="Times New Roman" w:hAnsi="Arial" w:cs="Arial"/>
          <w:kern w:val="1"/>
          <w:sz w:val="24"/>
          <w:szCs w:val="24"/>
          <w:lang w:eastAsia="cs-CZ" w:bidi="ar-SA"/>
        </w:rPr>
        <w:t>,</w:t>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D2771E">
        <w:rPr>
          <w:rFonts w:ascii="Arial" w:eastAsia="Times New Roman" w:hAnsi="Arial" w:cs="Arial"/>
          <w:kern w:val="1"/>
          <w:sz w:val="24"/>
          <w:szCs w:val="24"/>
          <w:lang w:eastAsia="cs-CZ" w:bidi="ar-SA"/>
        </w:rPr>
        <w:t xml:space="preserve">IČ: </w:t>
      </w:r>
      <w:r w:rsidRPr="00D2771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ab/>
        <w:t>26490234</w:t>
      </w:r>
      <w:r w:rsidRPr="006052EE">
        <w:rPr>
          <w:rFonts w:ascii="Arial" w:eastAsia="Times New Roman" w:hAnsi="Arial" w:cs="Arial"/>
          <w:kern w:val="1"/>
          <w:sz w:val="24"/>
          <w:szCs w:val="24"/>
          <w:lang w:eastAsia="cs-CZ" w:bidi="ar-SA"/>
        </w:rPr>
        <w:t>,</w:t>
      </w: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DIČ: </w:t>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6052EE">
        <w:rPr>
          <w:rFonts w:ascii="Arial" w:eastAsia="Times New Roman" w:hAnsi="Arial" w:cs="Arial"/>
          <w:kern w:val="1"/>
          <w:sz w:val="24"/>
          <w:szCs w:val="24"/>
          <w:lang w:eastAsia="cs-CZ" w:bidi="ar-SA"/>
        </w:rPr>
        <w:tab/>
      </w:r>
      <w:r w:rsidRPr="00D2771E">
        <w:rPr>
          <w:rFonts w:ascii="Arial" w:eastAsia="Times New Roman" w:hAnsi="Arial" w:cs="Arial"/>
          <w:kern w:val="1"/>
          <w:sz w:val="24"/>
          <w:szCs w:val="24"/>
          <w:lang w:eastAsia="cs-CZ" w:bidi="ar-SA"/>
        </w:rPr>
        <w:t>CZ26490234</w:t>
      </w:r>
    </w:p>
    <w:p w:rsidR="0072401C" w:rsidRPr="006052EE" w:rsidRDefault="0072401C" w:rsidP="0072401C">
      <w:pPr>
        <w:widowControl w:val="0"/>
        <w:suppressAutoHyphens/>
        <w:spacing w:after="0"/>
        <w:ind w:firstLine="0"/>
        <w:rPr>
          <w:rFonts w:ascii="Arial" w:eastAsia="Calibri" w:hAnsi="Arial" w:cs="Arial"/>
          <w:kern w:val="1"/>
          <w:sz w:val="24"/>
          <w:szCs w:val="24"/>
          <w:lang w:eastAsia="cs-CZ" w:bidi="ar-SA"/>
        </w:rPr>
      </w:pP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(dále jen " Prodávající "), </w:t>
      </w:r>
    </w:p>
    <w:p w:rsidR="0072401C" w:rsidRPr="006052EE" w:rsidRDefault="0072401C" w:rsidP="0072401C">
      <w:pPr>
        <w:widowControl w:val="0"/>
        <w:suppressAutoHyphens/>
        <w:spacing w:after="0"/>
        <w:ind w:firstLine="0"/>
        <w:rPr>
          <w:rFonts w:ascii="Arial" w:eastAsia="Calibri" w:hAnsi="Arial" w:cs="Arial"/>
          <w:kern w:val="1"/>
          <w:sz w:val="24"/>
          <w:szCs w:val="24"/>
          <w:lang w:eastAsia="cs-CZ" w:bidi="ar-SA"/>
        </w:rPr>
      </w:pPr>
    </w:p>
    <w:p w:rsidR="0072401C" w:rsidRPr="006052EE" w:rsidRDefault="0072401C" w:rsidP="0072401C">
      <w:pPr>
        <w:widowControl w:val="0"/>
        <w:suppressAutoHyphens/>
        <w:spacing w:after="0"/>
        <w:ind w:left="360" w:firstLine="0"/>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(dále společně jen "Smluvní strany" nebo každý z nich samostatně jen "Smluvní strana").</w:t>
      </w:r>
    </w:p>
    <w:p w:rsidR="0072401C" w:rsidRPr="006052EE" w:rsidRDefault="0072401C" w:rsidP="0072401C">
      <w:pPr>
        <w:widowControl w:val="0"/>
        <w:suppressAutoHyphens/>
        <w:spacing w:after="0"/>
        <w:ind w:firstLine="0"/>
        <w:rPr>
          <w:rFonts w:ascii="Arial" w:eastAsia="Calibri" w:hAnsi="Arial" w:cs="Arial"/>
          <w:kern w:val="1"/>
          <w:sz w:val="24"/>
          <w:szCs w:val="24"/>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ZÁKLADNÍ USTANOVENÍ</w:t>
      </w:r>
    </w:p>
    <w:p w:rsidR="0072401C" w:rsidRPr="006052EE" w:rsidRDefault="0072401C" w:rsidP="0072401C">
      <w:pPr>
        <w:widowControl w:val="0"/>
        <w:suppressAutoHyphens/>
        <w:spacing w:after="0"/>
        <w:ind w:left="360" w:firstLine="0"/>
        <w:rPr>
          <w:rFonts w:ascii="Arial" w:eastAsia="Times New Roman" w:hAnsi="Arial" w:cs="Arial"/>
          <w:b/>
          <w:kern w:val="1"/>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Kupující má záměr pořídit zboží vymezené v čl. 3.1 této Smlouvy - 2 ks SAN </w:t>
      </w:r>
      <w:proofErr w:type="spellStart"/>
      <w:r w:rsidRPr="006052EE">
        <w:rPr>
          <w:rFonts w:ascii="Arial" w:eastAsia="Times New Roman" w:hAnsi="Arial" w:cs="Arial"/>
          <w:kern w:val="1"/>
          <w:sz w:val="24"/>
          <w:szCs w:val="24"/>
          <w:lang w:eastAsia="cs-CZ" w:bidi="ar-SA"/>
        </w:rPr>
        <w:t>switch</w:t>
      </w:r>
      <w:proofErr w:type="spellEnd"/>
      <w:r w:rsidRPr="006052EE">
        <w:rPr>
          <w:rFonts w:ascii="Arial" w:eastAsia="Times New Roman" w:hAnsi="Arial" w:cs="Arial"/>
          <w:kern w:val="1"/>
          <w:sz w:val="24"/>
          <w:szCs w:val="24"/>
          <w:lang w:eastAsia="cs-CZ" w:bidi="ar-SA"/>
        </w:rPr>
        <w:t xml:space="preserve"> včetně licencí a podpory od výrobce </w:t>
      </w:r>
      <w:proofErr w:type="spellStart"/>
      <w:r w:rsidRPr="006052EE">
        <w:rPr>
          <w:rFonts w:ascii="Arial" w:eastAsia="Times New Roman" w:hAnsi="Arial" w:cs="Arial"/>
          <w:kern w:val="1"/>
          <w:sz w:val="24"/>
          <w:szCs w:val="24"/>
          <w:lang w:eastAsia="cs-CZ" w:bidi="ar-SA"/>
        </w:rPr>
        <w:t>switche</w:t>
      </w:r>
      <w:proofErr w:type="spellEnd"/>
      <w:r w:rsidRPr="006052EE">
        <w:rPr>
          <w:rFonts w:ascii="Arial" w:eastAsia="Times New Roman" w:hAnsi="Arial" w:cs="Arial"/>
          <w:kern w:val="1"/>
          <w:sz w:val="24"/>
          <w:szCs w:val="24"/>
          <w:lang w:eastAsia="cs-CZ" w:bidi="ar-SA"/>
        </w:rPr>
        <w:t>, 1 ks RACK včetně příslušenství.</w:t>
      </w:r>
    </w:p>
    <w:p w:rsidR="0072401C" w:rsidRPr="006052EE" w:rsidRDefault="0072401C" w:rsidP="0072401C">
      <w:pPr>
        <w:widowControl w:val="0"/>
        <w:suppressAutoHyphens/>
        <w:spacing w:after="0"/>
        <w:ind w:left="792" w:firstLine="0"/>
        <w:rPr>
          <w:rFonts w:ascii="Arial" w:eastAsia="Times New Roman" w:hAnsi="Arial" w:cs="Arial"/>
          <w:kern w:val="1"/>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Výchozími podklady pro dodání zboží dle této Smlouvy jsou:</w:t>
      </w:r>
    </w:p>
    <w:p w:rsidR="0072401C" w:rsidRPr="006052EE" w:rsidRDefault="0072401C" w:rsidP="0072401C">
      <w:pPr>
        <w:widowControl w:val="0"/>
        <w:suppressAutoHyphens/>
        <w:spacing w:after="0"/>
        <w:ind w:left="720" w:firstLine="0"/>
        <w:jc w:val="left"/>
        <w:rPr>
          <w:rFonts w:ascii="Arial" w:eastAsia="Times New Roman" w:hAnsi="Arial" w:cs="Arial"/>
          <w:kern w:val="1"/>
          <w:sz w:val="24"/>
          <w:szCs w:val="24"/>
          <w:lang w:eastAsia="cs-CZ" w:bidi="ar-SA"/>
        </w:rPr>
      </w:pPr>
    </w:p>
    <w:p w:rsidR="0072401C" w:rsidRPr="006052EE" w:rsidRDefault="0072401C" w:rsidP="0072401C">
      <w:pPr>
        <w:widowControl w:val="0"/>
        <w:numPr>
          <w:ilvl w:val="2"/>
          <w:numId w:val="0"/>
        </w:numPr>
        <w:suppressAutoHyphens/>
        <w:spacing w:after="24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Technická specifikace zboží jako Příloha č. 1 této Smlouvy</w:t>
      </w:r>
    </w:p>
    <w:p w:rsidR="0072401C" w:rsidRPr="006052EE" w:rsidRDefault="0072401C" w:rsidP="0072401C">
      <w:pPr>
        <w:widowControl w:val="0"/>
        <w:numPr>
          <w:ilvl w:val="2"/>
          <w:numId w:val="0"/>
        </w:numPr>
        <w:suppressAutoHyphens/>
        <w:spacing w:after="24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Nabídka Prodávajícího podaná v rámci Zadávacího řízení v rozsahu té části, která zboží technicky popisuje (dále jen „Nabídka“) jako Příloha č. 2 </w:t>
      </w:r>
      <w:proofErr w:type="gramStart"/>
      <w:r w:rsidRPr="006052EE">
        <w:rPr>
          <w:rFonts w:ascii="Arial" w:eastAsia="Calibri" w:hAnsi="Arial" w:cs="Arial"/>
          <w:kern w:val="1"/>
          <w:sz w:val="24"/>
          <w:szCs w:val="24"/>
          <w:lang w:eastAsia="cs-CZ" w:bidi="ar-SA"/>
        </w:rPr>
        <w:t>této</w:t>
      </w:r>
      <w:proofErr w:type="gramEnd"/>
      <w:r w:rsidRPr="006052EE">
        <w:rPr>
          <w:rFonts w:ascii="Arial" w:eastAsia="Calibri" w:hAnsi="Arial" w:cs="Arial"/>
          <w:kern w:val="1"/>
          <w:sz w:val="24"/>
          <w:szCs w:val="24"/>
          <w:lang w:eastAsia="cs-CZ" w:bidi="ar-SA"/>
        </w:rPr>
        <w:t xml:space="preserve"> Smlouvy. V případě kolize technických parametrů zboží dle Příloh Smlouvy má přednost technický požadavek vyšší úrovně a jakosti.</w:t>
      </w: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Prodávající prohlašuje, že disponuje veškerými odbornými předpoklady potřebnými pro dodání zboží, k činnosti dle Smlouvy je oprávněn a na jeho straně neexistují žádné překážky, které by mu bránily zboží dle Smlouvy dodat.</w:t>
      </w:r>
    </w:p>
    <w:p w:rsidR="0072401C" w:rsidRPr="006052EE" w:rsidRDefault="0072401C" w:rsidP="0072401C">
      <w:pPr>
        <w:spacing w:after="0"/>
        <w:ind w:left="567" w:firstLine="0"/>
        <w:rPr>
          <w:rFonts w:ascii="Arial" w:eastAsia="Times New Roman" w:hAnsi="Arial" w:cs="Arial"/>
          <w:kern w:val="1"/>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Prodávající bere na vědomí, že kupující považuje účast prodávajícího při splnění kvalifikačních předpokladů za potvrzení skutečnosti, že prodávající je ve smyslu ustanovení § 5 odst. 1 zákona č. 89/2012 Sb., občanský zákoník (dále jen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72401C" w:rsidRPr="006052EE" w:rsidRDefault="0072401C" w:rsidP="0072401C">
      <w:pPr>
        <w:spacing w:after="0"/>
        <w:ind w:left="567" w:firstLine="0"/>
        <w:rPr>
          <w:rFonts w:ascii="Arial" w:eastAsia="Times New Roman" w:hAnsi="Arial" w:cs="Arial"/>
          <w:kern w:val="1"/>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Prodávající bere na vědomí, že Kupující není ve vztahu k předmětu této Smlouvy podnikatelem, a ani se předmět této Smlouvy netýká podnikatelské činnosti Kupujícího.</w:t>
      </w:r>
    </w:p>
    <w:p w:rsidR="0072401C" w:rsidRPr="006052EE" w:rsidRDefault="0072401C" w:rsidP="0072401C">
      <w:pPr>
        <w:spacing w:after="0"/>
        <w:ind w:left="567" w:firstLine="0"/>
        <w:rPr>
          <w:rFonts w:ascii="Arial" w:eastAsia="Times New Roman" w:hAnsi="Arial" w:cs="Arial"/>
          <w:kern w:val="1"/>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Prodávající bere na vědomí, že dodání zboží ve stanovené době a kvalitě, jak vyplývá z této Smlouvy a jejích příloh, je pro Kupujícího zásadní. V případě, že Prodávající nesplní smluvní požadavky, může Kupujícímu vzniknout škoda.</w:t>
      </w:r>
    </w:p>
    <w:p w:rsidR="0072401C" w:rsidRPr="006052EE" w:rsidRDefault="0072401C" w:rsidP="0072401C">
      <w:pPr>
        <w:spacing w:after="0"/>
        <w:ind w:firstLine="0"/>
        <w:rPr>
          <w:rFonts w:ascii="Arial" w:eastAsia="Calibri" w:hAnsi="Arial" w:cs="Arial"/>
          <w:kern w:val="1"/>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Prodávající prohlašuje, že přejímá na sebe nebezpečí změny okolností ve smyslu ustanovení § 1765 odst. 2 OZ.</w:t>
      </w:r>
    </w:p>
    <w:p w:rsidR="0072401C" w:rsidRPr="006052EE" w:rsidRDefault="0072401C" w:rsidP="0072401C">
      <w:pPr>
        <w:widowControl w:val="0"/>
        <w:spacing w:after="0"/>
        <w:ind w:firstLine="0"/>
        <w:jc w:val="center"/>
        <w:rPr>
          <w:rFonts w:ascii="Arial" w:eastAsia="Times New Roman" w:hAnsi="Arial" w:cs="Arial"/>
          <w:b/>
          <w:sz w:val="24"/>
          <w:szCs w:val="24"/>
          <w:lang w:eastAsia="cs-CZ" w:bidi="ar-SA"/>
        </w:rPr>
      </w:pP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PŘEDMĚT SMLOUVY</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Předmětem této Smlouvy je závazek Prodávajícího dodat Kupujícímu a převést na Kupujícího vlastnické právo k:</w:t>
      </w:r>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2 ks SAN </w:t>
      </w:r>
      <w:proofErr w:type="spellStart"/>
      <w:r w:rsidRPr="006052EE">
        <w:rPr>
          <w:rFonts w:ascii="Arial" w:eastAsia="Calibri" w:hAnsi="Arial" w:cs="Arial"/>
          <w:kern w:val="1"/>
          <w:sz w:val="24"/>
          <w:szCs w:val="24"/>
          <w:lang w:eastAsia="cs-CZ" w:bidi="ar-SA"/>
        </w:rPr>
        <w:t>switch</w:t>
      </w:r>
      <w:proofErr w:type="spellEnd"/>
      <w:r w:rsidRPr="006052EE">
        <w:rPr>
          <w:rFonts w:ascii="Arial" w:eastAsia="Calibri" w:hAnsi="Arial" w:cs="Arial"/>
          <w:kern w:val="1"/>
          <w:sz w:val="24"/>
          <w:szCs w:val="24"/>
          <w:lang w:eastAsia="cs-CZ" w:bidi="ar-SA"/>
        </w:rPr>
        <w:t xml:space="preserve"> včetně licencí a podpory od výrobce </w:t>
      </w:r>
      <w:proofErr w:type="spellStart"/>
      <w:r w:rsidRPr="006052EE">
        <w:rPr>
          <w:rFonts w:ascii="Arial" w:eastAsia="Calibri" w:hAnsi="Arial" w:cs="Arial"/>
          <w:kern w:val="1"/>
          <w:sz w:val="24"/>
          <w:szCs w:val="24"/>
          <w:lang w:eastAsia="cs-CZ" w:bidi="ar-SA"/>
        </w:rPr>
        <w:t>switche</w:t>
      </w:r>
      <w:proofErr w:type="spellEnd"/>
      <w:r w:rsidRPr="006052EE">
        <w:rPr>
          <w:rFonts w:ascii="Arial" w:eastAsia="Calibri" w:hAnsi="Arial" w:cs="Arial"/>
          <w:kern w:val="1"/>
          <w:sz w:val="24"/>
          <w:szCs w:val="24"/>
          <w:lang w:eastAsia="cs-CZ" w:bidi="ar-SA"/>
        </w:rPr>
        <w:t xml:space="preserve"> </w:t>
      </w:r>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1 ks RACK včetně příslušenství</w:t>
      </w:r>
    </w:p>
    <w:p w:rsidR="0072401C" w:rsidRPr="006052EE" w:rsidRDefault="0072401C" w:rsidP="0072401C">
      <w:pPr>
        <w:spacing w:after="0"/>
        <w:ind w:left="1416" w:firstLine="0"/>
        <w:contextualSpacing/>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blíže popsaných v Příloze č. 1 této Smlouvy (Technická specifikace) a v Příloze č. 2 </w:t>
      </w:r>
      <w:proofErr w:type="gramStart"/>
      <w:r w:rsidRPr="006052EE">
        <w:rPr>
          <w:rFonts w:ascii="Arial" w:eastAsia="Calibri" w:hAnsi="Arial" w:cs="Arial"/>
          <w:kern w:val="1"/>
          <w:sz w:val="24"/>
          <w:szCs w:val="24"/>
          <w:lang w:eastAsia="cs-CZ" w:bidi="ar-SA"/>
        </w:rPr>
        <w:t>této</w:t>
      </w:r>
      <w:proofErr w:type="gramEnd"/>
      <w:r w:rsidRPr="006052EE">
        <w:rPr>
          <w:rFonts w:ascii="Arial" w:eastAsia="Calibri" w:hAnsi="Arial" w:cs="Arial"/>
          <w:kern w:val="1"/>
          <w:sz w:val="24"/>
          <w:szCs w:val="24"/>
          <w:lang w:eastAsia="cs-CZ" w:bidi="ar-SA"/>
        </w:rPr>
        <w:t xml:space="preserve"> Smlouvy (Nabídka Prodávajícího)</w:t>
      </w:r>
    </w:p>
    <w:p w:rsidR="0072401C" w:rsidRPr="006052EE" w:rsidRDefault="0072401C" w:rsidP="0072401C">
      <w:pPr>
        <w:spacing w:after="0"/>
        <w:ind w:firstLine="0"/>
        <w:contextualSpacing/>
        <w:rPr>
          <w:rFonts w:ascii="Arial" w:eastAsia="Calibri" w:hAnsi="Arial" w:cs="Arial"/>
          <w:kern w:val="1"/>
          <w:sz w:val="24"/>
          <w:szCs w:val="24"/>
          <w:lang w:eastAsia="cs-CZ" w:bidi="ar-SA"/>
        </w:rPr>
      </w:pPr>
    </w:p>
    <w:p w:rsidR="0072401C" w:rsidRPr="006052EE" w:rsidRDefault="0072401C" w:rsidP="0072401C">
      <w:pPr>
        <w:spacing w:after="0"/>
        <w:ind w:firstLine="567"/>
        <w:contextualSpacing/>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(dále jen „Zboží“)</w:t>
      </w:r>
    </w:p>
    <w:p w:rsidR="0072401C" w:rsidRPr="006052EE" w:rsidRDefault="0072401C" w:rsidP="0072401C">
      <w:pPr>
        <w:widowControl w:val="0"/>
        <w:suppressAutoHyphens/>
        <w:spacing w:after="0"/>
        <w:ind w:left="960" w:firstLine="0"/>
        <w:contextualSpacing/>
        <w:rPr>
          <w:rFonts w:ascii="Arial" w:eastAsia="Times New Roman" w:hAnsi="Arial" w:cs="Arial"/>
          <w:kern w:val="1"/>
          <w:sz w:val="24"/>
          <w:szCs w:val="24"/>
          <w:lang w:eastAsia="cs-CZ" w:bidi="ar-SA"/>
        </w:rPr>
      </w:pPr>
    </w:p>
    <w:p w:rsidR="0072401C" w:rsidRPr="006052EE" w:rsidRDefault="0072401C" w:rsidP="0072401C">
      <w:pPr>
        <w:widowControl w:val="0"/>
        <w:suppressAutoHyphens/>
        <w:spacing w:after="240"/>
        <w:ind w:left="567" w:firstLine="0"/>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 xml:space="preserve">a Kupující se zavazuje Zboží převzít a zaplatit Prodávajícímu za Zboží sjednanou cenu. </w:t>
      </w:r>
    </w:p>
    <w:p w:rsidR="0072401C" w:rsidRPr="006052EE" w:rsidRDefault="0072401C" w:rsidP="0072401C">
      <w:pPr>
        <w:widowControl w:val="0"/>
        <w:numPr>
          <w:ilvl w:val="1"/>
          <w:numId w:val="1"/>
        </w:numPr>
        <w:suppressAutoHyphens/>
        <w:spacing w:after="240"/>
        <w:jc w:val="left"/>
        <w:rPr>
          <w:rFonts w:ascii="Arial" w:eastAsia="Calibri" w:hAnsi="Arial" w:cs="Arial"/>
          <w:b/>
          <w:bCs/>
          <w:kern w:val="1"/>
          <w:sz w:val="24"/>
          <w:szCs w:val="24"/>
          <w:u w:val="single"/>
          <w:lang w:eastAsia="cs-CZ" w:bidi="ar-SA"/>
        </w:rPr>
      </w:pPr>
      <w:r w:rsidRPr="006052EE">
        <w:rPr>
          <w:rFonts w:ascii="Arial" w:eastAsia="Calibri" w:hAnsi="Arial" w:cs="Arial"/>
          <w:kern w:val="1"/>
          <w:sz w:val="24"/>
          <w:szCs w:val="24"/>
          <w:lang w:eastAsia="cs-CZ" w:bidi="ar-SA"/>
        </w:rPr>
        <w:t>Součástí plnění je:</w:t>
      </w:r>
      <w:bookmarkStart w:id="0" w:name="_Ref381968903"/>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doprava Zboží do místa plnění,</w:t>
      </w:r>
      <w:bookmarkEnd w:id="0"/>
      <w:r w:rsidRPr="006052EE">
        <w:rPr>
          <w:rFonts w:ascii="Arial" w:eastAsia="Calibri" w:hAnsi="Arial" w:cs="Arial"/>
          <w:kern w:val="1"/>
          <w:sz w:val="24"/>
          <w:szCs w:val="24"/>
          <w:lang w:eastAsia="cs-CZ" w:bidi="ar-SA"/>
        </w:rPr>
        <w:t xml:space="preserve"> </w:t>
      </w:r>
      <w:bookmarkStart w:id="1" w:name="_Ref381968917"/>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instalace Zboží v místě plnění,</w:t>
      </w:r>
      <w:bookmarkEnd w:id="1"/>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dodání instrukcí a návodů k obsluze a údržbě Zboží v českém jazyce Kupujícímu, originál potvrzení výrobce, že dodávané Zboží je určeno pro český trh a je podporováno lokálním servisem výrobce v ČR </w:t>
      </w:r>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odvoz a likvidace nepotřebných obalů a dalších materiálů použitých Prodávajícím při plnění této Smlouvy,</w:t>
      </w:r>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Předmět plnění je podrobně specifikován v Přílohách č. 1 Smlouvy.</w:t>
      </w:r>
    </w:p>
    <w:p w:rsidR="0072401C" w:rsidRPr="006052EE" w:rsidRDefault="0072401C" w:rsidP="0072401C">
      <w:pPr>
        <w:widowControl w:val="0"/>
        <w:suppressAutoHyphens/>
        <w:spacing w:after="240"/>
        <w:ind w:firstLine="0"/>
        <w:rPr>
          <w:rFonts w:ascii="Arial" w:eastAsia="Calibri" w:hAnsi="Arial" w:cs="Arial"/>
          <w:kern w:val="1"/>
          <w:sz w:val="24"/>
          <w:szCs w:val="24"/>
          <w:lang w:eastAsia="cs-CZ" w:bidi="ar-SA"/>
        </w:rPr>
      </w:pPr>
      <w:r w:rsidRPr="006052EE">
        <w:rPr>
          <w:rFonts w:ascii="Arial" w:eastAsia="Calibri" w:hAnsi="Arial" w:cs="Arial"/>
          <w:bCs/>
          <w:kern w:val="1"/>
          <w:sz w:val="24"/>
          <w:szCs w:val="24"/>
          <w:lang w:eastAsia="cs-CZ" w:bidi="ar-SA"/>
        </w:rPr>
        <w:t>Další podmínky dodávky:</w:t>
      </w:r>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Prodávající odpovídá za to, že Zboží a související služby budou v souladu s touto Smlouvou včetně příloh, nabídkou, platnými právními, technickými a kvalitativními normami, a že jej Kupující bude moci užívat k danému účelu. V případě kolize norem platí vždy norma nebo ta její část, v níž jsou stanovena přísnější kritéria.</w:t>
      </w:r>
    </w:p>
    <w:p w:rsidR="0072401C" w:rsidRPr="006052EE" w:rsidRDefault="0072401C" w:rsidP="0072401C">
      <w:pPr>
        <w:widowControl w:val="0"/>
        <w:numPr>
          <w:ilvl w:val="0"/>
          <w:numId w:val="3"/>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Dodané Zboží musí být nové, nepoužité.</w:t>
      </w: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 xml:space="preserve">DOBA PLNĚNÍ </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se zavazuje do 60 dnů od uzavření kupní smlouvy Zboží dodat.</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Doba plnění se prodlužuje o dobu, po kterou Prodávající nemohl plnit z důvodů překážek na straně Kupujícího.</w:t>
      </w: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 xml:space="preserve">KUPNÍ CENA, FAKTURACE, PLACENÍ </w:t>
      </w:r>
    </w:p>
    <w:p w:rsidR="0072401C" w:rsidRPr="006052EE" w:rsidRDefault="0072401C" w:rsidP="0072401C">
      <w:pPr>
        <w:widowControl w:val="0"/>
        <w:numPr>
          <w:ilvl w:val="1"/>
          <w:numId w:val="1"/>
        </w:numPr>
        <w:suppressAutoHyphens/>
        <w:spacing w:after="240"/>
        <w:jc w:val="left"/>
        <w:rPr>
          <w:rFonts w:ascii="Arial" w:eastAsia="Calibri" w:hAnsi="Arial" w:cs="Arial"/>
          <w:b/>
          <w:bCs/>
          <w:kern w:val="1"/>
          <w:sz w:val="24"/>
          <w:szCs w:val="24"/>
          <w:u w:val="single"/>
          <w:lang w:eastAsia="cs-CZ" w:bidi="ar-SA"/>
        </w:rPr>
      </w:pPr>
      <w:r w:rsidRPr="006052EE">
        <w:rPr>
          <w:rFonts w:ascii="Arial" w:eastAsia="Calibri" w:hAnsi="Arial" w:cs="Arial"/>
          <w:bCs/>
          <w:kern w:val="1"/>
          <w:sz w:val="24"/>
          <w:szCs w:val="24"/>
          <w:lang w:eastAsia="cs-CZ" w:bidi="ar-SA"/>
        </w:rPr>
        <w:t xml:space="preserve">Kupní cena se skládá z částky ve výši </w:t>
      </w:r>
      <w:r w:rsidRPr="00FC139F">
        <w:rPr>
          <w:rFonts w:ascii="Arial" w:eastAsia="Calibri" w:hAnsi="Arial" w:cs="Arial"/>
          <w:bCs/>
          <w:kern w:val="1"/>
          <w:sz w:val="24"/>
          <w:szCs w:val="24"/>
          <w:lang w:eastAsia="cs-CZ" w:bidi="ar-SA"/>
        </w:rPr>
        <w:t xml:space="preserve">1 722 </w:t>
      </w:r>
      <w:r>
        <w:rPr>
          <w:rFonts w:ascii="Arial" w:eastAsia="Calibri" w:hAnsi="Arial" w:cs="Arial"/>
          <w:bCs/>
          <w:kern w:val="1"/>
          <w:sz w:val="24"/>
          <w:szCs w:val="24"/>
          <w:lang w:eastAsia="cs-CZ" w:bidi="ar-SA"/>
        </w:rPr>
        <w:t>500</w:t>
      </w:r>
      <w:r w:rsidRPr="006052EE">
        <w:rPr>
          <w:rFonts w:ascii="Arial" w:eastAsia="Calibri" w:hAnsi="Arial" w:cs="Arial"/>
          <w:bCs/>
          <w:kern w:val="1"/>
          <w:sz w:val="24"/>
          <w:szCs w:val="24"/>
          <w:lang w:eastAsia="cs-CZ" w:bidi="ar-SA"/>
        </w:rPr>
        <w:t xml:space="preserve">,- Kč (slovy: </w:t>
      </w:r>
      <w:proofErr w:type="spellStart"/>
      <w:r w:rsidRPr="00FC139F">
        <w:rPr>
          <w:rFonts w:ascii="Arial" w:eastAsia="Calibri" w:hAnsi="Arial" w:cs="Arial"/>
          <w:bCs/>
          <w:kern w:val="1"/>
          <w:sz w:val="24"/>
          <w:szCs w:val="24"/>
          <w:lang w:eastAsia="cs-CZ" w:bidi="ar-SA"/>
        </w:rPr>
        <w:t>jedenmilionsedmsetdvacetdvat</w:t>
      </w:r>
      <w:r>
        <w:rPr>
          <w:rFonts w:ascii="Arial" w:eastAsia="Calibri" w:hAnsi="Arial" w:cs="Arial"/>
          <w:bCs/>
          <w:kern w:val="1"/>
          <w:sz w:val="24"/>
          <w:szCs w:val="24"/>
          <w:lang w:eastAsia="cs-CZ" w:bidi="ar-SA"/>
        </w:rPr>
        <w:t>isícpětset</w:t>
      </w:r>
      <w:proofErr w:type="spellEnd"/>
      <w:r w:rsidRPr="006052EE">
        <w:rPr>
          <w:rFonts w:ascii="Arial" w:eastAsia="Calibri" w:hAnsi="Arial" w:cs="Arial"/>
          <w:bCs/>
          <w:kern w:val="1"/>
          <w:sz w:val="24"/>
          <w:szCs w:val="24"/>
          <w:lang w:eastAsia="cs-CZ" w:bidi="ar-SA"/>
        </w:rPr>
        <w:t xml:space="preserve"> korun českých bez daně z přidané hodnoty a v případě, je-li prodávající v době podání nabídky a v době zdanitelného plnění plátcem daně z přidané hodnoty z částky odpovídající dani z přidané hodnoty ve výši platné v době uskutečnění zdanitelného plnění (dále jen „Kupní Cena“).</w:t>
      </w:r>
    </w:p>
    <w:p w:rsidR="0072401C" w:rsidRPr="006052EE" w:rsidRDefault="0072401C" w:rsidP="0072401C">
      <w:pPr>
        <w:widowControl w:val="0"/>
        <w:numPr>
          <w:ilvl w:val="1"/>
          <w:numId w:val="1"/>
        </w:numPr>
        <w:suppressAutoHyphens/>
        <w:spacing w:after="240"/>
        <w:jc w:val="left"/>
        <w:rPr>
          <w:rFonts w:ascii="Arial" w:eastAsia="Calibri" w:hAnsi="Arial" w:cs="Arial"/>
          <w:b/>
          <w:bCs/>
          <w:kern w:val="1"/>
          <w:sz w:val="24"/>
          <w:szCs w:val="24"/>
          <w:u w:val="single"/>
          <w:lang w:eastAsia="cs-CZ" w:bidi="ar-SA"/>
        </w:rPr>
      </w:pPr>
      <w:r w:rsidRPr="006052EE">
        <w:rPr>
          <w:rFonts w:ascii="Arial" w:eastAsia="Calibri" w:hAnsi="Arial" w:cs="Arial"/>
          <w:bCs/>
          <w:kern w:val="1"/>
          <w:sz w:val="24"/>
          <w:szCs w:val="24"/>
          <w:lang w:eastAsia="cs-CZ" w:bidi="ar-SA"/>
        </w:rPr>
        <w:t>Kupní Cena představuje maximální závaznou nabídkovou cenu Prodávajícího a zahrnuje ocenění veškerých plnění Prodávajícího směřující ke splnění požadavků Kupujícího na řádné dodání Zboží dle této Smlouvy, rovněž veškeré náklady Prodávajícího nutné k realizaci dodávky a k jejímu předání, veškeré poplatky, cla a pojištění, veškeré náklady spojené s převzetím, jakož i veškeré další náklady, jakož i náklady či odměnu Prodávajícího za zajištění technické podpory dle čl. 10 této Smlouvy.</w:t>
      </w:r>
    </w:p>
    <w:p w:rsidR="0072401C" w:rsidRPr="006052EE" w:rsidRDefault="0072401C" w:rsidP="0072401C">
      <w:pPr>
        <w:widowControl w:val="0"/>
        <w:numPr>
          <w:ilvl w:val="1"/>
          <w:numId w:val="1"/>
        </w:numPr>
        <w:suppressAutoHyphens/>
        <w:spacing w:after="240"/>
        <w:jc w:val="left"/>
        <w:rPr>
          <w:rFonts w:ascii="Arial" w:eastAsia="Calibri" w:hAnsi="Arial" w:cs="Arial"/>
          <w:b/>
          <w:bCs/>
          <w:kern w:val="1"/>
          <w:sz w:val="24"/>
          <w:szCs w:val="24"/>
          <w:u w:val="single"/>
          <w:lang w:eastAsia="cs-CZ" w:bidi="ar-SA"/>
        </w:rPr>
      </w:pPr>
      <w:r w:rsidRPr="006052EE">
        <w:rPr>
          <w:rFonts w:ascii="Arial" w:eastAsia="Calibri" w:hAnsi="Arial" w:cs="Arial"/>
          <w:bCs/>
          <w:kern w:val="1"/>
          <w:sz w:val="24"/>
          <w:szCs w:val="24"/>
          <w:lang w:eastAsia="cs-CZ" w:bidi="ar-SA"/>
        </w:rPr>
        <w:t xml:space="preserve">Smluvní strany se dohodly, že Kupní Cenu je Prodávající oprávněn fakturovat po dodání Zboží dle odst. 4.1 na základě předávacího protokolu dle odst. 9.4, který stvrzuje převzetí instalovaného Zboží bez drobných vad a nedodělků. </w:t>
      </w:r>
    </w:p>
    <w:p w:rsidR="0072401C" w:rsidRPr="006052EE" w:rsidRDefault="0072401C" w:rsidP="0072401C">
      <w:pPr>
        <w:widowControl w:val="0"/>
        <w:numPr>
          <w:ilvl w:val="1"/>
          <w:numId w:val="1"/>
        </w:numPr>
        <w:suppressAutoHyphens/>
        <w:spacing w:after="240"/>
        <w:jc w:val="left"/>
        <w:rPr>
          <w:rFonts w:ascii="Arial" w:eastAsia="Calibri" w:hAnsi="Arial" w:cs="Arial"/>
          <w:b/>
          <w:bCs/>
          <w:kern w:val="1"/>
          <w:sz w:val="24"/>
          <w:szCs w:val="24"/>
          <w:u w:val="single"/>
          <w:lang w:eastAsia="cs-CZ" w:bidi="ar-SA"/>
        </w:rPr>
      </w:pPr>
      <w:r w:rsidRPr="006052EE">
        <w:rPr>
          <w:rFonts w:ascii="Arial" w:eastAsia="Calibri" w:hAnsi="Arial" w:cs="Arial"/>
          <w:bCs/>
          <w:kern w:val="1"/>
          <w:sz w:val="24"/>
          <w:szCs w:val="24"/>
          <w:lang w:eastAsia="cs-CZ" w:bidi="ar-SA"/>
        </w:rPr>
        <w:t>Povinnou náležitostí faktury s náležitostmi daňových dokladů jsou zejména tyto údaje:</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obchodní firma/název a adresa Kupujícího dle záhlaví této Smlouvy,</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daňové identifikační číslo Kupujícího,</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obchodní firma/název a adresa Prodávajícího,</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daňové identifikační číslo Prodávajícího,</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evidenční číslo daňového dokladu,</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rozsah a předmět plnění,</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datum vystavení daňového dokladu,</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účtovaná částka, sazba DPH, částka DPH, účtovaná částka vč. DPH – vše v Kč,</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číslo Smlouvy.</w:t>
      </w:r>
    </w:p>
    <w:p w:rsidR="0072401C" w:rsidRPr="006052EE" w:rsidRDefault="0072401C" w:rsidP="0072401C">
      <w:pPr>
        <w:widowControl w:val="0"/>
        <w:suppressAutoHyphens/>
        <w:spacing w:after="0"/>
        <w:ind w:left="1775" w:firstLine="0"/>
        <w:rPr>
          <w:rFonts w:ascii="Arial" w:eastAsia="Calibri" w:hAnsi="Arial" w:cs="Arial"/>
          <w:bCs/>
          <w:kern w:val="1"/>
          <w:sz w:val="24"/>
          <w:szCs w:val="24"/>
          <w:lang w:eastAsia="cs-CZ" w:bidi="ar-SA"/>
        </w:rPr>
      </w:pP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Lhůta splatnosti faktur je třicet (30) dnů od data jejich doručení Kupujícímu (dále jen "Lhůta splatnosti"). Zaplacením účtované částky se rozumí den jejího odeslání na účet Prodávajícího.</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Pokud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Kupní Ceny nebo její části. Nová lhůta splatnosti začne plynout dnem doručení opraveného nebo nově vyhotoveného daňového dokladu Kupujícímu.</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Kupující je oprávněn pozastavit platbu kupní ceny či jednostranně proti pohledávkám Prodávajícího započítat své pohledávky vzniklé z důvodu:</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neodstraněných vad a nedodělků,</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škody způsobené Prodávajícím,</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smluvní pokuty a jiné majetkové sankce.</w:t>
      </w:r>
    </w:p>
    <w:p w:rsidR="0072401C" w:rsidRPr="006052EE" w:rsidRDefault="0072401C" w:rsidP="0072401C">
      <w:pPr>
        <w:widowControl w:val="0"/>
        <w:suppressAutoHyphens/>
        <w:spacing w:after="0"/>
        <w:ind w:left="1775" w:firstLine="0"/>
        <w:rPr>
          <w:rFonts w:ascii="Arial" w:eastAsia="Calibri" w:hAnsi="Arial" w:cs="Arial"/>
          <w:bCs/>
          <w:kern w:val="1"/>
          <w:sz w:val="24"/>
          <w:szCs w:val="24"/>
          <w:lang w:eastAsia="cs-CZ" w:bidi="ar-SA"/>
        </w:rPr>
      </w:pPr>
    </w:p>
    <w:p w:rsidR="0072401C" w:rsidRPr="006052EE" w:rsidRDefault="0072401C" w:rsidP="0072401C">
      <w:pPr>
        <w:widowControl w:val="0"/>
        <w:suppressAutoHyphens/>
        <w:spacing w:after="240"/>
        <w:ind w:left="567" w:firstLine="0"/>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není oprávněn započítat žádnou svou pohledávku proti pohledávce Kupujícího z této smlouvy.</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 xml:space="preserve">Smluvní strany se dohodly, že stane-li se Prodávající nespolehlivým plátcem nebo daňový doklad Prodávajícího bude obsahovat číslo bankovního účtu, na který má být plněno, aniž by bylo uvedeno ve veřejném registru spolehlivých plátců ve smyslu § 106a zákona č. 235/2004 Sb., o dani z přidané hodnoty, je Kupující oprávněn z Prodávajícím vyúčtované odměny na podkladě faktury vystavené Prodávajícím uhradit daň z přidané hodnoty namísto </w:t>
      </w:r>
      <w:proofErr w:type="gramStart"/>
      <w:r w:rsidRPr="006052EE">
        <w:rPr>
          <w:rFonts w:ascii="Arial" w:eastAsia="Calibri" w:hAnsi="Arial" w:cs="Arial"/>
          <w:bCs/>
          <w:kern w:val="1"/>
          <w:sz w:val="24"/>
          <w:szCs w:val="24"/>
          <w:lang w:eastAsia="cs-CZ" w:bidi="ar-SA"/>
        </w:rPr>
        <w:t>Prodávajícímu</w:t>
      </w:r>
      <w:proofErr w:type="gramEnd"/>
      <w:r w:rsidRPr="006052EE">
        <w:rPr>
          <w:rFonts w:ascii="Arial" w:eastAsia="Calibri" w:hAnsi="Arial" w:cs="Arial"/>
          <w:bCs/>
          <w:kern w:val="1"/>
          <w:sz w:val="24"/>
          <w:szCs w:val="24"/>
          <w:lang w:eastAsia="cs-CZ" w:bidi="ar-SA"/>
        </w:rPr>
        <w:t xml:space="preserve"> přímo místně a věcně příslušnému správci daně Prodávajícího.</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je povinen Kupujícího bez zbytečného odkladu informovat o tom, že správce daně rozhodl o tom, že je Prodávající nespolehlivým plátcem nebo že číslo bankovního účtu, na který má být Kupujícím hrazena odměna, není číslem bankovního účtu zveřejněného v registru plátců dle zákona č. 235/2004 Sb., o dani z přidané hodnoty.</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p>
    <w:p w:rsidR="0072401C" w:rsidRPr="006052EE" w:rsidRDefault="0072401C" w:rsidP="0072401C">
      <w:pPr>
        <w:widowControl w:val="0"/>
        <w:suppressAutoHyphens/>
        <w:spacing w:after="240"/>
        <w:ind w:left="567" w:hanging="567"/>
        <w:rPr>
          <w:rFonts w:ascii="Arial" w:eastAsia="Calibri" w:hAnsi="Arial" w:cs="Arial"/>
          <w:bCs/>
          <w:kern w:val="1"/>
          <w:sz w:val="24"/>
          <w:szCs w:val="24"/>
          <w:lang w:eastAsia="cs-CZ" w:bidi="ar-SA"/>
        </w:rPr>
      </w:pPr>
      <w:r w:rsidRPr="006052EE">
        <w:rPr>
          <w:rFonts w:ascii="Arial" w:eastAsia="Calibri" w:hAnsi="Arial" w:cs="Arial"/>
          <w:b/>
          <w:bCs/>
          <w:kern w:val="1"/>
          <w:sz w:val="24"/>
          <w:szCs w:val="24"/>
          <w:u w:val="single"/>
          <w:lang w:eastAsia="cs-CZ" w:bidi="ar-SA"/>
        </w:rPr>
        <w:t>VLASTNICKÉ PRÁVO</w:t>
      </w:r>
      <w:r w:rsidRPr="006052EE">
        <w:rPr>
          <w:rFonts w:ascii="Arial" w:eastAsia="Calibri" w:hAnsi="Arial" w:cs="Arial"/>
          <w:bCs/>
          <w:kern w:val="1"/>
          <w:sz w:val="24"/>
          <w:szCs w:val="24"/>
          <w:lang w:eastAsia="cs-CZ" w:bidi="ar-SA"/>
        </w:rPr>
        <w:tab/>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 xml:space="preserve">Vlastnické právo ke Zboží a zároveň i nebezpečí škody na něm přechází na Kupujícího jeho odevzdáním. Odevzdáním se rozumí předání a převzetí Zboží potvrzené protokolem o předání. </w:t>
      </w: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MÍSTO DODÁNÍ ZBOŽÍ</w:t>
      </w:r>
    </w:p>
    <w:p w:rsidR="0072401C"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Místem dodání Zboží je pracoviště Úřadu městské části Praha 3, Lipanská 389/11, Praha 3, 3. patro místnost č. 308</w:t>
      </w:r>
    </w:p>
    <w:p w:rsidR="0072401C" w:rsidRPr="006052EE" w:rsidRDefault="0072401C" w:rsidP="0072401C">
      <w:pPr>
        <w:widowControl w:val="0"/>
        <w:suppressAutoHyphens/>
        <w:spacing w:after="240"/>
        <w:ind w:left="567" w:firstLine="0"/>
        <w:jc w:val="left"/>
        <w:rPr>
          <w:rFonts w:ascii="Arial" w:eastAsia="Calibri" w:hAnsi="Arial" w:cs="Arial"/>
          <w:bCs/>
          <w:kern w:val="1"/>
          <w:sz w:val="24"/>
          <w:szCs w:val="24"/>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SOUČINNOST SMLUVNÍCH STRAN</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u w:val="single"/>
          <w:lang w:eastAsia="cs-CZ" w:bidi="ar-SA"/>
        </w:rPr>
      </w:pPr>
      <w:r w:rsidRPr="006052EE">
        <w:rPr>
          <w:rFonts w:ascii="Arial" w:eastAsia="Calibri" w:hAnsi="Arial" w:cs="Arial"/>
          <w:bCs/>
          <w:kern w:val="1"/>
          <w:sz w:val="24"/>
          <w:szCs w:val="24"/>
          <w:lang w:eastAsia="cs-CZ" w:bidi="ar-SA"/>
        </w:rPr>
        <w:t>Prodávající se zavazuje upozornit Kupujícího na případné překážky na své straně, které mohou negativně ovlivnit řádné dodání Zboží.</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u w:val="single"/>
          <w:lang w:eastAsia="cs-CZ" w:bidi="ar-SA"/>
        </w:rPr>
      </w:pPr>
      <w:r w:rsidRPr="006052EE">
        <w:rPr>
          <w:rFonts w:ascii="Arial" w:eastAsia="Calibri" w:hAnsi="Arial" w:cs="Arial"/>
          <w:bCs/>
          <w:kern w:val="1"/>
          <w:sz w:val="24"/>
          <w:szCs w:val="24"/>
          <w:lang w:eastAsia="cs-CZ" w:bidi="ar-SA"/>
        </w:rPr>
        <w:t>Odchylně od § 2126 OZ Smluvní strany sjednávají, že Prodávající není oprávněn využít institutu svépomocného prodeje.</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poskytne Kupujícímu seznam subdodavatelů, kteří se podílejí na plnění této Smlouvy, a to spolu s </w:t>
      </w:r>
      <w:proofErr w:type="gramStart"/>
      <w:r w:rsidRPr="006052EE">
        <w:rPr>
          <w:rFonts w:ascii="Arial" w:eastAsia="Calibri" w:hAnsi="Arial" w:cs="Arial"/>
          <w:bCs/>
          <w:kern w:val="1"/>
          <w:sz w:val="24"/>
          <w:szCs w:val="24"/>
          <w:lang w:eastAsia="cs-CZ" w:bidi="ar-SA"/>
        </w:rPr>
        <w:t>určením, kterou</w:t>
      </w:r>
      <w:proofErr w:type="gramEnd"/>
      <w:r w:rsidRPr="006052EE">
        <w:rPr>
          <w:rFonts w:ascii="Arial" w:eastAsia="Calibri" w:hAnsi="Arial" w:cs="Arial"/>
          <w:bCs/>
          <w:kern w:val="1"/>
          <w:sz w:val="24"/>
          <w:szCs w:val="24"/>
          <w:lang w:eastAsia="cs-CZ" w:bidi="ar-SA"/>
        </w:rPr>
        <w:t xml:space="preserve"> část Smlouvy bude každý z nich plnit , </w:t>
      </w:r>
      <w:proofErr w:type="gramStart"/>
      <w:r w:rsidRPr="006052EE">
        <w:rPr>
          <w:rFonts w:ascii="Arial" w:eastAsia="Calibri" w:hAnsi="Arial" w:cs="Arial"/>
          <w:bCs/>
          <w:kern w:val="1"/>
          <w:sz w:val="24"/>
          <w:szCs w:val="24"/>
          <w:lang w:eastAsia="cs-CZ" w:bidi="ar-SA"/>
        </w:rPr>
        <w:t>jimž</w:t>
      </w:r>
      <w:proofErr w:type="gramEnd"/>
      <w:r w:rsidRPr="006052EE">
        <w:rPr>
          <w:rFonts w:ascii="Arial" w:eastAsia="Calibri" w:hAnsi="Arial" w:cs="Arial"/>
          <w:bCs/>
          <w:kern w:val="1"/>
          <w:sz w:val="24"/>
          <w:szCs w:val="24"/>
          <w:lang w:eastAsia="cs-CZ" w:bidi="ar-SA"/>
        </w:rPr>
        <w:t xml:space="preserve"> bylo za plnění subdodávky uhrazeno více než 10 % z Kupní Ceny ve smyslu § 147a zák. č. 137/2006 Sb., o veřejných zakázkách, ve znění účinném do 30. 9. 2016. </w:t>
      </w:r>
    </w:p>
    <w:p w:rsidR="0072401C" w:rsidRPr="006052EE" w:rsidRDefault="0072401C" w:rsidP="0072401C">
      <w:pPr>
        <w:widowControl w:val="0"/>
        <w:suppressAutoHyphens/>
        <w:spacing w:after="0"/>
        <w:ind w:left="567" w:firstLine="0"/>
        <w:rPr>
          <w:rFonts w:ascii="Arial" w:eastAsia="Calibri" w:hAnsi="Arial" w:cs="Arial"/>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 xml:space="preserve">DODÁNÍ, INSTALACE, PŘEDÁNÍ </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na své náklady přepraví Zboží do místa předání a bezodkladně zahájí jeho instalaci.</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provede a zdokumentuje instalaci Zboží a tuto dokumentaci předá současně s předáním Zboží Kupujícímu.</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Současně s předáním Zboží je Prodávající povinen Kupujícímu předat technickou dokumentaci Zboží, návod k užívání a prohlášení o shodě se schválenými standardy.</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Předávací řízení je ukončeno odevzdáním Zboží potvrzeného vystavením předávacího protokolu s prohlášením Kupujícího o tom, že Zboží přebírá (dále jen „Předávací protokol“). Předávací protokol obsahuje tyto povinné náležitosti:</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Údaje o Prodávajícím, Kupujícím a subdodavatelích,</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popis Zboží, včetně soupisu komponent a výrobních/sériových čísel,</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případná výhrada Kupujícího týkající se drobných vad a nedodělků,</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prohlášení Kupujícího, zda Zboží přebírá nebo nepřebírá,</w:t>
      </w:r>
    </w:p>
    <w:p w:rsidR="0072401C" w:rsidRPr="006052EE" w:rsidRDefault="0072401C" w:rsidP="0072401C">
      <w:pPr>
        <w:widowControl w:val="0"/>
        <w:numPr>
          <w:ilvl w:val="0"/>
          <w:numId w:val="3"/>
        </w:numPr>
        <w:suppressAutoHyphens/>
        <w:spacing w:after="0"/>
        <w:ind w:left="1775" w:hanging="357"/>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datum podpisu protokolu o předání a převzetí.</w:t>
      </w:r>
    </w:p>
    <w:p w:rsidR="0072401C" w:rsidRPr="006052EE" w:rsidRDefault="0072401C" w:rsidP="0072401C">
      <w:pPr>
        <w:widowControl w:val="0"/>
        <w:suppressAutoHyphens/>
        <w:spacing w:after="0"/>
        <w:ind w:left="1775" w:firstLine="0"/>
        <w:rPr>
          <w:rFonts w:ascii="Arial" w:eastAsia="Calibri" w:hAnsi="Arial" w:cs="Arial"/>
          <w:bCs/>
          <w:kern w:val="1"/>
          <w:sz w:val="24"/>
          <w:szCs w:val="24"/>
          <w:lang w:eastAsia="cs-CZ" w:bidi="ar-SA"/>
        </w:rPr>
      </w:pPr>
    </w:p>
    <w:p w:rsidR="0072401C" w:rsidRPr="006052EE" w:rsidRDefault="0072401C" w:rsidP="0072401C">
      <w:pPr>
        <w:widowControl w:val="0"/>
        <w:numPr>
          <w:ilvl w:val="1"/>
          <w:numId w:val="1"/>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Předání Zboží nezbavuje Prodávajícího odpovědnosti za vady a za škody vzniklé v důsledku vad.</w:t>
      </w:r>
    </w:p>
    <w:p w:rsidR="0072401C" w:rsidRPr="006052EE" w:rsidRDefault="0072401C" w:rsidP="0072401C">
      <w:pPr>
        <w:widowControl w:val="0"/>
        <w:numPr>
          <w:ilvl w:val="1"/>
          <w:numId w:val="1"/>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ZÁSTUPCI, OZNAMOVÁNÍ:</w:t>
      </w:r>
    </w:p>
    <w:p w:rsidR="0072401C" w:rsidRPr="006052EE" w:rsidRDefault="0072401C" w:rsidP="0072401C">
      <w:pPr>
        <w:widowControl w:val="0"/>
        <w:numPr>
          <w:ilvl w:val="1"/>
          <w:numId w:val="1"/>
        </w:numPr>
        <w:suppressAutoHyphens/>
        <w:spacing w:after="240"/>
        <w:jc w:val="left"/>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Prodávající pověřil tyto zástupce ke komunikaci s Kupujícím:</w:t>
      </w:r>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r>
        <w:rPr>
          <w:rFonts w:ascii="Arial" w:eastAsia="Calibri" w:hAnsi="Arial" w:cs="Arial"/>
          <w:kern w:val="1"/>
          <w:sz w:val="24"/>
          <w:szCs w:val="24"/>
          <w:lang w:eastAsia="cs-CZ" w:bidi="ar-SA"/>
        </w:rPr>
        <w:t>Roman Koutecký</w:t>
      </w:r>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E-mail:</w:t>
      </w:r>
      <w:r w:rsidRPr="006052EE">
        <w:rPr>
          <w:rFonts w:ascii="Arial" w:eastAsia="Calibri" w:hAnsi="Arial" w:cs="Arial"/>
          <w:kern w:val="1"/>
          <w:sz w:val="24"/>
          <w:szCs w:val="24"/>
          <w:lang w:eastAsia="cs-CZ" w:bidi="ar-SA"/>
        </w:rPr>
        <w:tab/>
      </w:r>
      <w:r>
        <w:rPr>
          <w:rFonts w:ascii="Arial" w:eastAsia="Calibri" w:hAnsi="Arial" w:cs="Arial"/>
          <w:kern w:val="1"/>
          <w:sz w:val="24"/>
          <w:szCs w:val="24"/>
          <w:lang w:eastAsia="cs-CZ" w:bidi="ar-SA"/>
        </w:rPr>
        <w:t>obchod@comtesys.cz</w:t>
      </w:r>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proofErr w:type="gramStart"/>
      <w:r>
        <w:rPr>
          <w:rFonts w:ascii="Arial" w:eastAsia="Calibri" w:hAnsi="Arial" w:cs="Arial"/>
          <w:kern w:val="1"/>
          <w:sz w:val="24"/>
          <w:szCs w:val="24"/>
          <w:lang w:eastAsia="cs-CZ" w:bidi="ar-SA"/>
        </w:rPr>
        <w:t>Telefon : +420 241 091 260</w:t>
      </w:r>
      <w:proofErr w:type="gramEnd"/>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p>
    <w:p w:rsidR="0072401C" w:rsidRPr="006052EE" w:rsidRDefault="0072401C" w:rsidP="0072401C">
      <w:pPr>
        <w:widowControl w:val="0"/>
        <w:numPr>
          <w:ilvl w:val="1"/>
          <w:numId w:val="1"/>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Kupující pověřil tyto zástupce ke komunikaci s Prodávajícím:</w:t>
      </w:r>
    </w:p>
    <w:p w:rsidR="0072401C" w:rsidRPr="006052EE" w:rsidRDefault="0072401C" w:rsidP="0072401C">
      <w:pPr>
        <w:widowControl w:val="0"/>
        <w:suppressAutoHyphens/>
        <w:spacing w:after="0"/>
        <w:ind w:left="567" w:firstLine="0"/>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Pan Tomáš </w:t>
      </w:r>
      <w:proofErr w:type="spellStart"/>
      <w:r w:rsidRPr="006052EE">
        <w:rPr>
          <w:rFonts w:ascii="Arial" w:eastAsia="Calibri" w:hAnsi="Arial" w:cs="Arial"/>
          <w:kern w:val="1"/>
          <w:sz w:val="24"/>
          <w:szCs w:val="24"/>
          <w:lang w:eastAsia="cs-CZ" w:bidi="ar-SA"/>
        </w:rPr>
        <w:t>Hilmar</w:t>
      </w:r>
      <w:proofErr w:type="spellEnd"/>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E-mail:</w:t>
      </w:r>
      <w:r w:rsidRPr="006052EE">
        <w:rPr>
          <w:rFonts w:ascii="Arial" w:eastAsia="Calibri" w:hAnsi="Arial" w:cs="Arial"/>
          <w:kern w:val="1"/>
          <w:sz w:val="24"/>
          <w:szCs w:val="24"/>
          <w:lang w:eastAsia="cs-CZ" w:bidi="ar-SA"/>
        </w:rPr>
        <w:tab/>
        <w:t>tomash@praha3.cz</w:t>
      </w:r>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Telefon:</w:t>
      </w:r>
      <w:r w:rsidRPr="006052EE">
        <w:rPr>
          <w:rFonts w:ascii="Arial" w:eastAsia="Calibri" w:hAnsi="Arial" w:cs="Arial"/>
          <w:kern w:val="1"/>
          <w:sz w:val="24"/>
          <w:szCs w:val="24"/>
          <w:lang w:eastAsia="cs-CZ" w:bidi="ar-SA"/>
        </w:rPr>
        <w:tab/>
        <w:t>+420 222116371</w:t>
      </w:r>
    </w:p>
    <w:p w:rsidR="0072401C" w:rsidRPr="006052EE" w:rsidRDefault="0072401C" w:rsidP="0072401C">
      <w:pPr>
        <w:widowControl w:val="0"/>
        <w:suppressAutoHyphens/>
        <w:spacing w:after="0"/>
        <w:ind w:left="1418" w:hanging="851"/>
        <w:rPr>
          <w:rFonts w:ascii="Arial" w:eastAsia="Calibri" w:hAnsi="Arial" w:cs="Arial"/>
          <w:kern w:val="1"/>
          <w:sz w:val="24"/>
          <w:szCs w:val="24"/>
          <w:lang w:eastAsia="cs-CZ" w:bidi="ar-SA"/>
        </w:rPr>
      </w:pPr>
    </w:p>
    <w:p w:rsidR="0072401C" w:rsidRPr="006052EE" w:rsidRDefault="0072401C" w:rsidP="0072401C">
      <w:pPr>
        <w:widowControl w:val="0"/>
        <w:numPr>
          <w:ilvl w:val="1"/>
          <w:numId w:val="1"/>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Veškerá oznámení učiněná mezi Smluvními stranami podle této Smlouvy musí být vyhotovena písemně a doručena druhé Smluvní straně osobně (s písemným potvrzením o převzetí) nebo doporučeným dopisem nebo prostřednictvím datové schránky.</w:t>
      </w:r>
    </w:p>
    <w:p w:rsidR="0072401C" w:rsidRPr="006052EE" w:rsidRDefault="0072401C" w:rsidP="0072401C">
      <w:pPr>
        <w:widowControl w:val="0"/>
        <w:numPr>
          <w:ilvl w:val="1"/>
          <w:numId w:val="1"/>
        </w:numPr>
        <w:suppressAutoHyphens/>
        <w:spacing w:after="24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Ve věcech odborných nebo technických je přípustná elektronická komunikace prostřednictvím zástupců ve věcech technických na e-mailové adresy uvedené v odst. 10.1 a 10.2 tohoto článku smlouvy.</w:t>
      </w: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UKONČENÍ SMLOUVY, VYŠŠÍ MOC</w:t>
      </w: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Tuto Smlouvu lze ukončit splněním, dohodou Smluvních stran nebo odstoupením od Smlouvy z důvodů stanovených v zákoně nebo ve Smlouvě.</w:t>
      </w: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Kupující je oprávněn od Smlouvy odstoupit bez jakýchkoliv sankcí na jeho straně, nastane-li některá z níže uvedených skutečností:</w:t>
      </w:r>
    </w:p>
    <w:p w:rsidR="0072401C" w:rsidRPr="006052EE" w:rsidRDefault="0072401C" w:rsidP="0072401C">
      <w:pPr>
        <w:widowControl w:val="0"/>
        <w:suppressAutoHyphens/>
        <w:spacing w:after="0"/>
        <w:ind w:left="720" w:firstLine="0"/>
        <w:jc w:val="left"/>
        <w:rPr>
          <w:rFonts w:ascii="Arial" w:eastAsia="Times New Roman" w:hAnsi="Arial" w:cs="Arial"/>
          <w:b/>
          <w:kern w:val="1"/>
          <w:sz w:val="24"/>
          <w:szCs w:val="24"/>
          <w:lang w:eastAsia="cs-CZ" w:bidi="ar-SA"/>
        </w:rPr>
      </w:pP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Pr="006052EE" w:rsidRDefault="0072401C" w:rsidP="0072401C">
      <w:pPr>
        <w:widowControl w:val="0"/>
        <w:numPr>
          <w:ilvl w:val="2"/>
          <w:numId w:val="0"/>
        </w:numPr>
        <w:suppressAutoHyphens/>
        <w:spacing w:after="24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Prodávající bude v prodlení s dodáním Zboží ve lhůtě dle odst. 4.1 Smlouvy,</w:t>
      </w:r>
    </w:p>
    <w:p w:rsidR="0072401C" w:rsidRPr="006052EE" w:rsidRDefault="0072401C" w:rsidP="0072401C">
      <w:pPr>
        <w:widowControl w:val="0"/>
        <w:numPr>
          <w:ilvl w:val="2"/>
          <w:numId w:val="0"/>
        </w:numPr>
        <w:suppressAutoHyphens/>
        <w:spacing w:after="240"/>
        <w:ind w:left="1418" w:hanging="851"/>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dodané Zboží nebude splňovat technické parametry či podmínky dle požadované technické specifikace podle Příloh č. 1 a 2 a dle platných technických norem.</w:t>
      </w: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Prodávající je oprávněn od Smlouvy odstoupit v případě, že Kupující je v prodlení se zaplacením kupní ceny delším než 2 měsíce s výjimkou případů, kdy Kupující nezaplatil kupní cenu z důvodu vad dodaného Zboží nebo porušení smlouvy Prodávajícím.</w:t>
      </w: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Smluvní strany berou na vědomí, že povinnosti k náhradě škody způsobené porušením smluvní povinnosti se lze zprostit pouze za podmínek § 2913 OZ.</w:t>
      </w:r>
    </w:p>
    <w:p w:rsidR="0072401C" w:rsidRPr="006052EE" w:rsidRDefault="0072401C" w:rsidP="0072401C">
      <w:pPr>
        <w:widowControl w:val="0"/>
        <w:suppressAutoHyphens/>
        <w:spacing w:after="0"/>
        <w:ind w:left="720" w:firstLine="0"/>
        <w:jc w:val="left"/>
        <w:rPr>
          <w:rFonts w:ascii="Arial" w:eastAsia="Times New Roman" w:hAnsi="Arial" w:cs="Arial"/>
          <w:b/>
          <w:kern w:val="1"/>
          <w:sz w:val="24"/>
          <w:szCs w:val="24"/>
          <w:lang w:eastAsia="cs-CZ" w:bidi="ar-SA"/>
        </w:rPr>
      </w:pP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ZÁRUKA</w:t>
      </w: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 xml:space="preserve">Prodávající poskytuje Kupujícímu záruku za jakost dodaného Zboží po dobu 24  měsíců. Záruka za jakost počíná běžet dnem následujícím po podpisu předávacího protokolu Kupujícím dle odst. 9.4 Smlouvy. </w:t>
      </w: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SMLUVNÍ POKUTY</w:t>
      </w: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 xml:space="preserve">Kupující  má vůči Prodávajícímu právo na zaplacení smluvní pokuty ve výši 0,5 % z Kupní Ceny za každý započatý den prodlení s plněním povinností dle odst. 4.1 Smlouvy. </w:t>
      </w: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V případě odstoupení od Smlouvy z důvodu dle čl. 12 odst. 12.2.2 této smlouvy je Kupující oprávněn uplatnit vůči Prodávajícímu právo na zaplacení smluvní pokuty ve výši 5 % Kupní Ceny.</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 xml:space="preserve">Pro případ prodlení s úhradou kterékoli splatné pohledávky (peněžitého dluhu) dle Smlouvy je prodlévající Kupující či Prodávající (dlužník) povinen zaplatit druhé smluvní straně (věřiteli) úrok z prodlení ve výši 0,05 % z dlužné částky za každý den prodlení. </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Smluvní pokuta je splatná do 30 dnů ode dne doručení výzvy k zaplacení.</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Zaplacením smluvní pokuty nejsou dotčeny nároky smluvních stran na náhradu škody, použití ustanovení § 2050 OZ je vyloučeno.</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POVINNOSTI PRODÁVAJÍCÍHO PŘI FINANČNÍ KONTROLE VE VEŘEJNÉ SPRÁVĚ</w:t>
      </w: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Prodávající je povinen Kupujícímu a kontrolním orgánům poskytnout veškerou požadovanou součinnost při výkonu finanční kontroly dle § 2 písmene e) zákona č. 320/2001 Sb., o finanční kontrole, ve znění pozdějších předpisů.</w:t>
      </w:r>
    </w:p>
    <w:p w:rsidR="0072401C" w:rsidRPr="006052EE" w:rsidRDefault="0072401C" w:rsidP="0072401C">
      <w:pPr>
        <w:widowControl w:val="0"/>
        <w:spacing w:after="0"/>
        <w:ind w:left="567"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Prodávající je povinen poskytnout Kupujícímu veškeré doklady související s předmětem plnění dle této Smlouvy, které si vyžádají kontrolní orgány.</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Prodávající je povinen umožnit vstup do objektů a na pozemky související s předmětem plnění dle této smlouvy pověřeným osobám řídících orgánů pověřených kontrolou zařazených do Magistrátu hl. m. Prahy, Ministerstva financí, Evropské komise, Evropského účetního dvora, Nejvyššího kontrolního úřadu a dalších oprávněných orgánů státní správy.</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 xml:space="preserve">Prodávající je oprávněn plnit kteroukoli část této Smlouvy pomocí subdodavatele. V takovém případě Prodávající odpovídá, jakoby plnil sám a současně je Prodávající povinen zajistit, aby každý z jeho subdodavatelů splnil povinnosti dle odst. 14.1 až 14.3. Seznam subdodavatelů s určením, </w:t>
      </w:r>
      <w:proofErr w:type="gramStart"/>
      <w:r w:rsidRPr="006052EE">
        <w:rPr>
          <w:rFonts w:ascii="Arial" w:eastAsia="Times New Roman" w:hAnsi="Arial" w:cs="Arial"/>
          <w:sz w:val="24"/>
          <w:szCs w:val="24"/>
          <w:lang w:eastAsia="cs-CZ" w:bidi="ar-SA"/>
        </w:rPr>
        <w:t>kterou</w:t>
      </w:r>
      <w:proofErr w:type="gramEnd"/>
      <w:r w:rsidRPr="006052EE">
        <w:rPr>
          <w:rFonts w:ascii="Arial" w:eastAsia="Times New Roman" w:hAnsi="Arial" w:cs="Arial"/>
          <w:sz w:val="24"/>
          <w:szCs w:val="24"/>
          <w:lang w:eastAsia="cs-CZ" w:bidi="ar-SA"/>
        </w:rPr>
        <w:t xml:space="preserve"> část smlouvy bude každý z nich plnit, tvoří Přílohu č.3 této Smlouvy, a to vč. souvisejících dokumentů.</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p>
    <w:p w:rsidR="0072401C" w:rsidRPr="006052EE" w:rsidRDefault="0072401C" w:rsidP="0072401C">
      <w:pPr>
        <w:widowControl w:val="0"/>
        <w:suppressAutoHyphens/>
        <w:spacing w:after="240"/>
        <w:ind w:left="567" w:hanging="567"/>
        <w:rPr>
          <w:rFonts w:ascii="Arial" w:eastAsia="Calibri" w:hAnsi="Arial" w:cs="Arial"/>
          <w:b/>
          <w:bCs/>
          <w:kern w:val="1"/>
          <w:sz w:val="24"/>
          <w:szCs w:val="24"/>
          <w:u w:val="single"/>
          <w:lang w:eastAsia="cs-CZ" w:bidi="ar-SA"/>
        </w:rPr>
      </w:pPr>
      <w:r w:rsidRPr="006052EE">
        <w:rPr>
          <w:rFonts w:ascii="Arial" w:eastAsia="Calibri" w:hAnsi="Arial" w:cs="Arial"/>
          <w:b/>
          <w:bCs/>
          <w:kern w:val="1"/>
          <w:sz w:val="24"/>
          <w:szCs w:val="24"/>
          <w:u w:val="single"/>
          <w:lang w:eastAsia="cs-CZ" w:bidi="ar-SA"/>
        </w:rPr>
        <w:t>ZÁVĚREČNÁ A JINÁ UJEDNÁNÍ</w:t>
      </w: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Smlouva představuje úplnou a ucelenou dohodu mezi Kupujícím a Prodávajícím.</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Prodávající výslovně souhlasí s tím, aby tato smlouva byla uvedena v centrální evidenci smluv vedené Městskou částí Prahou 3, která je veřejně přístupná a obsahuje údaje o smluvních stranách, předmětu smlouvy, číselné označení této smlouvy a datum jejího podpisu, či aby byl celý její obsah ze strany Městské části Prahy 3 zveřejněn, zejména v Registru smluv na portálu veřejné správy. Smluvní strany prohlašují, že veškeré informace uvedené v této smlouvě nepovažují za obchodní tajemství ve smyslu § 504 zákona č. 89/2012 Sb., občanského zákoníku a udělují svolení k jejich užití a zveřejnění bez stanovení jakýchkoliv dalších podmínek</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Tato Smlouva nabývá platnosti a účinnosti dnem svého podpisu oprávněnými osobami obou Smluvních stran.</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Tato Smlouva je sepsána ve čtyřech (4) vyhotoveních, z nichž každé vyhotovení má povahu originálu. Každá ze Smluvních stran obdrží po dvou (2) vyhotoveních.</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numPr>
          <w:ilvl w:val="1"/>
          <w:numId w:val="1"/>
        </w:numPr>
        <w:suppressAutoHyphens/>
        <w:spacing w:after="0"/>
        <w:jc w:val="left"/>
        <w:rPr>
          <w:rFonts w:ascii="Arial" w:eastAsia="Times New Roman" w:hAnsi="Arial" w:cs="Arial"/>
          <w:sz w:val="24"/>
          <w:szCs w:val="24"/>
          <w:lang w:eastAsia="cs-CZ" w:bidi="ar-SA"/>
        </w:rPr>
      </w:pPr>
      <w:r w:rsidRPr="006052EE">
        <w:rPr>
          <w:rFonts w:ascii="Arial" w:eastAsia="Times New Roman" w:hAnsi="Arial" w:cs="Arial"/>
          <w:sz w:val="24"/>
          <w:szCs w:val="24"/>
          <w:lang w:eastAsia="cs-CZ" w:bidi="ar-SA"/>
        </w:rPr>
        <w:t>Nedílnou součástí Smlouvy jsou tyto přílohy:</w:t>
      </w:r>
    </w:p>
    <w:p w:rsidR="0072401C" w:rsidRPr="006052EE" w:rsidRDefault="0072401C" w:rsidP="0072401C">
      <w:pPr>
        <w:widowControl w:val="0"/>
        <w:suppressAutoHyphens/>
        <w:spacing w:after="0"/>
        <w:ind w:left="720" w:firstLine="0"/>
        <w:jc w:val="left"/>
        <w:rPr>
          <w:rFonts w:ascii="Arial" w:eastAsia="Times New Roman" w:hAnsi="Arial" w:cs="Arial"/>
          <w:b/>
          <w:kern w:val="1"/>
          <w:sz w:val="24"/>
          <w:szCs w:val="24"/>
          <w:lang w:eastAsia="cs-CZ" w:bidi="ar-SA"/>
        </w:rPr>
      </w:pPr>
    </w:p>
    <w:p w:rsidR="0072401C" w:rsidRPr="006052EE" w:rsidRDefault="0072401C" w:rsidP="0072401C">
      <w:pPr>
        <w:widowControl w:val="0"/>
        <w:suppressAutoHyphens/>
        <w:spacing w:after="0"/>
        <w:ind w:left="567" w:firstLine="0"/>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Příloha č. 1:</w:t>
      </w:r>
      <w:r w:rsidRPr="006052EE">
        <w:rPr>
          <w:rFonts w:ascii="Arial" w:eastAsia="Calibri" w:hAnsi="Arial" w:cs="Arial"/>
          <w:bCs/>
          <w:kern w:val="1"/>
          <w:sz w:val="24"/>
          <w:szCs w:val="24"/>
          <w:lang w:eastAsia="cs-CZ" w:bidi="ar-SA"/>
        </w:rPr>
        <w:tab/>
        <w:t xml:space="preserve">Technická specifikace zboží </w:t>
      </w:r>
    </w:p>
    <w:p w:rsidR="0072401C" w:rsidRPr="006052EE" w:rsidRDefault="0072401C" w:rsidP="0072401C">
      <w:pPr>
        <w:widowControl w:val="0"/>
        <w:suppressAutoHyphens/>
        <w:spacing w:after="0"/>
        <w:ind w:left="567" w:firstLine="0"/>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Příloha č. 2:</w:t>
      </w:r>
      <w:r w:rsidRPr="006052EE">
        <w:rPr>
          <w:rFonts w:ascii="Arial" w:eastAsia="Calibri" w:hAnsi="Arial" w:cs="Arial"/>
          <w:bCs/>
          <w:kern w:val="1"/>
          <w:sz w:val="24"/>
          <w:szCs w:val="24"/>
          <w:lang w:eastAsia="cs-CZ" w:bidi="ar-SA"/>
        </w:rPr>
        <w:tab/>
        <w:t>Nabídka Prodávajícího v rozsahu části, která technicky popisuje Zboží</w:t>
      </w:r>
    </w:p>
    <w:p w:rsidR="0072401C" w:rsidRPr="006052EE" w:rsidRDefault="0072401C" w:rsidP="0072401C">
      <w:pPr>
        <w:widowControl w:val="0"/>
        <w:suppressAutoHyphens/>
        <w:spacing w:after="0"/>
        <w:ind w:left="567" w:firstLine="0"/>
        <w:rPr>
          <w:rFonts w:ascii="Arial" w:eastAsia="Calibri" w:hAnsi="Arial" w:cs="Arial"/>
          <w:bCs/>
          <w:kern w:val="1"/>
          <w:sz w:val="24"/>
          <w:szCs w:val="24"/>
          <w:lang w:eastAsia="cs-CZ" w:bidi="ar-SA"/>
        </w:rPr>
      </w:pPr>
      <w:r w:rsidRPr="006052EE">
        <w:rPr>
          <w:rFonts w:ascii="Arial" w:eastAsia="Calibri" w:hAnsi="Arial" w:cs="Arial"/>
          <w:bCs/>
          <w:kern w:val="1"/>
          <w:sz w:val="24"/>
          <w:szCs w:val="24"/>
          <w:lang w:eastAsia="cs-CZ" w:bidi="ar-SA"/>
        </w:rPr>
        <w:t>Příloha č. 3</w:t>
      </w:r>
      <w:r w:rsidRPr="006052EE">
        <w:rPr>
          <w:rFonts w:ascii="Arial" w:eastAsia="Calibri" w:hAnsi="Arial" w:cs="Arial"/>
          <w:bCs/>
          <w:kern w:val="1"/>
          <w:sz w:val="24"/>
          <w:szCs w:val="24"/>
          <w:lang w:eastAsia="cs-CZ" w:bidi="ar-SA"/>
        </w:rPr>
        <w:tab/>
        <w:t>Seznam subdodavatelů s určením, kterou část Smlouvy bude každý z nich plnit</w:t>
      </w:r>
    </w:p>
    <w:p w:rsidR="0072401C" w:rsidRPr="006052EE" w:rsidRDefault="0072401C" w:rsidP="0072401C">
      <w:pPr>
        <w:widowControl w:val="0"/>
        <w:spacing w:after="0"/>
        <w:ind w:firstLine="0"/>
        <w:jc w:val="left"/>
        <w:rPr>
          <w:rFonts w:ascii="Arial" w:eastAsia="Times New Roman" w:hAnsi="Arial" w:cs="Arial"/>
          <w:sz w:val="24"/>
          <w:szCs w:val="24"/>
          <w:lang w:eastAsia="cs-CZ" w:bidi="ar-SA"/>
        </w:rPr>
      </w:pPr>
    </w:p>
    <w:p w:rsidR="0072401C" w:rsidRPr="006052EE" w:rsidRDefault="0072401C" w:rsidP="0072401C">
      <w:pPr>
        <w:widowControl w:val="0"/>
        <w:suppressAutoHyphens/>
        <w:spacing w:after="0"/>
        <w:ind w:firstLine="0"/>
        <w:rPr>
          <w:rFonts w:ascii="Arial" w:eastAsia="Times New Roman" w:hAnsi="Arial" w:cs="Arial"/>
          <w:kern w:val="1"/>
          <w:sz w:val="24"/>
          <w:szCs w:val="24"/>
          <w:lang w:eastAsia="cs-CZ" w:bidi="ar-SA"/>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544"/>
      </w:tblGrid>
      <w:tr w:rsidR="0072401C" w:rsidRPr="006052EE" w:rsidTr="000B5E26">
        <w:tc>
          <w:tcPr>
            <w:tcW w:w="3544"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r w:rsidRPr="006052EE">
              <w:rPr>
                <w:rFonts w:ascii="Arial" w:eastAsia="Calibri" w:hAnsi="Arial" w:cs="Arial"/>
                <w:bCs/>
                <w:kern w:val="1"/>
                <w:sz w:val="24"/>
                <w:szCs w:val="24"/>
                <w:lang w:bidi="ar-SA"/>
              </w:rPr>
              <w:t>V Praze dne:</w:t>
            </w:r>
            <w:r>
              <w:rPr>
                <w:rFonts w:ascii="Arial" w:eastAsia="Calibri" w:hAnsi="Arial" w:cs="Arial"/>
                <w:bCs/>
                <w:kern w:val="1"/>
                <w:sz w:val="24"/>
                <w:szCs w:val="24"/>
                <w:lang w:bidi="ar-SA"/>
              </w:rPr>
              <w:t xml:space="preserve"> 6. října 2016</w:t>
            </w:r>
          </w:p>
        </w:tc>
        <w:tc>
          <w:tcPr>
            <w:tcW w:w="1843"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p>
        </w:tc>
        <w:tc>
          <w:tcPr>
            <w:tcW w:w="3544"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r w:rsidRPr="006052EE">
              <w:rPr>
                <w:rFonts w:ascii="Arial" w:eastAsia="Calibri" w:hAnsi="Arial" w:cs="Arial"/>
                <w:bCs/>
                <w:kern w:val="1"/>
                <w:sz w:val="24"/>
                <w:szCs w:val="24"/>
                <w:lang w:bidi="ar-SA"/>
              </w:rPr>
              <w:t>V Praze dne:</w:t>
            </w:r>
          </w:p>
        </w:tc>
      </w:tr>
      <w:tr w:rsidR="0072401C" w:rsidRPr="006052EE" w:rsidTr="000B5E26">
        <w:trPr>
          <w:trHeight w:val="589"/>
        </w:trPr>
        <w:tc>
          <w:tcPr>
            <w:tcW w:w="3544"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r w:rsidRPr="006052EE">
              <w:rPr>
                <w:rFonts w:ascii="Arial" w:eastAsia="Calibri" w:hAnsi="Arial" w:cs="Arial"/>
                <w:bCs/>
                <w:kern w:val="1"/>
                <w:sz w:val="24"/>
                <w:szCs w:val="24"/>
                <w:lang w:bidi="ar-SA"/>
              </w:rPr>
              <w:t>Prodávající:</w:t>
            </w:r>
          </w:p>
        </w:tc>
        <w:tc>
          <w:tcPr>
            <w:tcW w:w="1843"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p>
        </w:tc>
        <w:tc>
          <w:tcPr>
            <w:tcW w:w="3544"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r w:rsidRPr="006052EE">
              <w:rPr>
                <w:rFonts w:ascii="Arial" w:eastAsia="Calibri" w:hAnsi="Arial" w:cs="Arial"/>
                <w:bCs/>
                <w:kern w:val="1"/>
                <w:sz w:val="24"/>
                <w:szCs w:val="24"/>
                <w:lang w:bidi="ar-SA"/>
              </w:rPr>
              <w:t>Kupující:</w:t>
            </w:r>
          </w:p>
        </w:tc>
      </w:tr>
      <w:tr w:rsidR="0072401C" w:rsidRPr="006052EE" w:rsidTr="000B5E26">
        <w:trPr>
          <w:trHeight w:val="1855"/>
        </w:trPr>
        <w:tc>
          <w:tcPr>
            <w:tcW w:w="3544" w:type="dxa"/>
            <w:tcBorders>
              <w:bottom w:val="single" w:sz="4" w:space="0" w:color="auto"/>
            </w:tcBorders>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p>
        </w:tc>
        <w:tc>
          <w:tcPr>
            <w:tcW w:w="1843" w:type="dxa"/>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p>
        </w:tc>
        <w:tc>
          <w:tcPr>
            <w:tcW w:w="3544" w:type="dxa"/>
            <w:tcBorders>
              <w:bottom w:val="single" w:sz="4" w:space="0" w:color="auto"/>
            </w:tcBorders>
          </w:tcPr>
          <w:p w:rsidR="0072401C" w:rsidRPr="006052EE" w:rsidRDefault="0072401C" w:rsidP="000B5E26">
            <w:pPr>
              <w:widowControl w:val="0"/>
              <w:suppressAutoHyphens/>
              <w:spacing w:after="240"/>
              <w:ind w:firstLine="0"/>
              <w:rPr>
                <w:rFonts w:ascii="Arial" w:eastAsia="Calibri" w:hAnsi="Arial" w:cs="Arial"/>
                <w:bCs/>
                <w:kern w:val="1"/>
                <w:sz w:val="24"/>
                <w:szCs w:val="24"/>
                <w:lang w:bidi="ar-SA"/>
              </w:rPr>
            </w:pPr>
          </w:p>
        </w:tc>
      </w:tr>
      <w:tr w:rsidR="0072401C" w:rsidRPr="006052EE" w:rsidTr="000B5E26">
        <w:tc>
          <w:tcPr>
            <w:tcW w:w="3544" w:type="dxa"/>
            <w:tcBorders>
              <w:top w:val="single" w:sz="4" w:space="0" w:color="auto"/>
            </w:tcBorders>
          </w:tcPr>
          <w:p w:rsidR="0072401C" w:rsidRPr="006052EE" w:rsidRDefault="0072401C" w:rsidP="000B5E26">
            <w:pPr>
              <w:widowControl w:val="0"/>
              <w:suppressAutoHyphens/>
              <w:spacing w:after="240"/>
              <w:ind w:firstLine="0"/>
              <w:jc w:val="center"/>
              <w:rPr>
                <w:rFonts w:ascii="Arial" w:eastAsia="Calibri" w:hAnsi="Arial" w:cs="Arial"/>
                <w:bCs/>
                <w:kern w:val="1"/>
                <w:sz w:val="24"/>
                <w:szCs w:val="24"/>
                <w:lang w:bidi="ar-SA"/>
              </w:rPr>
            </w:pPr>
            <w:r>
              <w:rPr>
                <w:rFonts w:ascii="Arial" w:eastAsia="Calibri" w:hAnsi="Arial" w:cs="Arial"/>
                <w:bCs/>
                <w:kern w:val="1"/>
                <w:sz w:val="24"/>
                <w:szCs w:val="24"/>
                <w:lang w:bidi="ar-SA"/>
              </w:rPr>
              <w:t>Lukáš Bartoň</w:t>
            </w:r>
          </w:p>
        </w:tc>
        <w:tc>
          <w:tcPr>
            <w:tcW w:w="1843" w:type="dxa"/>
          </w:tcPr>
          <w:p w:rsidR="0072401C" w:rsidRPr="006052EE" w:rsidRDefault="0072401C" w:rsidP="000B5E26">
            <w:pPr>
              <w:widowControl w:val="0"/>
              <w:suppressAutoHyphens/>
              <w:spacing w:after="240"/>
              <w:ind w:firstLine="0"/>
              <w:jc w:val="center"/>
              <w:rPr>
                <w:rFonts w:ascii="Arial" w:eastAsia="Calibri" w:hAnsi="Arial" w:cs="Arial"/>
                <w:bCs/>
                <w:kern w:val="1"/>
                <w:sz w:val="24"/>
                <w:szCs w:val="24"/>
                <w:lang w:bidi="ar-SA"/>
              </w:rPr>
            </w:pPr>
          </w:p>
        </w:tc>
        <w:tc>
          <w:tcPr>
            <w:tcW w:w="3544" w:type="dxa"/>
            <w:tcBorders>
              <w:top w:val="single" w:sz="4" w:space="0" w:color="auto"/>
            </w:tcBorders>
          </w:tcPr>
          <w:p w:rsidR="0072401C" w:rsidRPr="006052EE" w:rsidRDefault="0072401C" w:rsidP="000B5E26">
            <w:pPr>
              <w:widowControl w:val="0"/>
              <w:suppressAutoHyphens/>
              <w:spacing w:after="240"/>
              <w:ind w:firstLine="0"/>
              <w:jc w:val="center"/>
              <w:rPr>
                <w:rFonts w:ascii="Arial" w:eastAsia="Calibri" w:hAnsi="Arial" w:cs="Arial"/>
                <w:bCs/>
                <w:kern w:val="1"/>
                <w:sz w:val="24"/>
                <w:szCs w:val="24"/>
                <w:lang w:bidi="ar-SA"/>
              </w:rPr>
            </w:pPr>
            <w:r w:rsidRPr="006052EE">
              <w:rPr>
                <w:rFonts w:ascii="Arial" w:eastAsia="Calibri" w:hAnsi="Arial" w:cs="Arial"/>
                <w:bCs/>
                <w:kern w:val="1"/>
                <w:sz w:val="24"/>
                <w:szCs w:val="24"/>
                <w:lang w:bidi="ar-SA"/>
              </w:rPr>
              <w:t xml:space="preserve">Ing. Vladislava </w:t>
            </w:r>
            <w:proofErr w:type="spellStart"/>
            <w:r w:rsidRPr="006052EE">
              <w:rPr>
                <w:rFonts w:ascii="Arial" w:eastAsia="Calibri" w:hAnsi="Arial" w:cs="Arial"/>
                <w:bCs/>
                <w:kern w:val="1"/>
                <w:sz w:val="24"/>
                <w:szCs w:val="24"/>
                <w:lang w:bidi="ar-SA"/>
              </w:rPr>
              <w:t>Hujová</w:t>
            </w:r>
            <w:proofErr w:type="spellEnd"/>
          </w:p>
        </w:tc>
      </w:tr>
      <w:tr w:rsidR="0072401C" w:rsidRPr="006052EE" w:rsidTr="000B5E26">
        <w:tc>
          <w:tcPr>
            <w:tcW w:w="3544" w:type="dxa"/>
          </w:tcPr>
          <w:p w:rsidR="0072401C" w:rsidRPr="006052EE" w:rsidRDefault="0072401C" w:rsidP="000B5E26">
            <w:pPr>
              <w:spacing w:after="60"/>
              <w:ind w:firstLine="0"/>
              <w:jc w:val="center"/>
              <w:rPr>
                <w:rFonts w:ascii="Arial" w:eastAsia="Times New Roman" w:hAnsi="Arial" w:cs="Arial"/>
                <w:sz w:val="24"/>
                <w:szCs w:val="24"/>
                <w:lang w:bidi="ar-SA"/>
              </w:rPr>
            </w:pPr>
            <w:r>
              <w:rPr>
                <w:rFonts w:ascii="Arial" w:eastAsia="Times New Roman" w:hAnsi="Arial" w:cs="Arial"/>
                <w:sz w:val="24"/>
                <w:szCs w:val="24"/>
                <w:lang w:bidi="ar-SA"/>
              </w:rPr>
              <w:t>jednatel společnosti</w:t>
            </w:r>
          </w:p>
        </w:tc>
        <w:tc>
          <w:tcPr>
            <w:tcW w:w="1843" w:type="dxa"/>
          </w:tcPr>
          <w:p w:rsidR="0072401C" w:rsidRPr="006052EE" w:rsidRDefault="0072401C" w:rsidP="000B5E26">
            <w:pPr>
              <w:spacing w:after="60"/>
              <w:ind w:firstLine="0"/>
              <w:jc w:val="center"/>
              <w:rPr>
                <w:rFonts w:ascii="Arial" w:eastAsia="Times New Roman" w:hAnsi="Arial" w:cs="Arial"/>
                <w:sz w:val="24"/>
                <w:szCs w:val="24"/>
                <w:lang w:bidi="ar-SA"/>
              </w:rPr>
            </w:pPr>
          </w:p>
        </w:tc>
        <w:tc>
          <w:tcPr>
            <w:tcW w:w="3544" w:type="dxa"/>
          </w:tcPr>
          <w:p w:rsidR="0072401C" w:rsidRPr="006052EE" w:rsidRDefault="0072401C" w:rsidP="000B5E26">
            <w:pPr>
              <w:spacing w:after="60"/>
              <w:ind w:firstLine="0"/>
              <w:jc w:val="center"/>
              <w:rPr>
                <w:rFonts w:ascii="Arial" w:eastAsia="Times New Roman" w:hAnsi="Arial" w:cs="Arial"/>
                <w:sz w:val="24"/>
                <w:szCs w:val="24"/>
                <w:lang w:bidi="ar-SA"/>
              </w:rPr>
            </w:pPr>
            <w:r w:rsidRPr="006052EE">
              <w:rPr>
                <w:rFonts w:ascii="Arial" w:eastAsia="Times New Roman" w:hAnsi="Arial" w:cs="Arial"/>
                <w:sz w:val="24"/>
                <w:szCs w:val="24"/>
                <w:lang w:bidi="ar-SA"/>
              </w:rPr>
              <w:t>starostka městské části</w:t>
            </w:r>
          </w:p>
        </w:tc>
      </w:tr>
    </w:tbl>
    <w:p w:rsidR="0072401C" w:rsidRPr="006052EE" w:rsidRDefault="0072401C" w:rsidP="0072401C">
      <w:pPr>
        <w:widowControl w:val="0"/>
        <w:suppressAutoHyphens/>
        <w:spacing w:after="240"/>
        <w:ind w:left="567" w:hanging="567"/>
        <w:rPr>
          <w:rFonts w:ascii="Arial" w:eastAsia="Calibri" w:hAnsi="Arial" w:cs="Arial"/>
          <w:bCs/>
          <w:kern w:val="1"/>
          <w:sz w:val="24"/>
          <w:szCs w:val="24"/>
          <w:u w:val="single"/>
          <w:lang w:eastAsia="cs-CZ" w:bidi="ar-SA"/>
        </w:rPr>
      </w:pPr>
      <w:r w:rsidRPr="006052EE">
        <w:rPr>
          <w:rFonts w:ascii="Arial" w:eastAsia="Calibri" w:hAnsi="Arial" w:cs="Arial"/>
          <w:bCs/>
          <w:kern w:val="1"/>
          <w:sz w:val="24"/>
          <w:szCs w:val="24"/>
          <w:u w:val="single"/>
          <w:lang w:eastAsia="cs-CZ" w:bidi="ar-SA"/>
        </w:rPr>
        <w:br w:type="page"/>
        <w:t>Příloha č. 1 – Technická specifikace zboží</w:t>
      </w:r>
    </w:p>
    <w:p w:rsidR="0072401C" w:rsidRPr="006052EE" w:rsidRDefault="0072401C" w:rsidP="0072401C">
      <w:pPr>
        <w:widowControl w:val="0"/>
        <w:suppressAutoHyphens/>
        <w:spacing w:after="0"/>
        <w:ind w:firstLine="0"/>
        <w:rPr>
          <w:rFonts w:ascii="Arial" w:eastAsia="Calibri" w:hAnsi="Arial" w:cs="Arial"/>
          <w:kern w:val="1"/>
          <w:sz w:val="24"/>
          <w:szCs w:val="24"/>
          <w:lang w:eastAsia="cs-CZ" w:bidi="ar-SA"/>
        </w:rPr>
      </w:pP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Specifikace SAN </w:t>
      </w:r>
      <w:proofErr w:type="spellStart"/>
      <w:r w:rsidRPr="006052EE">
        <w:rPr>
          <w:rFonts w:ascii="Arial" w:eastAsia="Calibri" w:hAnsi="Arial" w:cs="Arial"/>
          <w:kern w:val="1"/>
          <w:sz w:val="24"/>
          <w:szCs w:val="24"/>
          <w:lang w:eastAsia="cs-CZ" w:bidi="ar-SA"/>
        </w:rPr>
        <w:t>Switchů</w:t>
      </w:r>
      <w:proofErr w:type="spellEnd"/>
      <w:r w:rsidRPr="006052EE">
        <w:rPr>
          <w:rFonts w:ascii="Arial" w:eastAsia="Calibri" w:hAnsi="Arial" w:cs="Arial"/>
          <w:kern w:val="1"/>
          <w:sz w:val="24"/>
          <w:szCs w:val="24"/>
          <w:lang w:eastAsia="cs-CZ" w:bidi="ar-SA"/>
        </w:rPr>
        <w:t>:</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 xml:space="preserve">2x SAN </w:t>
      </w:r>
      <w:proofErr w:type="spellStart"/>
      <w:r w:rsidRPr="006052EE">
        <w:rPr>
          <w:rFonts w:ascii="Arial" w:eastAsia="Calibri" w:hAnsi="Arial" w:cs="Arial"/>
          <w:kern w:val="1"/>
          <w:sz w:val="24"/>
          <w:szCs w:val="24"/>
          <w:lang w:eastAsia="cs-CZ" w:bidi="ar-SA"/>
        </w:rPr>
        <w:t>switch</w:t>
      </w:r>
      <w:proofErr w:type="spellEnd"/>
      <w:r w:rsidRPr="006052EE">
        <w:rPr>
          <w:rFonts w:ascii="Arial" w:eastAsia="Calibri" w:hAnsi="Arial" w:cs="Arial"/>
          <w:kern w:val="1"/>
          <w:sz w:val="24"/>
          <w:szCs w:val="24"/>
          <w:lang w:eastAsia="cs-CZ" w:bidi="ar-SA"/>
        </w:rPr>
        <w:t xml:space="preserve"> o parametrech:</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Minimálně 24 portů podporujících rychlosti 16Gb/s, 8Gb/s a 4Gb/s</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Redundantní napájecí zdroje (minimum dva (2))</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Minimálně 16x 16Gbit SFP+ transceiver</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Minimálně 16x OM4 kabel s délkou 5m</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 xml:space="preserve">Licence pro e-porty (Full </w:t>
      </w:r>
      <w:proofErr w:type="spellStart"/>
      <w:r w:rsidRPr="006052EE">
        <w:rPr>
          <w:rFonts w:ascii="Arial" w:eastAsia="Calibri" w:hAnsi="Arial" w:cs="Arial"/>
          <w:kern w:val="1"/>
          <w:sz w:val="24"/>
          <w:szCs w:val="24"/>
          <w:lang w:eastAsia="cs-CZ" w:bidi="ar-SA"/>
        </w:rPr>
        <w:t>Fabric</w:t>
      </w:r>
      <w:proofErr w:type="spellEnd"/>
      <w:r w:rsidRPr="006052EE">
        <w:rPr>
          <w:rFonts w:ascii="Arial" w:eastAsia="Calibri" w:hAnsi="Arial" w:cs="Arial"/>
          <w:kern w:val="1"/>
          <w:sz w:val="24"/>
          <w:szCs w:val="24"/>
          <w:lang w:eastAsia="cs-CZ" w:bidi="ar-SA"/>
        </w:rPr>
        <w:t xml:space="preserve">) na všech 24 portů </w:t>
      </w:r>
      <w:proofErr w:type="spellStart"/>
      <w:r w:rsidRPr="006052EE">
        <w:rPr>
          <w:rFonts w:ascii="Arial" w:eastAsia="Calibri" w:hAnsi="Arial" w:cs="Arial"/>
          <w:kern w:val="1"/>
          <w:sz w:val="24"/>
          <w:szCs w:val="24"/>
          <w:lang w:eastAsia="cs-CZ" w:bidi="ar-SA"/>
        </w:rPr>
        <w:t>switche</w:t>
      </w:r>
      <w:proofErr w:type="spellEnd"/>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Licence na SW komponenty pro funkce:</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Monitorovací nástroj založený na  zásadách, který funguje pomocí předpřipravených pravidel a automatizace, která zjednodušuje prahovou konfiguraci a monitorování celé SAN infrastruktury.</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Komplexní nástroj, který umožňuje správcům identifikovat, monitorovat a analyzovat konkrétní proudy aplikačních dat, aby byl zajištěn optimalizovaný výkon.</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Jedna přizpůsobitelná obrazovka ve spolupráci se SAN Network </w:t>
      </w:r>
      <w:proofErr w:type="spellStart"/>
      <w:r w:rsidRPr="006052EE">
        <w:rPr>
          <w:rFonts w:ascii="Arial" w:eastAsia="Times New Roman" w:hAnsi="Arial" w:cs="Arial"/>
          <w:kern w:val="1"/>
          <w:sz w:val="24"/>
          <w:szCs w:val="24"/>
          <w:lang w:eastAsia="cs-CZ" w:bidi="ar-SA"/>
        </w:rPr>
        <w:t>Advisorem</w:t>
      </w:r>
      <w:proofErr w:type="spellEnd"/>
      <w:r w:rsidRPr="006052EE">
        <w:rPr>
          <w:rFonts w:ascii="Arial" w:eastAsia="Times New Roman" w:hAnsi="Arial" w:cs="Arial"/>
          <w:kern w:val="1"/>
          <w:sz w:val="24"/>
          <w:szCs w:val="24"/>
          <w:lang w:eastAsia="cs-CZ" w:bidi="ar-SA"/>
        </w:rPr>
        <w:t>, který obsahuje všechny důležité informace o SAN pro pohodlné revizi a analýzu.</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 xml:space="preserve">Podpora od výrobce </w:t>
      </w:r>
      <w:proofErr w:type="spellStart"/>
      <w:r w:rsidRPr="006052EE">
        <w:rPr>
          <w:rFonts w:ascii="Arial" w:eastAsia="Calibri" w:hAnsi="Arial" w:cs="Arial"/>
          <w:kern w:val="1"/>
          <w:sz w:val="24"/>
          <w:szCs w:val="24"/>
          <w:lang w:eastAsia="cs-CZ" w:bidi="ar-SA"/>
        </w:rPr>
        <w:t>switche</w:t>
      </w:r>
      <w:proofErr w:type="spellEnd"/>
      <w:r w:rsidRPr="006052EE">
        <w:rPr>
          <w:rFonts w:ascii="Arial" w:eastAsia="Calibri" w:hAnsi="Arial" w:cs="Arial"/>
          <w:kern w:val="1"/>
          <w:sz w:val="24"/>
          <w:szCs w:val="24"/>
          <w:lang w:eastAsia="cs-CZ" w:bidi="ar-SA"/>
        </w:rPr>
        <w:t xml:space="preserve"> 3 roky s reakcí do 4 hodin od nahlášení 24x7</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Specifikace RACKU a jeho příslušenství:</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1x RACK o parametrech:</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Volně stojící</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Výška 42U</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Šířka 60cm</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Hloubka 107cm</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Dynamická zátěž minimálně 800Kg</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Perforované přední a zadní dveře</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Kabelový management pro servery</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Kompatibilní s dodávanými napájecími lištami (PDU)</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2x Napájecí lišta (PDU) o parametrech:</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Kompatibilní se stávajícími napájecími a záložními systémy APC</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Napájení (Vstup) 230V 16A, typ připojení IEC-320 C20</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21x Výstup napájení IEC-320 C13</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3x Výstup napájení IEC-320 C19</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proofErr w:type="spellStart"/>
      <w:r w:rsidRPr="006052EE">
        <w:rPr>
          <w:rFonts w:ascii="Arial" w:eastAsia="Times New Roman" w:hAnsi="Arial" w:cs="Arial"/>
          <w:kern w:val="1"/>
          <w:sz w:val="24"/>
          <w:szCs w:val="24"/>
          <w:lang w:eastAsia="cs-CZ" w:bidi="ar-SA"/>
        </w:rPr>
        <w:t>Spravovatelné</w:t>
      </w:r>
      <w:proofErr w:type="spellEnd"/>
      <w:r w:rsidRPr="006052EE">
        <w:rPr>
          <w:rFonts w:ascii="Arial" w:eastAsia="Times New Roman" w:hAnsi="Arial" w:cs="Arial"/>
          <w:kern w:val="1"/>
          <w:sz w:val="24"/>
          <w:szCs w:val="24"/>
          <w:lang w:eastAsia="cs-CZ" w:bidi="ar-SA"/>
        </w:rPr>
        <w:t xml:space="preserve"> zapínání/vypínání výstupů pomocí management rozhraní</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Správa pomocí </w:t>
      </w:r>
      <w:proofErr w:type="spellStart"/>
      <w:r w:rsidRPr="006052EE">
        <w:rPr>
          <w:rFonts w:ascii="Arial" w:eastAsia="Times New Roman" w:hAnsi="Arial" w:cs="Arial"/>
          <w:kern w:val="1"/>
          <w:sz w:val="24"/>
          <w:szCs w:val="24"/>
          <w:lang w:eastAsia="cs-CZ" w:bidi="ar-SA"/>
        </w:rPr>
        <w:t>ethernet</w:t>
      </w:r>
      <w:proofErr w:type="spellEnd"/>
      <w:r w:rsidRPr="006052EE">
        <w:rPr>
          <w:rFonts w:ascii="Arial" w:eastAsia="Times New Roman" w:hAnsi="Arial" w:cs="Arial"/>
          <w:kern w:val="1"/>
          <w:sz w:val="24"/>
          <w:szCs w:val="24"/>
          <w:lang w:eastAsia="cs-CZ" w:bidi="ar-SA"/>
        </w:rPr>
        <w:t xml:space="preserve"> rozhraní RJ45 (Web, SNMP)</w:t>
      </w:r>
    </w:p>
    <w:p w:rsidR="0072401C" w:rsidRPr="006052EE" w:rsidRDefault="0072401C" w:rsidP="0072401C">
      <w:pPr>
        <w:widowControl w:val="0"/>
        <w:numPr>
          <w:ilvl w:val="0"/>
          <w:numId w:val="4"/>
        </w:numPr>
        <w:suppressAutoHyphens/>
        <w:spacing w:after="0"/>
        <w:jc w:val="left"/>
        <w:rPr>
          <w:rFonts w:ascii="Arial" w:eastAsia="Times New Roman" w:hAnsi="Arial" w:cs="Arial"/>
          <w:kern w:val="1"/>
          <w:sz w:val="24"/>
          <w:szCs w:val="24"/>
          <w:lang w:eastAsia="cs-CZ" w:bidi="ar-SA"/>
        </w:rPr>
      </w:pPr>
      <w:r w:rsidRPr="006052EE">
        <w:rPr>
          <w:rFonts w:ascii="Arial" w:eastAsia="Times New Roman" w:hAnsi="Arial" w:cs="Arial"/>
          <w:kern w:val="1"/>
          <w:sz w:val="24"/>
          <w:szCs w:val="24"/>
          <w:lang w:eastAsia="cs-CZ" w:bidi="ar-SA"/>
        </w:rPr>
        <w:t xml:space="preserve">Montáž na vnitřní bok </w:t>
      </w:r>
      <w:proofErr w:type="spellStart"/>
      <w:r w:rsidRPr="006052EE">
        <w:rPr>
          <w:rFonts w:ascii="Arial" w:eastAsia="Times New Roman" w:hAnsi="Arial" w:cs="Arial"/>
          <w:kern w:val="1"/>
          <w:sz w:val="24"/>
          <w:szCs w:val="24"/>
          <w:lang w:eastAsia="cs-CZ" w:bidi="ar-SA"/>
        </w:rPr>
        <w:t>RACKu</w:t>
      </w:r>
      <w:proofErr w:type="spellEnd"/>
      <w:r w:rsidRPr="006052EE">
        <w:rPr>
          <w:rFonts w:ascii="Arial" w:eastAsia="Times New Roman" w:hAnsi="Arial" w:cs="Arial"/>
          <w:kern w:val="1"/>
          <w:sz w:val="24"/>
          <w:szCs w:val="24"/>
          <w:lang w:eastAsia="cs-CZ" w:bidi="ar-SA"/>
        </w:rPr>
        <w:t xml:space="preserve"> </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Požadované služby:</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 xml:space="preserve">Instalace </w:t>
      </w:r>
      <w:proofErr w:type="spellStart"/>
      <w:r w:rsidRPr="006052EE">
        <w:rPr>
          <w:rFonts w:ascii="Arial" w:eastAsia="Calibri" w:hAnsi="Arial" w:cs="Arial"/>
          <w:kern w:val="1"/>
          <w:sz w:val="24"/>
          <w:szCs w:val="24"/>
          <w:lang w:eastAsia="cs-CZ" w:bidi="ar-SA"/>
        </w:rPr>
        <w:t>RACKu</w:t>
      </w:r>
      <w:proofErr w:type="spellEnd"/>
      <w:r w:rsidRPr="006052EE">
        <w:rPr>
          <w:rFonts w:ascii="Arial" w:eastAsia="Calibri" w:hAnsi="Arial" w:cs="Arial"/>
          <w:kern w:val="1"/>
          <w:sz w:val="24"/>
          <w:szCs w:val="24"/>
          <w:lang w:eastAsia="cs-CZ" w:bidi="ar-SA"/>
        </w:rPr>
        <w:t xml:space="preserve"> v prostorách zadavatele</w:t>
      </w:r>
    </w:p>
    <w:p w:rsidR="0072401C" w:rsidRPr="006052EE" w:rsidRDefault="0072401C" w:rsidP="0072401C">
      <w:pPr>
        <w:widowControl w:val="0"/>
        <w:suppressAutoHyphens/>
        <w:spacing w:after="0"/>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 xml:space="preserve">Instalace PDU do </w:t>
      </w:r>
      <w:proofErr w:type="spellStart"/>
      <w:proofErr w:type="gramStart"/>
      <w:r w:rsidRPr="006052EE">
        <w:rPr>
          <w:rFonts w:ascii="Arial" w:eastAsia="Calibri" w:hAnsi="Arial" w:cs="Arial"/>
          <w:kern w:val="1"/>
          <w:sz w:val="24"/>
          <w:szCs w:val="24"/>
          <w:lang w:eastAsia="cs-CZ" w:bidi="ar-SA"/>
        </w:rPr>
        <w:t>RACKu</w:t>
      </w:r>
      <w:proofErr w:type="spellEnd"/>
      <w:proofErr w:type="gramEnd"/>
    </w:p>
    <w:p w:rsidR="0072401C" w:rsidRPr="006052EE" w:rsidRDefault="0072401C" w:rsidP="0072401C">
      <w:pPr>
        <w:widowControl w:val="0"/>
        <w:suppressAutoHyphens/>
        <w:spacing w:after="0"/>
        <w:ind w:left="705" w:hanging="705"/>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t>•</w:t>
      </w:r>
      <w:r w:rsidRPr="006052EE">
        <w:rPr>
          <w:rFonts w:ascii="Arial" w:eastAsia="Calibri" w:hAnsi="Arial" w:cs="Arial"/>
          <w:kern w:val="1"/>
          <w:sz w:val="24"/>
          <w:szCs w:val="24"/>
          <w:lang w:eastAsia="cs-CZ" w:bidi="ar-SA"/>
        </w:rPr>
        <w:tab/>
        <w:t xml:space="preserve">Instalace SAN </w:t>
      </w:r>
      <w:proofErr w:type="spellStart"/>
      <w:r w:rsidRPr="006052EE">
        <w:rPr>
          <w:rFonts w:ascii="Arial" w:eastAsia="Calibri" w:hAnsi="Arial" w:cs="Arial"/>
          <w:kern w:val="1"/>
          <w:sz w:val="24"/>
          <w:szCs w:val="24"/>
          <w:lang w:eastAsia="cs-CZ" w:bidi="ar-SA"/>
        </w:rPr>
        <w:t>switchů</w:t>
      </w:r>
      <w:proofErr w:type="spellEnd"/>
      <w:r w:rsidRPr="006052EE">
        <w:rPr>
          <w:rFonts w:ascii="Arial" w:eastAsia="Calibri" w:hAnsi="Arial" w:cs="Arial"/>
          <w:kern w:val="1"/>
          <w:sz w:val="24"/>
          <w:szCs w:val="24"/>
          <w:lang w:eastAsia="cs-CZ" w:bidi="ar-SA"/>
        </w:rPr>
        <w:t xml:space="preserve"> a nahrazení stávajících SAN </w:t>
      </w:r>
      <w:proofErr w:type="spellStart"/>
      <w:r w:rsidRPr="006052EE">
        <w:rPr>
          <w:rFonts w:ascii="Arial" w:eastAsia="Calibri" w:hAnsi="Arial" w:cs="Arial"/>
          <w:kern w:val="1"/>
          <w:sz w:val="24"/>
          <w:szCs w:val="24"/>
          <w:lang w:eastAsia="cs-CZ" w:bidi="ar-SA"/>
        </w:rPr>
        <w:t>switchů</w:t>
      </w:r>
      <w:proofErr w:type="spellEnd"/>
      <w:r w:rsidRPr="006052EE">
        <w:rPr>
          <w:rFonts w:ascii="Arial" w:eastAsia="Calibri" w:hAnsi="Arial" w:cs="Arial"/>
          <w:kern w:val="1"/>
          <w:sz w:val="24"/>
          <w:szCs w:val="24"/>
          <w:lang w:eastAsia="cs-CZ" w:bidi="ar-SA"/>
        </w:rPr>
        <w:t xml:space="preserve"> IBM 2498-B24, včetně přenosu konfigurace ze stávajících SAN </w:t>
      </w:r>
      <w:proofErr w:type="spellStart"/>
      <w:r w:rsidRPr="006052EE">
        <w:rPr>
          <w:rFonts w:ascii="Arial" w:eastAsia="Calibri" w:hAnsi="Arial" w:cs="Arial"/>
          <w:kern w:val="1"/>
          <w:sz w:val="24"/>
          <w:szCs w:val="24"/>
          <w:lang w:eastAsia="cs-CZ" w:bidi="ar-SA"/>
        </w:rPr>
        <w:t>switchů</w:t>
      </w:r>
      <w:proofErr w:type="spellEnd"/>
      <w:r w:rsidRPr="006052EE">
        <w:rPr>
          <w:rFonts w:ascii="Arial" w:eastAsia="Calibri" w:hAnsi="Arial" w:cs="Arial"/>
          <w:kern w:val="1"/>
          <w:sz w:val="24"/>
          <w:szCs w:val="24"/>
          <w:lang w:eastAsia="cs-CZ" w:bidi="ar-SA"/>
        </w:rPr>
        <w:t>.</w:t>
      </w:r>
    </w:p>
    <w:p w:rsidR="0072401C" w:rsidRPr="006052EE" w:rsidRDefault="0072401C" w:rsidP="0072401C">
      <w:pPr>
        <w:spacing w:after="200" w:line="276" w:lineRule="auto"/>
        <w:ind w:firstLine="0"/>
        <w:jc w:val="left"/>
        <w:rPr>
          <w:rFonts w:ascii="Arial" w:eastAsia="Calibri" w:hAnsi="Arial" w:cs="Arial"/>
          <w:kern w:val="1"/>
          <w:sz w:val="24"/>
          <w:szCs w:val="24"/>
          <w:lang w:eastAsia="cs-CZ" w:bidi="ar-SA"/>
        </w:rPr>
      </w:pPr>
      <w:r w:rsidRPr="006052EE">
        <w:rPr>
          <w:rFonts w:ascii="Arial" w:eastAsia="Calibri" w:hAnsi="Arial" w:cs="Arial"/>
          <w:kern w:val="1"/>
          <w:sz w:val="24"/>
          <w:szCs w:val="24"/>
          <w:lang w:eastAsia="cs-CZ" w:bidi="ar-SA"/>
        </w:rPr>
        <w:br w:type="page"/>
      </w:r>
    </w:p>
    <w:p w:rsidR="0072401C" w:rsidRPr="006052EE" w:rsidRDefault="0072401C" w:rsidP="0072401C">
      <w:pPr>
        <w:widowControl w:val="0"/>
        <w:suppressAutoHyphens/>
        <w:spacing w:after="0"/>
        <w:ind w:left="705" w:hanging="705"/>
        <w:jc w:val="left"/>
        <w:rPr>
          <w:rFonts w:ascii="Arial" w:eastAsia="Calibri" w:hAnsi="Arial" w:cs="Arial"/>
          <w:kern w:val="1"/>
          <w:sz w:val="24"/>
          <w:szCs w:val="24"/>
          <w:u w:val="single"/>
          <w:lang w:eastAsia="cs-CZ" w:bidi="ar-SA"/>
        </w:rPr>
      </w:pPr>
      <w:r w:rsidRPr="006052EE">
        <w:rPr>
          <w:rFonts w:ascii="Arial" w:eastAsia="Calibri" w:hAnsi="Arial" w:cs="Arial"/>
          <w:kern w:val="1"/>
          <w:sz w:val="24"/>
          <w:szCs w:val="24"/>
          <w:u w:val="single"/>
          <w:lang w:eastAsia="cs-CZ" w:bidi="ar-SA"/>
        </w:rPr>
        <w:t>Příloha č. 2 - Nabídka Prodávajícího v rozsahu části, která technicky popisuje Zboží</w:t>
      </w:r>
    </w:p>
    <w:p w:rsidR="0072401C" w:rsidRDefault="0072401C" w:rsidP="0072401C">
      <w:pPr>
        <w:spacing w:after="200" w:line="276" w:lineRule="auto"/>
        <w:ind w:firstLine="0"/>
        <w:jc w:val="left"/>
        <w:rPr>
          <w:rFonts w:ascii="Arial" w:eastAsia="Calibri" w:hAnsi="Arial" w:cs="Arial"/>
          <w:kern w:val="1"/>
          <w:sz w:val="24"/>
          <w:szCs w:val="24"/>
          <w:u w:val="single"/>
          <w:lang w:eastAsia="cs-CZ" w:bidi="ar-SA"/>
        </w:rPr>
      </w:pPr>
    </w:p>
    <w:p w:rsidR="0072401C" w:rsidRDefault="0072401C" w:rsidP="0072401C">
      <w:pPr>
        <w:spacing w:after="200" w:line="276" w:lineRule="auto"/>
        <w:ind w:firstLine="0"/>
        <w:jc w:val="left"/>
        <w:rPr>
          <w:rFonts w:ascii="Arial" w:eastAsia="Calibri" w:hAnsi="Arial" w:cs="Arial"/>
          <w:kern w:val="1"/>
          <w:sz w:val="24"/>
          <w:szCs w:val="24"/>
          <w:u w:val="single"/>
          <w:lang w:eastAsia="cs-CZ" w:bidi="ar-SA"/>
        </w:rPr>
      </w:pPr>
    </w:p>
    <w:tbl>
      <w:tblPr>
        <w:tblW w:w="5000" w:type="pct"/>
        <w:tblCellMar>
          <w:left w:w="70" w:type="dxa"/>
          <w:right w:w="70" w:type="dxa"/>
        </w:tblCellMar>
        <w:tblLook w:val="04A0" w:firstRow="1" w:lastRow="0" w:firstColumn="1" w:lastColumn="0" w:noHBand="0" w:noVBand="1"/>
      </w:tblPr>
      <w:tblGrid>
        <w:gridCol w:w="7646"/>
        <w:gridCol w:w="760"/>
        <w:gridCol w:w="646"/>
      </w:tblGrid>
      <w:tr w:rsidR="0072401C" w:rsidRPr="00D56CE4" w:rsidTr="000B5E26">
        <w:trPr>
          <w:trHeight w:val="315"/>
        </w:trPr>
        <w:tc>
          <w:tcPr>
            <w:tcW w:w="4223" w:type="pct"/>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Popis</w:t>
            </w:r>
          </w:p>
        </w:tc>
        <w:tc>
          <w:tcPr>
            <w:tcW w:w="777" w:type="pct"/>
            <w:gridSpan w:val="2"/>
            <w:tcBorders>
              <w:top w:val="single" w:sz="8" w:space="0" w:color="auto"/>
              <w:left w:val="nil"/>
              <w:bottom w:val="single" w:sz="4" w:space="0" w:color="auto"/>
              <w:right w:val="single" w:sz="8" w:space="0" w:color="000000"/>
            </w:tcBorders>
            <w:shd w:val="clear" w:color="000000" w:fill="BFBFBF"/>
            <w:noWrap/>
            <w:vAlign w:val="bottom"/>
            <w:hideMark/>
          </w:tcPr>
          <w:p w:rsidR="0072401C" w:rsidRPr="00D56CE4" w:rsidRDefault="0072401C" w:rsidP="000B5E26">
            <w:pPr>
              <w:spacing w:after="0"/>
              <w:ind w:firstLine="0"/>
              <w:jc w:val="center"/>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MJ</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HPE SN3000B 24/12 FC </w:t>
            </w:r>
            <w:proofErr w:type="spellStart"/>
            <w:r w:rsidRPr="00D56CE4">
              <w:rPr>
                <w:rFonts w:ascii="Calibri" w:eastAsia="Times New Roman" w:hAnsi="Calibri" w:cs="Times New Roman"/>
                <w:color w:val="000000"/>
                <w:szCs w:val="22"/>
                <w:lang w:eastAsia="cs-CZ" w:bidi="ar-SA"/>
              </w:rPr>
              <w:t>Switch</w:t>
            </w:r>
            <w:proofErr w:type="spellEnd"/>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2.4m </w:t>
            </w:r>
            <w:proofErr w:type="spellStart"/>
            <w:r w:rsidRPr="00D56CE4">
              <w:rPr>
                <w:rFonts w:ascii="Calibri" w:eastAsia="Times New Roman" w:hAnsi="Calibri" w:cs="Times New Roman"/>
                <w:color w:val="000000"/>
                <w:szCs w:val="22"/>
                <w:lang w:eastAsia="cs-CZ" w:bidi="ar-SA"/>
              </w:rPr>
              <w:t>Jumper</w:t>
            </w:r>
            <w:proofErr w:type="spellEnd"/>
            <w:r w:rsidRPr="00D56CE4">
              <w:rPr>
                <w:rFonts w:ascii="Calibri" w:eastAsia="Times New Roman" w:hAnsi="Calibri" w:cs="Times New Roman"/>
                <w:color w:val="000000"/>
                <w:szCs w:val="22"/>
                <w:lang w:eastAsia="cs-CZ" w:bidi="ar-SA"/>
              </w:rPr>
              <w:t xml:space="preserve"> (IEC320 C13/C14, M/F CEE 22)</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HPE B-</w:t>
            </w:r>
            <w:proofErr w:type="spellStart"/>
            <w:r w:rsidRPr="00D56CE4">
              <w:rPr>
                <w:rFonts w:ascii="Calibri" w:eastAsia="Times New Roman" w:hAnsi="Calibri" w:cs="Times New Roman"/>
                <w:color w:val="000000"/>
                <w:szCs w:val="22"/>
                <w:lang w:eastAsia="cs-CZ" w:bidi="ar-SA"/>
              </w:rPr>
              <w:t>series</w:t>
            </w:r>
            <w:proofErr w:type="spellEnd"/>
            <w:r w:rsidRPr="00D56CE4">
              <w:rPr>
                <w:rFonts w:ascii="Calibri" w:eastAsia="Times New Roman" w:hAnsi="Calibri" w:cs="Times New Roman"/>
                <w:color w:val="000000"/>
                <w:szCs w:val="22"/>
                <w:lang w:eastAsia="cs-CZ" w:bidi="ar-SA"/>
              </w:rPr>
              <w:t xml:space="preserve"> 16Gb SFP+SW XCVR</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32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HPE 3Y FC 24x7 8/8 and 8/24 </w:t>
            </w:r>
            <w:proofErr w:type="spellStart"/>
            <w:r w:rsidRPr="00D56CE4">
              <w:rPr>
                <w:rFonts w:ascii="Calibri" w:eastAsia="Times New Roman" w:hAnsi="Calibri" w:cs="Times New Roman"/>
                <w:color w:val="000000"/>
                <w:szCs w:val="22"/>
                <w:lang w:eastAsia="cs-CZ" w:bidi="ar-SA"/>
              </w:rPr>
              <w:t>Swtch</w:t>
            </w:r>
            <w:proofErr w:type="spellEnd"/>
            <w:r w:rsidRPr="00D56CE4">
              <w:rPr>
                <w:rFonts w:ascii="Calibri" w:eastAsia="Times New Roman" w:hAnsi="Calibri" w:cs="Times New Roman"/>
                <w:color w:val="000000"/>
                <w:szCs w:val="22"/>
                <w:lang w:eastAsia="cs-CZ" w:bidi="ar-SA"/>
              </w:rPr>
              <w:t xml:space="preserve"> SVC</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HPE B-</w:t>
            </w:r>
            <w:proofErr w:type="spellStart"/>
            <w:r w:rsidRPr="00D56CE4">
              <w:rPr>
                <w:rFonts w:ascii="Calibri" w:eastAsia="Times New Roman" w:hAnsi="Calibri" w:cs="Times New Roman"/>
                <w:color w:val="000000"/>
                <w:szCs w:val="22"/>
                <w:lang w:eastAsia="cs-CZ" w:bidi="ar-SA"/>
              </w:rPr>
              <w:t>series</w:t>
            </w:r>
            <w:proofErr w:type="spellEnd"/>
            <w:r w:rsidRPr="00D56CE4">
              <w:rPr>
                <w:rFonts w:ascii="Calibri" w:eastAsia="Times New Roman" w:hAnsi="Calibri" w:cs="Times New Roman"/>
                <w:color w:val="000000"/>
                <w:szCs w:val="22"/>
                <w:lang w:eastAsia="cs-CZ" w:bidi="ar-SA"/>
              </w:rPr>
              <w:t xml:space="preserve"> 8-24 Port </w:t>
            </w:r>
            <w:proofErr w:type="spellStart"/>
            <w:r w:rsidRPr="00D56CE4">
              <w:rPr>
                <w:rFonts w:ascii="Calibri" w:eastAsia="Times New Roman" w:hAnsi="Calibri" w:cs="Times New Roman"/>
                <w:color w:val="000000"/>
                <w:szCs w:val="22"/>
                <w:lang w:eastAsia="cs-CZ" w:bidi="ar-SA"/>
              </w:rPr>
              <w:t>Pwr</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Pk</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Upg</w:t>
            </w:r>
            <w:proofErr w:type="spellEnd"/>
            <w:r w:rsidRPr="00D56CE4">
              <w:rPr>
                <w:rFonts w:ascii="Calibri" w:eastAsia="Times New Roman" w:hAnsi="Calibri" w:cs="Times New Roman"/>
                <w:color w:val="000000"/>
                <w:szCs w:val="22"/>
                <w:lang w:eastAsia="cs-CZ" w:bidi="ar-SA"/>
              </w:rPr>
              <w:t xml:space="preserve"> E-LTU</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HPE SN3000B SAN </w:t>
            </w:r>
            <w:proofErr w:type="spellStart"/>
            <w:r w:rsidRPr="00D56CE4">
              <w:rPr>
                <w:rFonts w:ascii="Calibri" w:eastAsia="Times New Roman" w:hAnsi="Calibri" w:cs="Times New Roman"/>
                <w:color w:val="000000"/>
                <w:szCs w:val="22"/>
                <w:lang w:eastAsia="cs-CZ" w:bidi="ar-SA"/>
              </w:rPr>
              <w:t>Switch</w:t>
            </w:r>
            <w:proofErr w:type="spellEnd"/>
            <w:r w:rsidRPr="00D56CE4">
              <w:rPr>
                <w:rFonts w:ascii="Calibri" w:eastAsia="Times New Roman" w:hAnsi="Calibri" w:cs="Times New Roman"/>
                <w:color w:val="000000"/>
                <w:szCs w:val="22"/>
                <w:lang w:eastAsia="cs-CZ" w:bidi="ar-SA"/>
              </w:rPr>
              <w:t xml:space="preserve"> 12-port </w:t>
            </w:r>
            <w:proofErr w:type="spellStart"/>
            <w:r w:rsidRPr="00D56CE4">
              <w:rPr>
                <w:rFonts w:ascii="Calibri" w:eastAsia="Times New Roman" w:hAnsi="Calibri" w:cs="Times New Roman"/>
                <w:color w:val="000000"/>
                <w:szCs w:val="22"/>
                <w:lang w:eastAsia="cs-CZ" w:bidi="ar-SA"/>
              </w:rPr>
              <w:t>Upg</w:t>
            </w:r>
            <w:proofErr w:type="spellEnd"/>
            <w:r w:rsidRPr="00D56CE4">
              <w:rPr>
                <w:rFonts w:ascii="Calibri" w:eastAsia="Times New Roman" w:hAnsi="Calibri" w:cs="Times New Roman"/>
                <w:color w:val="000000"/>
                <w:szCs w:val="22"/>
                <w:lang w:eastAsia="cs-CZ" w:bidi="ar-SA"/>
              </w:rPr>
              <w:t xml:space="preserve"> E-LTU</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HPE SN3000B </w:t>
            </w:r>
            <w:proofErr w:type="spellStart"/>
            <w:r w:rsidRPr="00D56CE4">
              <w:rPr>
                <w:rFonts w:ascii="Calibri" w:eastAsia="Times New Roman" w:hAnsi="Calibri" w:cs="Times New Roman"/>
                <w:color w:val="000000"/>
                <w:szCs w:val="22"/>
                <w:lang w:eastAsia="cs-CZ" w:bidi="ar-SA"/>
              </w:rPr>
              <w:t>Optional</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Power</w:t>
            </w:r>
            <w:proofErr w:type="spellEnd"/>
            <w:r w:rsidRPr="00D56CE4">
              <w:rPr>
                <w:rFonts w:ascii="Calibri" w:eastAsia="Times New Roman" w:hAnsi="Calibri" w:cs="Times New Roman"/>
                <w:color w:val="000000"/>
                <w:szCs w:val="22"/>
                <w:lang w:eastAsia="cs-CZ" w:bidi="ar-SA"/>
              </w:rPr>
              <w:t xml:space="preserve"> Supply</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2.4m </w:t>
            </w:r>
            <w:proofErr w:type="spellStart"/>
            <w:r w:rsidRPr="00D56CE4">
              <w:rPr>
                <w:rFonts w:ascii="Calibri" w:eastAsia="Times New Roman" w:hAnsi="Calibri" w:cs="Times New Roman"/>
                <w:color w:val="000000"/>
                <w:szCs w:val="22"/>
                <w:lang w:eastAsia="cs-CZ" w:bidi="ar-SA"/>
              </w:rPr>
              <w:t>Jumper</w:t>
            </w:r>
            <w:proofErr w:type="spellEnd"/>
            <w:r w:rsidRPr="00D56CE4">
              <w:rPr>
                <w:rFonts w:ascii="Calibri" w:eastAsia="Times New Roman" w:hAnsi="Calibri" w:cs="Times New Roman"/>
                <w:color w:val="000000"/>
                <w:szCs w:val="22"/>
                <w:lang w:eastAsia="cs-CZ" w:bidi="ar-SA"/>
              </w:rPr>
              <w:t xml:space="preserve"> (IEC320 C13/C14, M/F CEE 22)</w:t>
            </w:r>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22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HPE </w:t>
            </w:r>
            <w:proofErr w:type="spellStart"/>
            <w:r w:rsidRPr="00D56CE4">
              <w:rPr>
                <w:rFonts w:ascii="Calibri" w:eastAsia="Times New Roman" w:hAnsi="Calibri" w:cs="Times New Roman"/>
                <w:color w:val="000000"/>
                <w:szCs w:val="22"/>
                <w:lang w:eastAsia="cs-CZ" w:bidi="ar-SA"/>
              </w:rPr>
              <w:t>Premier</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Flex</w:t>
            </w:r>
            <w:proofErr w:type="spellEnd"/>
            <w:r w:rsidRPr="00D56CE4">
              <w:rPr>
                <w:rFonts w:ascii="Calibri" w:eastAsia="Times New Roman" w:hAnsi="Calibri" w:cs="Times New Roman"/>
                <w:color w:val="000000"/>
                <w:szCs w:val="22"/>
                <w:lang w:eastAsia="cs-CZ" w:bidi="ar-SA"/>
              </w:rPr>
              <w:t xml:space="preserve"> LC/LC OM4 2f 5m </w:t>
            </w:r>
            <w:proofErr w:type="spellStart"/>
            <w:r w:rsidRPr="00D56CE4">
              <w:rPr>
                <w:rFonts w:ascii="Calibri" w:eastAsia="Times New Roman" w:hAnsi="Calibri" w:cs="Times New Roman"/>
                <w:color w:val="000000"/>
                <w:szCs w:val="22"/>
                <w:lang w:eastAsia="cs-CZ" w:bidi="ar-SA"/>
              </w:rPr>
              <w:t>Cbl</w:t>
            </w:r>
            <w:proofErr w:type="spellEnd"/>
          </w:p>
        </w:tc>
        <w:tc>
          <w:tcPr>
            <w:tcW w:w="420"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32</w:t>
            </w:r>
          </w:p>
        </w:tc>
        <w:tc>
          <w:tcPr>
            <w:tcW w:w="358"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30"/>
        </w:trPr>
        <w:tc>
          <w:tcPr>
            <w:tcW w:w="4223" w:type="pct"/>
            <w:tcBorders>
              <w:top w:val="nil"/>
              <w:left w:val="single" w:sz="8" w:space="0" w:color="auto"/>
              <w:bottom w:val="single" w:sz="8" w:space="0" w:color="auto"/>
              <w:right w:val="nil"/>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 </w:t>
            </w:r>
          </w:p>
        </w:tc>
        <w:tc>
          <w:tcPr>
            <w:tcW w:w="420" w:type="pct"/>
            <w:tcBorders>
              <w:top w:val="nil"/>
              <w:left w:val="nil"/>
              <w:bottom w:val="single" w:sz="8" w:space="0" w:color="auto"/>
              <w:right w:val="nil"/>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 </w:t>
            </w:r>
          </w:p>
        </w:tc>
        <w:tc>
          <w:tcPr>
            <w:tcW w:w="358" w:type="pct"/>
            <w:tcBorders>
              <w:top w:val="nil"/>
              <w:left w:val="nil"/>
              <w:bottom w:val="single" w:sz="8" w:space="0" w:color="auto"/>
              <w:right w:val="single" w:sz="8" w:space="0" w:color="auto"/>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 </w:t>
            </w:r>
          </w:p>
        </w:tc>
      </w:tr>
    </w:tbl>
    <w:p w:rsidR="0072401C" w:rsidRDefault="0072401C" w:rsidP="0072401C">
      <w:pPr>
        <w:spacing w:after="200" w:line="276" w:lineRule="auto"/>
        <w:ind w:firstLine="0"/>
        <w:jc w:val="left"/>
        <w:rPr>
          <w:rFonts w:ascii="Arial" w:eastAsia="Calibri" w:hAnsi="Arial" w:cs="Arial"/>
          <w:kern w:val="1"/>
          <w:sz w:val="24"/>
          <w:szCs w:val="24"/>
          <w:u w:val="single"/>
          <w:lang w:eastAsia="cs-CZ" w:bidi="ar-SA"/>
        </w:rPr>
      </w:pPr>
    </w:p>
    <w:p w:rsidR="0072401C" w:rsidRDefault="0072401C" w:rsidP="0072401C">
      <w:pPr>
        <w:spacing w:after="200" w:line="276" w:lineRule="auto"/>
        <w:ind w:firstLine="0"/>
        <w:jc w:val="left"/>
        <w:rPr>
          <w:rFonts w:ascii="Arial" w:eastAsia="Calibri" w:hAnsi="Arial" w:cs="Arial"/>
          <w:kern w:val="1"/>
          <w:sz w:val="24"/>
          <w:szCs w:val="24"/>
          <w:u w:val="single"/>
          <w:lang w:eastAsia="cs-CZ" w:bidi="ar-SA"/>
        </w:rPr>
      </w:pPr>
    </w:p>
    <w:tbl>
      <w:tblPr>
        <w:tblW w:w="5000" w:type="pct"/>
        <w:tblCellMar>
          <w:left w:w="70" w:type="dxa"/>
          <w:right w:w="70" w:type="dxa"/>
        </w:tblCellMar>
        <w:tblLook w:val="04A0" w:firstRow="1" w:lastRow="0" w:firstColumn="1" w:lastColumn="0" w:noHBand="0" w:noVBand="1"/>
      </w:tblPr>
      <w:tblGrid>
        <w:gridCol w:w="7989"/>
        <w:gridCol w:w="420"/>
        <w:gridCol w:w="643"/>
      </w:tblGrid>
      <w:tr w:rsidR="0072401C" w:rsidRPr="00D56CE4" w:rsidTr="000B5E26">
        <w:trPr>
          <w:trHeight w:val="315"/>
        </w:trPr>
        <w:tc>
          <w:tcPr>
            <w:tcW w:w="4413" w:type="pct"/>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Popis</w:t>
            </w:r>
          </w:p>
        </w:tc>
        <w:tc>
          <w:tcPr>
            <w:tcW w:w="587" w:type="pct"/>
            <w:gridSpan w:val="2"/>
            <w:tcBorders>
              <w:top w:val="single" w:sz="8" w:space="0" w:color="auto"/>
              <w:left w:val="nil"/>
              <w:bottom w:val="single" w:sz="4" w:space="0" w:color="auto"/>
              <w:right w:val="single" w:sz="8" w:space="0" w:color="000000"/>
            </w:tcBorders>
            <w:shd w:val="clear" w:color="000000" w:fill="BFBFBF"/>
            <w:noWrap/>
            <w:vAlign w:val="bottom"/>
            <w:hideMark/>
          </w:tcPr>
          <w:p w:rsidR="0072401C" w:rsidRPr="00D56CE4" w:rsidRDefault="0072401C" w:rsidP="000B5E26">
            <w:pPr>
              <w:spacing w:after="0"/>
              <w:ind w:firstLine="0"/>
              <w:jc w:val="center"/>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MJ</w:t>
            </w:r>
          </w:p>
        </w:tc>
      </w:tr>
      <w:tr w:rsidR="0072401C" w:rsidRPr="00D56CE4" w:rsidTr="000B5E26">
        <w:trPr>
          <w:trHeight w:val="300"/>
        </w:trPr>
        <w:tc>
          <w:tcPr>
            <w:tcW w:w="441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APC </w:t>
            </w:r>
            <w:proofErr w:type="spellStart"/>
            <w:r w:rsidRPr="00D56CE4">
              <w:rPr>
                <w:rFonts w:ascii="Calibri" w:eastAsia="Times New Roman" w:hAnsi="Calibri" w:cs="Times New Roman"/>
                <w:color w:val="000000"/>
                <w:szCs w:val="22"/>
                <w:lang w:eastAsia="cs-CZ" w:bidi="ar-SA"/>
              </w:rPr>
              <w:t>NetShelter</w:t>
            </w:r>
            <w:proofErr w:type="spellEnd"/>
            <w:r w:rsidRPr="00D56CE4">
              <w:rPr>
                <w:rFonts w:ascii="Calibri" w:eastAsia="Times New Roman" w:hAnsi="Calibri" w:cs="Times New Roman"/>
                <w:color w:val="000000"/>
                <w:szCs w:val="22"/>
                <w:lang w:eastAsia="cs-CZ" w:bidi="ar-SA"/>
              </w:rPr>
              <w:t xml:space="preserve"> SX 42UX600X1070 černý, s boky a dveřmi</w:t>
            </w:r>
          </w:p>
        </w:tc>
        <w:tc>
          <w:tcPr>
            <w:tcW w:w="232"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1</w:t>
            </w:r>
          </w:p>
        </w:tc>
        <w:tc>
          <w:tcPr>
            <w:tcW w:w="355"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41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APC AP8959 </w:t>
            </w:r>
            <w:proofErr w:type="spellStart"/>
            <w:r w:rsidRPr="00D56CE4">
              <w:rPr>
                <w:rFonts w:ascii="Calibri" w:eastAsia="Times New Roman" w:hAnsi="Calibri" w:cs="Times New Roman"/>
                <w:color w:val="000000"/>
                <w:szCs w:val="22"/>
                <w:lang w:eastAsia="cs-CZ" w:bidi="ar-SA"/>
              </w:rPr>
              <w:t>Rack</w:t>
            </w:r>
            <w:proofErr w:type="spellEnd"/>
            <w:r w:rsidRPr="00D56CE4">
              <w:rPr>
                <w:rFonts w:ascii="Calibri" w:eastAsia="Times New Roman" w:hAnsi="Calibri" w:cs="Times New Roman"/>
                <w:color w:val="000000"/>
                <w:szCs w:val="22"/>
                <w:lang w:eastAsia="cs-CZ" w:bidi="ar-SA"/>
              </w:rPr>
              <w:t xml:space="preserve"> PDU 2G, </w:t>
            </w:r>
            <w:proofErr w:type="spellStart"/>
            <w:r w:rsidRPr="00D56CE4">
              <w:rPr>
                <w:rFonts w:ascii="Calibri" w:eastAsia="Times New Roman" w:hAnsi="Calibri" w:cs="Times New Roman"/>
                <w:color w:val="000000"/>
                <w:szCs w:val="22"/>
                <w:lang w:eastAsia="cs-CZ" w:bidi="ar-SA"/>
              </w:rPr>
              <w:t>Switched</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ZeroU</w:t>
            </w:r>
            <w:proofErr w:type="spellEnd"/>
            <w:r w:rsidRPr="00D56CE4">
              <w:rPr>
                <w:rFonts w:ascii="Calibri" w:eastAsia="Times New Roman" w:hAnsi="Calibri" w:cs="Times New Roman"/>
                <w:color w:val="000000"/>
                <w:szCs w:val="22"/>
                <w:lang w:eastAsia="cs-CZ" w:bidi="ar-SA"/>
              </w:rPr>
              <w:t>, 16A, C20-&gt;(21) C13 &amp; (3) C19</w:t>
            </w:r>
          </w:p>
        </w:tc>
        <w:tc>
          <w:tcPr>
            <w:tcW w:w="232"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5"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00"/>
        </w:trPr>
        <w:tc>
          <w:tcPr>
            <w:tcW w:w="4413" w:type="pct"/>
            <w:tcBorders>
              <w:top w:val="nil"/>
              <w:left w:val="single" w:sz="8" w:space="0" w:color="auto"/>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 xml:space="preserve">APC </w:t>
            </w:r>
            <w:proofErr w:type="spellStart"/>
            <w:r w:rsidRPr="00D56CE4">
              <w:rPr>
                <w:rFonts w:ascii="Calibri" w:eastAsia="Times New Roman" w:hAnsi="Calibri" w:cs="Times New Roman"/>
                <w:color w:val="000000"/>
                <w:szCs w:val="22"/>
                <w:lang w:eastAsia="cs-CZ" w:bidi="ar-SA"/>
              </w:rPr>
              <w:t>NetShelter</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Cable</w:t>
            </w:r>
            <w:proofErr w:type="spellEnd"/>
            <w:r w:rsidRPr="00D56CE4">
              <w:rPr>
                <w:rFonts w:ascii="Calibri" w:eastAsia="Times New Roman" w:hAnsi="Calibri" w:cs="Times New Roman"/>
                <w:color w:val="000000"/>
                <w:szCs w:val="22"/>
                <w:lang w:eastAsia="cs-CZ" w:bidi="ar-SA"/>
              </w:rPr>
              <w:t xml:space="preserve"> </w:t>
            </w:r>
            <w:proofErr w:type="spellStart"/>
            <w:r w:rsidRPr="00D56CE4">
              <w:rPr>
                <w:rFonts w:ascii="Calibri" w:eastAsia="Times New Roman" w:hAnsi="Calibri" w:cs="Times New Roman"/>
                <w:color w:val="000000"/>
                <w:szCs w:val="22"/>
                <w:lang w:eastAsia="cs-CZ" w:bidi="ar-SA"/>
              </w:rPr>
              <w:t>Hoops</w:t>
            </w:r>
            <w:proofErr w:type="spellEnd"/>
          </w:p>
        </w:tc>
        <w:tc>
          <w:tcPr>
            <w:tcW w:w="232" w:type="pct"/>
            <w:tcBorders>
              <w:top w:val="nil"/>
              <w:left w:val="nil"/>
              <w:bottom w:val="single" w:sz="4" w:space="0" w:color="auto"/>
              <w:right w:val="single" w:sz="4" w:space="0" w:color="auto"/>
            </w:tcBorders>
            <w:shd w:val="clear" w:color="auto" w:fill="auto"/>
            <w:noWrap/>
            <w:vAlign w:val="bottom"/>
            <w:hideMark/>
          </w:tcPr>
          <w:p w:rsidR="0072401C" w:rsidRPr="00D56CE4" w:rsidRDefault="0072401C" w:rsidP="000B5E26">
            <w:pPr>
              <w:spacing w:after="0"/>
              <w:ind w:firstLine="0"/>
              <w:jc w:val="righ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2</w:t>
            </w:r>
          </w:p>
        </w:tc>
        <w:tc>
          <w:tcPr>
            <w:tcW w:w="355" w:type="pct"/>
            <w:tcBorders>
              <w:top w:val="nil"/>
              <w:left w:val="nil"/>
              <w:bottom w:val="single" w:sz="4" w:space="0" w:color="auto"/>
              <w:right w:val="single" w:sz="8" w:space="0" w:color="auto"/>
            </w:tcBorders>
            <w:shd w:val="clear" w:color="auto" w:fill="auto"/>
            <w:noWrap/>
            <w:vAlign w:val="bottom"/>
            <w:hideMark/>
          </w:tcPr>
          <w:p w:rsidR="0072401C" w:rsidRPr="00D56CE4" w:rsidRDefault="0072401C" w:rsidP="000B5E26">
            <w:pPr>
              <w:spacing w:after="0"/>
              <w:ind w:firstLine="0"/>
              <w:jc w:val="left"/>
              <w:rPr>
                <w:rFonts w:ascii="Calibri" w:eastAsia="Times New Roman" w:hAnsi="Calibri" w:cs="Times New Roman"/>
                <w:color w:val="000000"/>
                <w:szCs w:val="22"/>
                <w:lang w:eastAsia="cs-CZ" w:bidi="ar-SA"/>
              </w:rPr>
            </w:pPr>
            <w:r w:rsidRPr="00D56CE4">
              <w:rPr>
                <w:rFonts w:ascii="Calibri" w:eastAsia="Times New Roman" w:hAnsi="Calibri" w:cs="Times New Roman"/>
                <w:color w:val="000000"/>
                <w:szCs w:val="22"/>
                <w:lang w:eastAsia="cs-CZ" w:bidi="ar-SA"/>
              </w:rPr>
              <w:t>ks</w:t>
            </w:r>
          </w:p>
        </w:tc>
      </w:tr>
      <w:tr w:rsidR="0072401C" w:rsidRPr="00D56CE4" w:rsidTr="000B5E26">
        <w:trPr>
          <w:trHeight w:val="330"/>
        </w:trPr>
        <w:tc>
          <w:tcPr>
            <w:tcW w:w="4413" w:type="pct"/>
            <w:tcBorders>
              <w:top w:val="nil"/>
              <w:left w:val="single" w:sz="8" w:space="0" w:color="auto"/>
              <w:bottom w:val="single" w:sz="8" w:space="0" w:color="auto"/>
              <w:right w:val="nil"/>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 </w:t>
            </w:r>
          </w:p>
        </w:tc>
        <w:tc>
          <w:tcPr>
            <w:tcW w:w="232" w:type="pct"/>
            <w:tcBorders>
              <w:top w:val="nil"/>
              <w:left w:val="nil"/>
              <w:bottom w:val="single" w:sz="8" w:space="0" w:color="auto"/>
              <w:right w:val="nil"/>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 </w:t>
            </w:r>
          </w:p>
        </w:tc>
        <w:tc>
          <w:tcPr>
            <w:tcW w:w="355" w:type="pct"/>
            <w:tcBorders>
              <w:top w:val="nil"/>
              <w:left w:val="nil"/>
              <w:bottom w:val="single" w:sz="8" w:space="0" w:color="auto"/>
              <w:right w:val="single" w:sz="8" w:space="0" w:color="auto"/>
            </w:tcBorders>
            <w:shd w:val="clear" w:color="000000" w:fill="BFBFBF"/>
            <w:noWrap/>
            <w:vAlign w:val="bottom"/>
            <w:hideMark/>
          </w:tcPr>
          <w:p w:rsidR="0072401C" w:rsidRPr="00D56CE4" w:rsidRDefault="0072401C" w:rsidP="000B5E26">
            <w:pPr>
              <w:spacing w:after="0"/>
              <w:ind w:firstLine="0"/>
              <w:jc w:val="left"/>
              <w:rPr>
                <w:rFonts w:ascii="Calibri" w:eastAsia="Times New Roman" w:hAnsi="Calibri" w:cs="Times New Roman"/>
                <w:b/>
                <w:bCs/>
                <w:color w:val="000000"/>
                <w:sz w:val="24"/>
                <w:szCs w:val="24"/>
                <w:lang w:eastAsia="cs-CZ" w:bidi="ar-SA"/>
              </w:rPr>
            </w:pPr>
            <w:r w:rsidRPr="00D56CE4">
              <w:rPr>
                <w:rFonts w:ascii="Calibri" w:eastAsia="Times New Roman" w:hAnsi="Calibri" w:cs="Times New Roman"/>
                <w:b/>
                <w:bCs/>
                <w:color w:val="000000"/>
                <w:sz w:val="24"/>
                <w:szCs w:val="24"/>
                <w:lang w:eastAsia="cs-CZ" w:bidi="ar-SA"/>
              </w:rPr>
              <w:t> </w:t>
            </w:r>
          </w:p>
        </w:tc>
      </w:tr>
    </w:tbl>
    <w:p w:rsidR="0072401C" w:rsidRPr="006052EE" w:rsidRDefault="0072401C" w:rsidP="0072401C">
      <w:pPr>
        <w:spacing w:after="200" w:line="276" w:lineRule="auto"/>
        <w:ind w:firstLine="0"/>
        <w:jc w:val="left"/>
        <w:rPr>
          <w:rFonts w:ascii="Arial" w:eastAsia="Calibri" w:hAnsi="Arial" w:cs="Arial"/>
          <w:kern w:val="1"/>
          <w:sz w:val="24"/>
          <w:szCs w:val="24"/>
          <w:u w:val="single"/>
          <w:lang w:eastAsia="cs-CZ" w:bidi="ar-SA"/>
        </w:rPr>
      </w:pPr>
      <w:r w:rsidRPr="006052EE">
        <w:rPr>
          <w:rFonts w:ascii="Arial" w:eastAsia="Calibri" w:hAnsi="Arial" w:cs="Arial"/>
          <w:kern w:val="1"/>
          <w:sz w:val="24"/>
          <w:szCs w:val="24"/>
          <w:u w:val="single"/>
          <w:lang w:eastAsia="cs-CZ" w:bidi="ar-SA"/>
        </w:rPr>
        <w:br w:type="page"/>
      </w:r>
    </w:p>
    <w:p w:rsidR="0072401C" w:rsidRPr="006052EE" w:rsidRDefault="0072401C" w:rsidP="0072401C">
      <w:pPr>
        <w:widowControl w:val="0"/>
        <w:suppressAutoHyphens/>
        <w:spacing w:after="0"/>
        <w:ind w:firstLine="0"/>
        <w:rPr>
          <w:rFonts w:ascii="Arial" w:eastAsia="Calibri" w:hAnsi="Arial" w:cs="Arial"/>
          <w:bCs/>
          <w:kern w:val="1"/>
          <w:sz w:val="24"/>
          <w:szCs w:val="24"/>
          <w:u w:val="single"/>
          <w:lang w:eastAsia="cs-CZ" w:bidi="ar-SA"/>
        </w:rPr>
      </w:pPr>
      <w:r w:rsidRPr="006052EE">
        <w:rPr>
          <w:rFonts w:ascii="Arial" w:eastAsia="Calibri" w:hAnsi="Arial" w:cs="Arial"/>
          <w:bCs/>
          <w:kern w:val="1"/>
          <w:sz w:val="24"/>
          <w:szCs w:val="24"/>
          <w:u w:val="single"/>
          <w:lang w:eastAsia="cs-CZ" w:bidi="ar-SA"/>
        </w:rPr>
        <w:t>Příloha č. 3 - Seznam subdodavatelů s určením, kterou část Smlouvy bude každý z nich plnit</w:t>
      </w:r>
    </w:p>
    <w:p w:rsidR="0072401C" w:rsidRPr="006052EE" w:rsidRDefault="0072401C" w:rsidP="0072401C">
      <w:pPr>
        <w:widowControl w:val="0"/>
        <w:suppressAutoHyphens/>
        <w:spacing w:after="0"/>
        <w:ind w:left="705" w:hanging="705"/>
        <w:jc w:val="left"/>
        <w:rPr>
          <w:rFonts w:ascii="Arial" w:eastAsia="Calibri" w:hAnsi="Arial" w:cs="Arial"/>
          <w:kern w:val="1"/>
          <w:sz w:val="24"/>
          <w:szCs w:val="24"/>
          <w:u w:val="single"/>
          <w:lang w:eastAsia="cs-CZ" w:bidi="ar-SA"/>
        </w:rPr>
      </w:pPr>
    </w:p>
    <w:p w:rsidR="0072401C" w:rsidRPr="006052EE" w:rsidRDefault="0072401C" w:rsidP="0072401C">
      <w:pPr>
        <w:widowControl w:val="0"/>
        <w:suppressAutoHyphens/>
        <w:spacing w:after="0"/>
        <w:ind w:left="705" w:hanging="705"/>
        <w:jc w:val="left"/>
        <w:rPr>
          <w:rFonts w:ascii="Arial" w:eastAsia="Calibri" w:hAnsi="Arial" w:cs="Arial"/>
          <w:kern w:val="1"/>
          <w:sz w:val="24"/>
          <w:szCs w:val="24"/>
          <w:lang w:eastAsia="cs-CZ" w:bidi="ar-SA"/>
        </w:rPr>
      </w:pPr>
    </w:p>
    <w:p w:rsidR="0072401C" w:rsidRPr="006052EE" w:rsidRDefault="0072401C" w:rsidP="0072401C">
      <w:pPr>
        <w:widowControl w:val="0"/>
        <w:suppressAutoHyphens/>
        <w:spacing w:after="0"/>
        <w:ind w:left="705" w:hanging="705"/>
        <w:jc w:val="left"/>
        <w:rPr>
          <w:rFonts w:ascii="Arial" w:eastAsia="Calibri" w:hAnsi="Arial" w:cs="Arial"/>
          <w:kern w:val="1"/>
          <w:sz w:val="24"/>
          <w:szCs w:val="24"/>
          <w:lang w:eastAsia="cs-CZ" w:bidi="ar-SA"/>
        </w:rPr>
      </w:pPr>
    </w:p>
    <w:p w:rsidR="0072401C" w:rsidRPr="006052EE" w:rsidRDefault="0072401C" w:rsidP="0072401C">
      <w:pPr>
        <w:suppressAutoHyphens/>
        <w:spacing w:after="0"/>
        <w:ind w:firstLine="0"/>
        <w:rPr>
          <w:rFonts w:ascii="Arial" w:eastAsia="Times New Roman" w:hAnsi="Arial" w:cs="Arial"/>
          <w:sz w:val="20"/>
          <w:szCs w:val="24"/>
          <w:lang w:eastAsia="ar-SA" w:bidi="ar-SA"/>
        </w:rPr>
      </w:pPr>
    </w:p>
    <w:p w:rsidR="00E9378B" w:rsidRDefault="0072401C" w:rsidP="0072401C">
      <w:pPr>
        <w:ind w:firstLine="0"/>
      </w:pPr>
      <w:r w:rsidRPr="00D15B6C">
        <w:rPr>
          <w:rFonts w:ascii="Arial" w:hAnsi="Arial" w:cs="Arial"/>
        </w:rPr>
        <w:t>Subdodavatelé nebudou pro tuto zakázkou použiti.</w:t>
      </w:r>
    </w:p>
    <w:sectPr w:rsidR="00E9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4DB"/>
    <w:multiLevelType w:val="multilevel"/>
    <w:tmpl w:val="03ECD7F6"/>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asciiTheme="minorHAnsi" w:hAnsiTheme="minorHAnsi"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26FD780D"/>
    <w:multiLevelType w:val="hybridMultilevel"/>
    <w:tmpl w:val="7E9233F6"/>
    <w:lvl w:ilvl="0" w:tplc="DBCCAD78">
      <w:start w:val="2"/>
      <w:numFmt w:val="bullet"/>
      <w:lvlText w:val="-"/>
      <w:lvlJc w:val="left"/>
      <w:pPr>
        <w:ind w:left="1778" w:hanging="360"/>
      </w:pPr>
      <w:rPr>
        <w:rFonts w:ascii="Calibri" w:eastAsia="Calibr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32051AB1"/>
    <w:multiLevelType w:val="hybridMultilevel"/>
    <w:tmpl w:val="682CC65A"/>
    <w:lvl w:ilvl="0" w:tplc="DBCCAD78">
      <w:start w:val="2"/>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4CD25D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1C"/>
    <w:rsid w:val="0072401C"/>
    <w:rsid w:val="00E93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C0B916F"/>
  <w15:chartTrackingRefBased/>
  <w15:docId w15:val="{F59F9640-2A3B-4401-9D88-7F256E1B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401C"/>
    <w:pPr>
      <w:spacing w:line="240" w:lineRule="auto"/>
      <w:ind w:firstLine="561"/>
      <w:jc w:val="both"/>
    </w:pPr>
    <w:rPr>
      <w:rFonts w:eastAsiaTheme="minorEastAsia"/>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next w:val="Mkatabulky"/>
    <w:rsid w:val="007240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2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2726</Words>
  <Characters>16088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Koutecký</dc:creator>
  <cp:keywords/>
  <dc:description/>
  <cp:lastModifiedBy/>
  <cp:revision>1</cp:revision>
  <dcterms:created xsi:type="dcterms:W3CDTF">2016-10-14T06:53:00Z</dcterms:created>
</cp:coreProperties>
</file>