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6D" w:rsidRPr="000969FB" w:rsidRDefault="00105A6D" w:rsidP="00FF471C">
      <w:pPr>
        <w:spacing w:before="1680"/>
        <w:jc w:val="right"/>
        <w:rPr>
          <w:b/>
          <w:i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5_Kooperativa_RGB" style="position:absolute;left:0;text-align:left;margin-left:-14.45pt;margin-top:.3pt;width:149.25pt;height:96.75pt;z-index:251658240;visibility:visible">
            <v:imagedata r:id="rId7" o:title=""/>
            <w10:wrap type="square"/>
          </v:shape>
        </w:pict>
      </w:r>
    </w:p>
    <w:p w:rsidR="00105A6D" w:rsidRPr="000969FB" w:rsidRDefault="00105A6D" w:rsidP="00FF471C">
      <w:pPr>
        <w:jc w:val="right"/>
        <w:rPr>
          <w:i/>
        </w:rPr>
      </w:pPr>
    </w:p>
    <w:p w:rsidR="00105A6D" w:rsidRPr="000969FB" w:rsidRDefault="00105A6D" w:rsidP="00FF471C">
      <w:pPr>
        <w:tabs>
          <w:tab w:val="left" w:pos="3686"/>
        </w:tabs>
      </w:pPr>
    </w:p>
    <w:p w:rsidR="00105A6D" w:rsidRDefault="00105A6D" w:rsidP="00F55F0B">
      <w:pPr>
        <w:tabs>
          <w:tab w:val="left" w:pos="2750"/>
          <w:tab w:val="right" w:leader="dot" w:pos="4536"/>
        </w:tabs>
        <w:rPr>
          <w:b/>
          <w:sz w:val="32"/>
          <w:szCs w:val="32"/>
        </w:rPr>
      </w:pPr>
      <w:bookmarkStart w:id="0" w:name="Priloha_1"/>
      <w:bookmarkEnd w:id="0"/>
      <w:r>
        <w:rPr>
          <w:b/>
          <w:sz w:val="32"/>
          <w:szCs w:val="32"/>
        </w:rPr>
        <w:t>Dodatek č.1</w:t>
      </w:r>
    </w:p>
    <w:p w:rsidR="00105A6D" w:rsidRPr="000969FB" w:rsidRDefault="00105A6D" w:rsidP="00F55F0B">
      <w:pPr>
        <w:tabs>
          <w:tab w:val="left" w:pos="2750"/>
          <w:tab w:val="right" w:leader="dot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k p</w:t>
      </w:r>
      <w:r w:rsidRPr="000969FB">
        <w:rPr>
          <w:b/>
          <w:sz w:val="32"/>
          <w:szCs w:val="32"/>
        </w:rPr>
        <w:t>ojistn</w:t>
      </w:r>
      <w:r>
        <w:rPr>
          <w:b/>
          <w:sz w:val="32"/>
          <w:szCs w:val="32"/>
        </w:rPr>
        <w:t>é</w:t>
      </w:r>
      <w:r w:rsidRPr="000969FB">
        <w:rPr>
          <w:b/>
          <w:sz w:val="32"/>
          <w:szCs w:val="32"/>
        </w:rPr>
        <w:t xml:space="preserve"> smlouv</w:t>
      </w:r>
      <w:r>
        <w:rPr>
          <w:b/>
          <w:sz w:val="32"/>
          <w:szCs w:val="32"/>
        </w:rPr>
        <w:t>ě</w:t>
      </w:r>
      <w:r w:rsidRPr="000969FB">
        <w:rPr>
          <w:b/>
          <w:sz w:val="32"/>
          <w:szCs w:val="32"/>
        </w:rPr>
        <w:t xml:space="preserve"> č.</w:t>
      </w:r>
      <w:r w:rsidRPr="000969FB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7721053534</w:t>
      </w:r>
      <w:r w:rsidRPr="000969FB">
        <w:rPr>
          <w:b/>
          <w:sz w:val="32"/>
          <w:szCs w:val="32"/>
        </w:rPr>
        <w:tab/>
      </w:r>
    </w:p>
    <w:p w:rsidR="00105A6D" w:rsidRPr="000969FB" w:rsidRDefault="00105A6D" w:rsidP="00F55F0B">
      <w:pPr>
        <w:spacing w:after="240"/>
        <w:rPr>
          <w:b/>
        </w:rPr>
      </w:pPr>
      <w:r w:rsidRPr="000969FB">
        <w:rPr>
          <w:b/>
        </w:rPr>
        <w:t>Úsek pojištění hospodářských rizik</w:t>
      </w:r>
    </w:p>
    <w:p w:rsidR="00105A6D" w:rsidRPr="000969FB" w:rsidRDefault="00105A6D" w:rsidP="00486022">
      <w:pPr>
        <w:rPr>
          <w:b/>
          <w:sz w:val="32"/>
          <w:szCs w:val="32"/>
        </w:rPr>
      </w:pPr>
      <w:r w:rsidRPr="000969FB">
        <w:rPr>
          <w:b/>
          <w:sz w:val="32"/>
          <w:szCs w:val="32"/>
        </w:rPr>
        <w:t>Kooperativa pojišťovna, a.s., Vienna Insurance Group</w:t>
      </w:r>
    </w:p>
    <w:p w:rsidR="00105A6D" w:rsidRPr="000969FB" w:rsidRDefault="00105A6D" w:rsidP="00486022">
      <w:pPr>
        <w:rPr>
          <w:b/>
        </w:rPr>
      </w:pPr>
      <w:r w:rsidRPr="000969FB">
        <w:rPr>
          <w:b/>
        </w:rPr>
        <w:t xml:space="preserve">se sídlem Praha 8, Pobřežní 665/21, PSČ 186 00, Česká republika </w:t>
      </w:r>
    </w:p>
    <w:p w:rsidR="00105A6D" w:rsidRPr="000969FB" w:rsidRDefault="00105A6D" w:rsidP="00486022">
      <w:pPr>
        <w:rPr>
          <w:b/>
        </w:rPr>
      </w:pPr>
      <w:r w:rsidRPr="000969FB">
        <w:rPr>
          <w:b/>
        </w:rPr>
        <w:t>IČO: 47116617</w:t>
      </w:r>
    </w:p>
    <w:p w:rsidR="00105A6D" w:rsidRPr="000969FB" w:rsidRDefault="00105A6D" w:rsidP="00486022">
      <w:pPr>
        <w:rPr>
          <w:szCs w:val="20"/>
        </w:rPr>
      </w:pPr>
      <w:r w:rsidRPr="000969FB">
        <w:rPr>
          <w:szCs w:val="20"/>
        </w:rPr>
        <w:t>zapsaná v obchodním rejstříku u Městského soudu v Praze, sp. zn. B 1897</w:t>
      </w:r>
    </w:p>
    <w:p w:rsidR="00105A6D" w:rsidRPr="000969FB" w:rsidRDefault="00105A6D" w:rsidP="00486022">
      <w:pPr>
        <w:spacing w:after="60"/>
        <w:rPr>
          <w:szCs w:val="20"/>
        </w:rPr>
      </w:pPr>
      <w:r w:rsidRPr="000969FB">
        <w:rPr>
          <w:szCs w:val="20"/>
        </w:rPr>
        <w:t>(dále jen „</w:t>
      </w:r>
      <w:r w:rsidRPr="000969FB">
        <w:rPr>
          <w:b/>
          <w:szCs w:val="20"/>
        </w:rPr>
        <w:t>pojistitel</w:t>
      </w:r>
      <w:r w:rsidRPr="000969FB">
        <w:rPr>
          <w:szCs w:val="20"/>
        </w:rPr>
        <w:t>“)</w:t>
      </w:r>
    </w:p>
    <w:p w:rsidR="00105A6D" w:rsidRPr="000969FB" w:rsidRDefault="00105A6D" w:rsidP="00486022">
      <w:pPr>
        <w:spacing w:after="120"/>
        <w:rPr>
          <w:szCs w:val="20"/>
        </w:rPr>
      </w:pPr>
      <w:r w:rsidRPr="000969FB">
        <w:rPr>
          <w:szCs w:val="20"/>
        </w:rPr>
        <w:t xml:space="preserve">zastoupený na základě zmocnění níže podepsanými osobami </w:t>
      </w:r>
    </w:p>
    <w:p w:rsidR="00105A6D" w:rsidRPr="00BE322C" w:rsidRDefault="00105A6D" w:rsidP="008A299B">
      <w:pPr>
        <w:pStyle w:val="BodyTextIndent3"/>
        <w:ind w:left="0"/>
        <w:rPr>
          <w:rFonts w:ascii="Koop Office" w:hAnsi="Koop Office" w:cs="Arial"/>
          <w:sz w:val="20"/>
        </w:rPr>
      </w:pPr>
      <w:r w:rsidRPr="006106E3">
        <w:rPr>
          <w:rFonts w:ascii="Koop Office" w:hAnsi="Koop Office" w:cs="Arial"/>
          <w:sz w:val="20"/>
        </w:rPr>
        <w:t xml:space="preserve">Ing. Romanem </w:t>
      </w:r>
      <w:r w:rsidRPr="00BE322C">
        <w:rPr>
          <w:rFonts w:ascii="Koop Office" w:hAnsi="Koop Office" w:cs="Arial"/>
          <w:sz w:val="20"/>
        </w:rPr>
        <w:t>Vaňkem, vedoucím referátu hospodářských rizik</w:t>
      </w:r>
    </w:p>
    <w:p w:rsidR="00105A6D" w:rsidRDefault="00105A6D" w:rsidP="008A299B">
      <w:pPr>
        <w:pStyle w:val="BodyTextIndent3"/>
        <w:ind w:left="0"/>
        <w:rPr>
          <w:rFonts w:ascii="Koop Office" w:hAnsi="Koop Office" w:cs="Arial"/>
          <w:sz w:val="20"/>
        </w:rPr>
      </w:pPr>
      <w:r>
        <w:rPr>
          <w:rFonts w:ascii="Koop Office" w:hAnsi="Koop Office" w:cs="Arial"/>
          <w:sz w:val="20"/>
        </w:rPr>
        <w:t>a Ing. Hanou Šarbortovou</w:t>
      </w:r>
      <w:r w:rsidRPr="00BE322C">
        <w:rPr>
          <w:rFonts w:ascii="Koop Office" w:hAnsi="Koop Office" w:cs="Arial"/>
          <w:sz w:val="20"/>
        </w:rPr>
        <w:t>, underwriterem specialistou</w:t>
      </w:r>
    </w:p>
    <w:p w:rsidR="00105A6D" w:rsidRDefault="00105A6D" w:rsidP="008A299B">
      <w:pPr>
        <w:rPr>
          <w:rFonts w:cs="Arial"/>
        </w:rPr>
      </w:pPr>
    </w:p>
    <w:p w:rsidR="00105A6D" w:rsidRPr="00BE322C" w:rsidRDefault="00105A6D" w:rsidP="008A299B">
      <w:pPr>
        <w:rPr>
          <w:rFonts w:cs="Arial"/>
        </w:rPr>
      </w:pPr>
      <w:r w:rsidRPr="00BE322C">
        <w:rPr>
          <w:rFonts w:cs="Arial"/>
        </w:rPr>
        <w:t>Pracoviště centra: Kooperativa pojišťovna, a.s., Vienna Insurance Group</w:t>
      </w:r>
    </w:p>
    <w:p w:rsidR="00105A6D" w:rsidRPr="00BE322C" w:rsidRDefault="00105A6D" w:rsidP="008A299B">
      <w:pPr>
        <w:rPr>
          <w:rFonts w:cs="Arial"/>
        </w:rPr>
      </w:pPr>
      <w:r w:rsidRPr="00BE322C">
        <w:rPr>
          <w:rFonts w:cs="Arial"/>
        </w:rPr>
        <w:t>Agentura Jižní Morava, Nádražní 14, Brno PSČ 602 00</w:t>
      </w:r>
    </w:p>
    <w:p w:rsidR="00105A6D" w:rsidRDefault="00105A6D" w:rsidP="008A299B">
      <w:pPr>
        <w:rPr>
          <w:rFonts w:cs="Arial"/>
        </w:rPr>
      </w:pPr>
      <w:r w:rsidRPr="00BE322C">
        <w:rPr>
          <w:rFonts w:cs="Arial"/>
        </w:rPr>
        <w:t>tel. 543 534</w:t>
      </w:r>
      <w:r>
        <w:rPr>
          <w:rFonts w:cs="Arial"/>
        </w:rPr>
        <w:t> </w:t>
      </w:r>
      <w:r w:rsidRPr="00BE322C">
        <w:rPr>
          <w:rFonts w:cs="Arial"/>
        </w:rPr>
        <w:t>1</w:t>
      </w:r>
      <w:r>
        <w:rPr>
          <w:rFonts w:cs="Arial"/>
        </w:rPr>
        <w:t>37,</w:t>
      </w:r>
      <w:r w:rsidRPr="00BE322C">
        <w:rPr>
          <w:rFonts w:cs="Arial"/>
        </w:rPr>
        <w:t xml:space="preserve"> fax 543 534</w:t>
      </w:r>
      <w:r>
        <w:rPr>
          <w:rFonts w:cs="Arial"/>
        </w:rPr>
        <w:t> </w:t>
      </w:r>
      <w:r w:rsidRPr="00BE322C">
        <w:rPr>
          <w:rFonts w:cs="Arial"/>
        </w:rPr>
        <w:t>611</w:t>
      </w:r>
    </w:p>
    <w:p w:rsidR="00105A6D" w:rsidRDefault="00105A6D" w:rsidP="00280823">
      <w:pPr>
        <w:spacing w:after="240"/>
        <w:rPr>
          <w:szCs w:val="20"/>
        </w:rPr>
      </w:pPr>
    </w:p>
    <w:p w:rsidR="00105A6D" w:rsidRPr="000969FB" w:rsidRDefault="00105A6D" w:rsidP="00280823">
      <w:pPr>
        <w:spacing w:after="240"/>
        <w:rPr>
          <w:szCs w:val="20"/>
        </w:rPr>
      </w:pPr>
      <w:r w:rsidRPr="000969FB">
        <w:rPr>
          <w:szCs w:val="20"/>
        </w:rPr>
        <w:t>a</w:t>
      </w:r>
    </w:p>
    <w:p w:rsidR="00105A6D" w:rsidRPr="000D2909" w:rsidRDefault="00105A6D" w:rsidP="00FF471C">
      <w:pPr>
        <w:rPr>
          <w:b/>
          <w:sz w:val="32"/>
          <w:szCs w:val="32"/>
        </w:rPr>
      </w:pPr>
      <w:r w:rsidRPr="000D2909">
        <w:rPr>
          <w:b/>
          <w:sz w:val="32"/>
          <w:szCs w:val="32"/>
        </w:rPr>
        <w:t xml:space="preserve">Město Náměšť nad Oslavou </w:t>
      </w:r>
    </w:p>
    <w:p w:rsidR="00105A6D" w:rsidRDefault="00105A6D" w:rsidP="00FF471C">
      <w:pPr>
        <w:rPr>
          <w:b/>
        </w:rPr>
      </w:pPr>
      <w:r w:rsidRPr="000969FB">
        <w:rPr>
          <w:b/>
        </w:rPr>
        <w:t xml:space="preserve">se sídlem </w:t>
      </w:r>
      <w:r>
        <w:rPr>
          <w:b/>
        </w:rPr>
        <w:t>675 71 Náměšť nad Oslavou, Masarykovo nám. 104</w:t>
      </w:r>
    </w:p>
    <w:p w:rsidR="00105A6D" w:rsidRPr="000969FB" w:rsidRDefault="00105A6D" w:rsidP="00FF471C">
      <w:r w:rsidRPr="000969FB">
        <w:rPr>
          <w:b/>
        </w:rPr>
        <w:t>IČO:</w:t>
      </w:r>
      <w:r w:rsidRPr="000969FB">
        <w:t xml:space="preserve"> </w:t>
      </w:r>
      <w:r>
        <w:t>002 89 965</w:t>
      </w:r>
      <w:r w:rsidRPr="000969FB">
        <w:t xml:space="preserve"> </w:t>
      </w:r>
    </w:p>
    <w:p w:rsidR="00105A6D" w:rsidRPr="000969FB" w:rsidRDefault="00105A6D" w:rsidP="00FF471C">
      <w:pPr>
        <w:rPr>
          <w:szCs w:val="20"/>
        </w:rPr>
      </w:pPr>
      <w:r w:rsidRPr="000969FB">
        <w:rPr>
          <w:szCs w:val="20"/>
        </w:rPr>
        <w:t>zapsaný(á) v</w:t>
      </w:r>
      <w:r>
        <w:rPr>
          <w:szCs w:val="20"/>
        </w:rPr>
        <w:t> Registru ekonomických subjektů ČSÚ</w:t>
      </w:r>
      <w:r w:rsidRPr="000969FB">
        <w:rPr>
          <w:szCs w:val="20"/>
        </w:rPr>
        <w:t xml:space="preserve"> </w:t>
      </w:r>
    </w:p>
    <w:p w:rsidR="00105A6D" w:rsidRPr="000969FB" w:rsidRDefault="00105A6D" w:rsidP="00CB5FEE">
      <w:pPr>
        <w:spacing w:after="60"/>
        <w:rPr>
          <w:szCs w:val="20"/>
        </w:rPr>
      </w:pPr>
      <w:r w:rsidRPr="000969FB">
        <w:rPr>
          <w:szCs w:val="20"/>
        </w:rPr>
        <w:t>(dále jen „</w:t>
      </w:r>
      <w:r w:rsidRPr="000969FB">
        <w:rPr>
          <w:b/>
          <w:szCs w:val="20"/>
        </w:rPr>
        <w:t>pojistník</w:t>
      </w:r>
      <w:r w:rsidRPr="000969FB">
        <w:rPr>
          <w:szCs w:val="20"/>
        </w:rPr>
        <w:t>“)</w:t>
      </w:r>
    </w:p>
    <w:p w:rsidR="00105A6D" w:rsidRPr="000D2909" w:rsidRDefault="00105A6D" w:rsidP="000D2909">
      <w:pPr>
        <w:rPr>
          <w:rFonts w:cs="Arial"/>
          <w:bCs/>
          <w:szCs w:val="20"/>
        </w:rPr>
      </w:pPr>
      <w:r w:rsidRPr="000D2909">
        <w:rPr>
          <w:rFonts w:cs="Arial"/>
          <w:bCs/>
          <w:szCs w:val="20"/>
        </w:rPr>
        <w:t>zastoupený Vladimírem Měrkou, starostou města</w:t>
      </w:r>
    </w:p>
    <w:p w:rsidR="00105A6D" w:rsidRPr="00F86680" w:rsidRDefault="00105A6D" w:rsidP="00D60339">
      <w:pPr>
        <w:rPr>
          <w:rFonts w:cs="Arial"/>
          <w:b/>
        </w:rPr>
      </w:pPr>
      <w:r w:rsidRPr="00EC5688">
        <w:rPr>
          <w:szCs w:val="20"/>
        </w:rPr>
        <w:t xml:space="preserve">Korespondenční adresa: </w:t>
      </w:r>
      <w:r w:rsidRPr="00306A2B">
        <w:rPr>
          <w:rFonts w:cs="Arial"/>
          <w:b/>
        </w:rPr>
        <w:t>Němec &amp; partners, a.s. , Modřínová 600/1,  674 01 Třebíč</w:t>
      </w:r>
    </w:p>
    <w:p w:rsidR="00105A6D" w:rsidRPr="000D2909" w:rsidRDefault="00105A6D" w:rsidP="00D60339">
      <w:pPr>
        <w:pStyle w:val="BodyText2"/>
        <w:widowControl w:val="0"/>
        <w:rPr>
          <w:rFonts w:cs="Arial"/>
          <w:szCs w:val="20"/>
        </w:rPr>
      </w:pPr>
      <w:r w:rsidRPr="00EC5688">
        <w:rPr>
          <w:rFonts w:cs="Arial"/>
          <w:szCs w:val="20"/>
        </w:rPr>
        <w:t>Bankovní spojení</w:t>
      </w:r>
      <w:r w:rsidRPr="000D2909">
        <w:rPr>
          <w:rFonts w:cs="Arial"/>
          <w:szCs w:val="20"/>
        </w:rPr>
        <w:t>: Komerční banka, a.s.  Třebíč, číslo účtu 724-711/ 0100</w:t>
      </w:r>
    </w:p>
    <w:p w:rsidR="00105A6D" w:rsidRPr="003A4A30" w:rsidRDefault="00105A6D" w:rsidP="00D60319">
      <w:pPr>
        <w:spacing w:before="240" w:after="240"/>
        <w:rPr>
          <w:szCs w:val="20"/>
        </w:rPr>
      </w:pPr>
      <w:r w:rsidRPr="003A4A30">
        <w:rPr>
          <w:szCs w:val="20"/>
        </w:rPr>
        <w:t xml:space="preserve">uzavírají </w:t>
      </w:r>
    </w:p>
    <w:p w:rsidR="00105A6D" w:rsidRPr="003A4A30" w:rsidRDefault="00105A6D" w:rsidP="00D60319">
      <w:pPr>
        <w:spacing w:after="480"/>
        <w:rPr>
          <w:szCs w:val="20"/>
        </w:rPr>
      </w:pPr>
      <w:r w:rsidRPr="003A4A30">
        <w:rPr>
          <w:szCs w:val="20"/>
        </w:rPr>
        <w:t>ve smyslu zákona č. 89/2012 Sb., občanského zákoníku, tento dodatek, který spolu s výše uvedenou pojistnou smlouvou, pojistnými podmínkami pojistitele a přílohami, na které se pojistná smlouva (ve znění tohoto dodatku) odvolává, tvoří nedílný celek.</w:t>
      </w:r>
    </w:p>
    <w:p w:rsidR="00105A6D" w:rsidRPr="003A4A30" w:rsidRDefault="00105A6D" w:rsidP="00D60319">
      <w:pPr>
        <w:spacing w:after="120"/>
        <w:rPr>
          <w:szCs w:val="20"/>
        </w:rPr>
      </w:pPr>
      <w:r w:rsidRPr="003A4A30">
        <w:rPr>
          <w:szCs w:val="20"/>
        </w:rPr>
        <w:t xml:space="preserve">Tento dodatek byl sjednán prostřednictvím pojišťovacího makléře </w:t>
      </w:r>
    </w:p>
    <w:p w:rsidR="00105A6D" w:rsidRPr="00F86680" w:rsidRDefault="00105A6D" w:rsidP="000D2909">
      <w:pPr>
        <w:rPr>
          <w:rFonts w:cs="Arial"/>
          <w:b/>
          <w:sz w:val="32"/>
        </w:rPr>
      </w:pPr>
      <w:r w:rsidRPr="00F86680">
        <w:rPr>
          <w:rFonts w:cs="Arial"/>
          <w:b/>
          <w:sz w:val="32"/>
        </w:rPr>
        <w:t xml:space="preserve">Němec </w:t>
      </w:r>
      <w:r w:rsidRPr="00F86680">
        <w:rPr>
          <w:b/>
          <w:sz w:val="32"/>
        </w:rPr>
        <w:t>&amp; partners, a.s.</w:t>
      </w:r>
    </w:p>
    <w:p w:rsidR="00105A6D" w:rsidRPr="00F86680" w:rsidRDefault="00105A6D" w:rsidP="000D2909">
      <w:pPr>
        <w:rPr>
          <w:rFonts w:cs="Arial"/>
          <w:b/>
        </w:rPr>
      </w:pPr>
      <w:r w:rsidRPr="00F86680">
        <w:rPr>
          <w:rFonts w:cs="Arial"/>
          <w:b/>
        </w:rPr>
        <w:t>se sídlem  Modřínová 600/1,  674 01 Třebíč</w:t>
      </w:r>
    </w:p>
    <w:p w:rsidR="00105A6D" w:rsidRPr="00F86680" w:rsidRDefault="00105A6D" w:rsidP="000D2909">
      <w:pPr>
        <w:rPr>
          <w:rFonts w:cs="Arial"/>
          <w:b/>
        </w:rPr>
      </w:pPr>
      <w:r w:rsidRPr="00F86680">
        <w:rPr>
          <w:rFonts w:cs="Arial"/>
          <w:b/>
        </w:rPr>
        <w:t>IČ:255 39 256</w:t>
      </w:r>
    </w:p>
    <w:p w:rsidR="00105A6D" w:rsidRPr="00F86680" w:rsidRDefault="00105A6D" w:rsidP="000D2909">
      <w:pPr>
        <w:rPr>
          <w:rFonts w:cs="Arial"/>
          <w:b/>
        </w:rPr>
      </w:pPr>
      <w:r w:rsidRPr="00F86680">
        <w:rPr>
          <w:rFonts w:cs="Arial"/>
          <w:bCs/>
        </w:rPr>
        <w:t xml:space="preserve">(dále jen </w:t>
      </w:r>
      <w:r w:rsidRPr="00F86680">
        <w:rPr>
          <w:rFonts w:cs="Arial"/>
          <w:b/>
        </w:rPr>
        <w:t>„pojišťovací makléř”</w:t>
      </w:r>
      <w:r w:rsidRPr="00F86680">
        <w:rPr>
          <w:rFonts w:cs="Arial"/>
          <w:bCs/>
        </w:rPr>
        <w:t>)</w:t>
      </w:r>
    </w:p>
    <w:p w:rsidR="00105A6D" w:rsidRPr="00F86680" w:rsidRDefault="00105A6D" w:rsidP="000D2909">
      <w:pPr>
        <w:rPr>
          <w:rFonts w:cs="Arial"/>
          <w:u w:val="single"/>
        </w:rPr>
      </w:pPr>
      <w:r w:rsidRPr="00F86680">
        <w:rPr>
          <w:rFonts w:cs="Arial"/>
          <w:bCs/>
        </w:rPr>
        <w:t>Korespondenční adresa pojišťovacího makléře je totožná s adresou sídla pojišťovacího makléře.</w:t>
      </w:r>
    </w:p>
    <w:p w:rsidR="00105A6D" w:rsidRPr="000969FB" w:rsidRDefault="00105A6D" w:rsidP="00F425A6">
      <w:pPr>
        <w:pStyle w:val="Nadpislnk"/>
      </w:pPr>
      <w:r w:rsidRPr="000969FB">
        <w:t>Článek I.</w:t>
      </w:r>
      <w:r w:rsidRPr="000969FB">
        <w:br/>
        <w:t>Úvodní ustanovení</w:t>
      </w:r>
    </w:p>
    <w:p w:rsidR="00105A6D" w:rsidRDefault="00105A6D" w:rsidP="005C6810">
      <w:pPr>
        <w:pStyle w:val="slovn-rove1-netun"/>
        <w:numPr>
          <w:ilvl w:val="0"/>
          <w:numId w:val="0"/>
        </w:numPr>
        <w:ind w:left="425" w:hanging="425"/>
      </w:pPr>
      <w:r>
        <w:t>Beze změn.</w:t>
      </w:r>
    </w:p>
    <w:p w:rsidR="00105A6D" w:rsidRPr="000969FB" w:rsidRDefault="00105A6D" w:rsidP="00172DD7">
      <w:pPr>
        <w:pStyle w:val="Nadpislnk"/>
        <w:keepNext w:val="0"/>
        <w:keepLines w:val="0"/>
      </w:pPr>
      <w:r w:rsidRPr="000969FB">
        <w:t>Článek II.</w:t>
      </w:r>
      <w:r w:rsidRPr="000969FB">
        <w:br/>
        <w:t>Druhy a způsoby pojištění, předměty a rozsah pojištění</w:t>
      </w:r>
    </w:p>
    <w:p w:rsidR="00105A6D" w:rsidRPr="000969FB" w:rsidRDefault="00105A6D" w:rsidP="00E41D35">
      <w:pPr>
        <w:pStyle w:val="slovn-rove1"/>
        <w:numPr>
          <w:ilvl w:val="0"/>
          <w:numId w:val="9"/>
        </w:numPr>
      </w:pPr>
      <w:r w:rsidRPr="000969FB">
        <w:t xml:space="preserve">Obecná ujednání pro pojištění majetku </w:t>
      </w:r>
    </w:p>
    <w:p w:rsidR="00105A6D" w:rsidRDefault="00105A6D" w:rsidP="00521E53">
      <w:pPr>
        <w:pStyle w:val="slovn-rove2-netun"/>
      </w:pPr>
      <w:r w:rsidRPr="000969FB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105A6D" w:rsidRPr="000969FB" w:rsidRDefault="00105A6D" w:rsidP="003C0442">
      <w:pPr>
        <w:pStyle w:val="slovn-rove2"/>
        <w:keepLines/>
        <w:spacing w:after="0"/>
      </w:pPr>
      <w:r w:rsidRPr="000969FB">
        <w:t xml:space="preserve">Pro pojištění majetku je místem pojištění </w:t>
      </w:r>
    </w:p>
    <w:p w:rsidR="00105A6D" w:rsidRPr="000969FB" w:rsidRDefault="00105A6D" w:rsidP="003C0442">
      <w:pPr>
        <w:keepLines/>
        <w:ind w:left="426"/>
      </w:pPr>
      <w:r>
        <w:rPr>
          <w:b/>
        </w:rPr>
        <w:t>ka</w:t>
      </w:r>
      <w:r w:rsidRPr="00883504">
        <w:rPr>
          <w:b/>
        </w:rPr>
        <w:t>tastrální území Města Náměšť nad Oslavou a satelitních obcí</w:t>
      </w:r>
      <w:r w:rsidRPr="000969FB">
        <w:t>,</w:t>
      </w:r>
    </w:p>
    <w:p w:rsidR="00105A6D" w:rsidRDefault="00105A6D" w:rsidP="003C0442">
      <w:pPr>
        <w:keepLines/>
        <w:spacing w:after="120"/>
        <w:ind w:left="426"/>
      </w:pPr>
      <w:r w:rsidRPr="000969FB">
        <w:t>není-li dále uvedeno jinak.</w:t>
      </w:r>
    </w:p>
    <w:p w:rsidR="00105A6D" w:rsidRPr="000969FB" w:rsidRDefault="00105A6D" w:rsidP="00E41D35">
      <w:pPr>
        <w:pStyle w:val="slovn-rove1"/>
        <w:numPr>
          <w:ilvl w:val="0"/>
          <w:numId w:val="9"/>
        </w:numPr>
      </w:pPr>
      <w:r w:rsidRPr="000969FB">
        <w:t>Přehled sjednaných pojištění</w:t>
      </w:r>
    </w:p>
    <w:p w:rsidR="00105A6D" w:rsidRPr="000969FB" w:rsidRDefault="00105A6D" w:rsidP="00521E53">
      <w:pPr>
        <w:pStyle w:val="slovn-rove2"/>
        <w:spacing w:after="0"/>
      </w:pPr>
      <w:r w:rsidRPr="000969FB">
        <w:t>Pojištění věci (majetku)</w:t>
      </w:r>
    </w:p>
    <w:p w:rsidR="00105A6D" w:rsidRPr="000969FB" w:rsidRDefault="00105A6D" w:rsidP="003B0339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:rsidR="00105A6D" w:rsidRPr="000969FB" w:rsidRDefault="00105A6D" w:rsidP="00521E53">
      <w:pPr>
        <w:pStyle w:val="slovn-rove2"/>
        <w:spacing w:after="0"/>
      </w:pPr>
      <w:bookmarkStart w:id="1" w:name="_MON_1248770050"/>
      <w:bookmarkStart w:id="2" w:name="_MON_1248770071"/>
      <w:bookmarkStart w:id="3" w:name="_MON_1248770207"/>
      <w:bookmarkStart w:id="4" w:name="_MON_1248770217"/>
      <w:bookmarkStart w:id="5" w:name="_MON_1251802589"/>
      <w:bookmarkStart w:id="6" w:name="_MON_1279608977"/>
      <w:bookmarkStart w:id="7" w:name="_MON_1279608992"/>
      <w:bookmarkStart w:id="8" w:name="_MON_1322461876"/>
      <w:bookmarkStart w:id="9" w:name="_MON_1322463704"/>
      <w:bookmarkStart w:id="10" w:name="_MON_1324275999"/>
      <w:bookmarkStart w:id="11" w:name="_MON_1338278826"/>
      <w:bookmarkStart w:id="12" w:name="_MON_1248769334"/>
      <w:bookmarkStart w:id="13" w:name="_MON_1248769927"/>
      <w:bookmarkStart w:id="14" w:name="_MON_1248769935"/>
      <w:bookmarkStart w:id="15" w:name="_MON_1248769967"/>
      <w:bookmarkStart w:id="16" w:name="_MON_1248769999"/>
      <w:bookmarkStart w:id="17" w:name="_MON_1248770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969FB">
        <w:t>Živelní pojištění</w:t>
      </w:r>
    </w:p>
    <w:p w:rsidR="00105A6D" w:rsidRDefault="00105A6D" w:rsidP="00150363">
      <w:pPr>
        <w:keepLines/>
        <w:spacing w:after="120"/>
      </w:pPr>
      <w:r w:rsidRPr="000969FB">
        <w:t>Pojištění se sjednává pro předměty pojištění v rozsahu a na místech pojištění uvedených v následující tabulce/následujících tabulkách:</w:t>
      </w:r>
    </w:p>
    <w:p w:rsidR="00105A6D" w:rsidRPr="00D60319" w:rsidRDefault="00105A6D" w:rsidP="00150363">
      <w:pPr>
        <w:keepLines/>
        <w:spacing w:after="120"/>
        <w:rPr>
          <w:b/>
        </w:rPr>
      </w:pPr>
    </w:p>
    <w:p w:rsidR="00105A6D" w:rsidRDefault="00105A6D" w:rsidP="00150363">
      <w:pPr>
        <w:keepLines/>
        <w:spacing w:after="120"/>
        <w:rPr>
          <w:b/>
        </w:rPr>
      </w:pPr>
      <w:r w:rsidRPr="00D60319">
        <w:rPr>
          <w:b/>
        </w:rPr>
        <w:t>Dnem 10.04.2018 se v </w:t>
      </w:r>
      <w:r w:rsidRPr="00D60319">
        <w:rPr>
          <w:u w:val="single"/>
        </w:rPr>
        <w:t>tabulce 2.2.1. Živelní pojištění</w:t>
      </w:r>
      <w:r w:rsidRPr="00D60319">
        <w:rPr>
          <w:b/>
        </w:rPr>
        <w:t xml:space="preserve"> snižuje pojistná částka pro poř.č.1 Soubor nemovitostí vlastních a cizích z 673 383 000 Kč na 513 383 000 Kč. Důvodem snížení pojistné částky je prodej nemovitosti Husova 540 – 556 v hodnotě o 160 000 000 Kč.</w:t>
      </w:r>
    </w:p>
    <w:p w:rsidR="00105A6D" w:rsidRPr="00D60319" w:rsidRDefault="00105A6D" w:rsidP="00150363">
      <w:pPr>
        <w:keepLines/>
        <w:spacing w:after="120"/>
        <w:rPr>
          <w:b/>
        </w:rPr>
      </w:pPr>
    </w:p>
    <w:p w:rsidR="00105A6D" w:rsidRPr="000969FB" w:rsidRDefault="00105A6D" w:rsidP="009C0F40">
      <w:pPr>
        <w:pStyle w:val="slovn-rove3"/>
      </w:pPr>
      <w:r w:rsidRPr="000969FB">
        <w:t>Živelní pojištění</w:t>
      </w:r>
      <w:r>
        <w:t xml:space="preserve"> – nové znění tabulky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2875"/>
        <w:gridCol w:w="1475"/>
        <w:gridCol w:w="1451"/>
        <w:gridCol w:w="1101"/>
        <w:gridCol w:w="1088"/>
        <w:gridCol w:w="1088"/>
      </w:tblGrid>
      <w:tr w:rsidR="00105A6D" w:rsidRPr="000969FB" w:rsidTr="002E0A8D">
        <w:tc>
          <w:tcPr>
            <w:tcW w:w="0" w:type="auto"/>
            <w:gridSpan w:val="7"/>
          </w:tcPr>
          <w:p w:rsidR="00105A6D" w:rsidRPr="002E0A8D" w:rsidRDefault="00105A6D" w:rsidP="00883504">
            <w:pPr>
              <w:rPr>
                <w:b/>
              </w:rPr>
            </w:pPr>
            <w:r w:rsidRPr="002E0A8D">
              <w:rPr>
                <w:b/>
              </w:rPr>
              <w:t>Místo pojištění: katastrální území Města Náměšť nad Oslavou a satelitních obcí</w:t>
            </w:r>
          </w:p>
        </w:tc>
      </w:tr>
      <w:tr w:rsidR="00105A6D" w:rsidRPr="000969FB" w:rsidTr="002E0A8D">
        <w:tc>
          <w:tcPr>
            <w:tcW w:w="0" w:type="auto"/>
            <w:gridSpan w:val="7"/>
          </w:tcPr>
          <w:p w:rsidR="00105A6D" w:rsidRPr="000969FB" w:rsidRDefault="00105A6D" w:rsidP="00883504">
            <w:r w:rsidRPr="002E0A8D">
              <w:rPr>
                <w:b/>
              </w:rPr>
              <w:t>Rozsah pojištění:</w:t>
            </w:r>
            <w:r w:rsidRPr="000969FB">
              <w:t xml:space="preserve"> </w:t>
            </w:r>
            <w:r>
              <w:t>sdružený živel + atmosférické srážky + nepřímý úder blesku</w:t>
            </w:r>
          </w:p>
        </w:tc>
      </w:tr>
      <w:tr w:rsidR="00105A6D" w:rsidRPr="000969FB" w:rsidTr="002E0A8D">
        <w:tc>
          <w:tcPr>
            <w:tcW w:w="0" w:type="auto"/>
            <w:gridSpan w:val="7"/>
          </w:tcPr>
          <w:p w:rsidR="00105A6D" w:rsidRPr="000969FB" w:rsidRDefault="00105A6D" w:rsidP="00883504">
            <w:r w:rsidRPr="002E0A8D">
              <w:rPr>
                <w:b/>
              </w:rPr>
              <w:t>Pojištění se řídí:</w:t>
            </w:r>
            <w:r w:rsidRPr="000969FB">
              <w:t xml:space="preserve"> VPP P-100/14, ZPP P-150/14 a doložkami DOB101, DOB103, DOB105, DOB107</w:t>
            </w:r>
            <w:r>
              <w:t xml:space="preserve">, DZ101, DZ108, DZ112, DZ113 a DZ114 </w:t>
            </w:r>
          </w:p>
        </w:tc>
      </w:tr>
      <w:tr w:rsidR="00105A6D" w:rsidRPr="000969FB" w:rsidTr="002E0A8D">
        <w:trPr>
          <w:cantSplit/>
        </w:trPr>
        <w:tc>
          <w:tcPr>
            <w:tcW w:w="0" w:type="auto"/>
            <w:vAlign w:val="center"/>
          </w:tcPr>
          <w:p w:rsidR="00105A6D" w:rsidRPr="002E0A8D" w:rsidRDefault="00105A6D" w:rsidP="002E0A8D">
            <w:pPr>
              <w:jc w:val="center"/>
              <w:rPr>
                <w:b/>
              </w:rPr>
            </w:pPr>
            <w:r w:rsidRPr="002E0A8D">
              <w:rPr>
                <w:b/>
              </w:rPr>
              <w:t>Poř. číslo</w:t>
            </w:r>
          </w:p>
        </w:tc>
        <w:tc>
          <w:tcPr>
            <w:tcW w:w="3141" w:type="dxa"/>
            <w:vAlign w:val="center"/>
          </w:tcPr>
          <w:p w:rsidR="00105A6D" w:rsidRPr="002E0A8D" w:rsidRDefault="00105A6D" w:rsidP="002E0A8D">
            <w:pPr>
              <w:jc w:val="center"/>
              <w:rPr>
                <w:b/>
              </w:rPr>
            </w:pPr>
            <w:r w:rsidRPr="002E0A8D">
              <w:rPr>
                <w:b/>
              </w:rPr>
              <w:t>Předmět pojištění</w:t>
            </w:r>
          </w:p>
        </w:tc>
        <w:tc>
          <w:tcPr>
            <w:tcW w:w="1550" w:type="dxa"/>
            <w:vAlign w:val="center"/>
          </w:tcPr>
          <w:p w:rsidR="00105A6D" w:rsidRPr="002E0A8D" w:rsidRDefault="00105A6D" w:rsidP="002E0A8D">
            <w:pPr>
              <w:jc w:val="center"/>
              <w:rPr>
                <w:b/>
              </w:rPr>
            </w:pPr>
            <w:r w:rsidRPr="002E0A8D">
              <w:rPr>
                <w:b/>
              </w:rPr>
              <w:t>Pojistná částka</w:t>
            </w:r>
            <w:r w:rsidRPr="002E0A8D">
              <w:rPr>
                <w:b/>
                <w:vertAlign w:val="superscript"/>
              </w:rPr>
              <w:t>10)</w:t>
            </w:r>
          </w:p>
        </w:tc>
        <w:tc>
          <w:tcPr>
            <w:tcW w:w="0" w:type="auto"/>
            <w:vAlign w:val="center"/>
          </w:tcPr>
          <w:p w:rsidR="00105A6D" w:rsidRPr="002E0A8D" w:rsidRDefault="00105A6D" w:rsidP="002E0A8D">
            <w:pPr>
              <w:jc w:val="center"/>
              <w:rPr>
                <w:b/>
              </w:rPr>
            </w:pPr>
            <w:r w:rsidRPr="002E0A8D">
              <w:rPr>
                <w:b/>
              </w:rPr>
              <w:t>Spoluúčast</w:t>
            </w:r>
            <w:r w:rsidRPr="002E0A8D">
              <w:rPr>
                <w:b/>
                <w:vertAlign w:val="superscript"/>
              </w:rPr>
              <w:t>5)</w:t>
            </w:r>
          </w:p>
        </w:tc>
        <w:tc>
          <w:tcPr>
            <w:tcW w:w="0" w:type="auto"/>
            <w:vAlign w:val="center"/>
          </w:tcPr>
          <w:p w:rsidR="00105A6D" w:rsidRPr="002E0A8D" w:rsidRDefault="00105A6D" w:rsidP="002E0A8D">
            <w:pPr>
              <w:jc w:val="center"/>
              <w:rPr>
                <w:b/>
              </w:rPr>
            </w:pPr>
            <w:r w:rsidRPr="002E0A8D">
              <w:rPr>
                <w:b/>
              </w:rPr>
              <w:t>Pojištění se sjednává na cenu</w:t>
            </w:r>
            <w:r w:rsidRPr="002E0A8D">
              <w:rPr>
                <w:b/>
                <w:vertAlign w:val="superscript"/>
              </w:rPr>
              <w:t>*) 1)</w:t>
            </w:r>
          </w:p>
        </w:tc>
        <w:tc>
          <w:tcPr>
            <w:tcW w:w="0" w:type="auto"/>
            <w:vAlign w:val="center"/>
          </w:tcPr>
          <w:p w:rsidR="00105A6D" w:rsidRPr="002E0A8D" w:rsidRDefault="00105A6D" w:rsidP="002E0A8D">
            <w:pPr>
              <w:jc w:val="center"/>
              <w:rPr>
                <w:b/>
              </w:rPr>
            </w:pPr>
            <w:r w:rsidRPr="002E0A8D">
              <w:rPr>
                <w:b/>
              </w:rPr>
              <w:t>MRLP</w:t>
            </w:r>
            <w:r w:rsidRPr="002E0A8D">
              <w:rPr>
                <w:b/>
                <w:vertAlign w:val="superscript"/>
              </w:rPr>
              <w:t>3)</w:t>
            </w:r>
          </w:p>
          <w:p w:rsidR="00105A6D" w:rsidRPr="002E0A8D" w:rsidRDefault="00105A6D" w:rsidP="002E0A8D">
            <w:pPr>
              <w:jc w:val="center"/>
              <w:rPr>
                <w:b/>
              </w:rPr>
            </w:pPr>
            <w:r w:rsidRPr="002E0A8D">
              <w:rPr>
                <w:b/>
              </w:rPr>
              <w:t>První riziko</w:t>
            </w:r>
            <w:r w:rsidRPr="002E0A8D">
              <w:rPr>
                <w:b/>
                <w:vertAlign w:val="superscript"/>
              </w:rPr>
              <w:t>2)</w:t>
            </w:r>
          </w:p>
        </w:tc>
        <w:tc>
          <w:tcPr>
            <w:tcW w:w="0" w:type="auto"/>
            <w:vAlign w:val="center"/>
          </w:tcPr>
          <w:p w:rsidR="00105A6D" w:rsidRPr="002E0A8D" w:rsidRDefault="00105A6D" w:rsidP="002E0A8D">
            <w:pPr>
              <w:jc w:val="center"/>
              <w:rPr>
                <w:b/>
              </w:rPr>
            </w:pPr>
            <w:r w:rsidRPr="002E0A8D">
              <w:rPr>
                <w:b/>
              </w:rPr>
              <w:t>MRLP</w:t>
            </w:r>
            <w:r w:rsidRPr="002E0A8D">
              <w:rPr>
                <w:b/>
                <w:vertAlign w:val="superscript"/>
              </w:rPr>
              <w:t>3)</w:t>
            </w:r>
          </w:p>
        </w:tc>
      </w:tr>
      <w:tr w:rsidR="00105A6D" w:rsidRPr="000969FB" w:rsidTr="002E0A8D">
        <w:trPr>
          <w:trHeight w:val="590"/>
        </w:trPr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 w:rsidRPr="000969FB">
              <w:t>1.</w:t>
            </w:r>
          </w:p>
        </w:tc>
        <w:tc>
          <w:tcPr>
            <w:tcW w:w="3141" w:type="dxa"/>
          </w:tcPr>
          <w:p w:rsidR="00105A6D" w:rsidRPr="002E0A8D" w:rsidRDefault="00105A6D" w:rsidP="002E0A8D">
            <w:pPr>
              <w:jc w:val="left"/>
              <w:rPr>
                <w:szCs w:val="20"/>
              </w:rPr>
            </w:pPr>
          </w:p>
          <w:p w:rsidR="00105A6D" w:rsidRPr="002E0A8D" w:rsidRDefault="00105A6D" w:rsidP="002E0A8D">
            <w:pPr>
              <w:jc w:val="left"/>
              <w:rPr>
                <w:szCs w:val="20"/>
              </w:rPr>
            </w:pPr>
            <w:r w:rsidRPr="002E0A8D">
              <w:rPr>
                <w:szCs w:val="20"/>
              </w:rPr>
              <w:t>Soubor nemovitostí vlastních i cizích</w:t>
            </w:r>
          </w:p>
          <w:p w:rsidR="00105A6D" w:rsidRPr="000969FB" w:rsidRDefault="00105A6D" w:rsidP="002E0A8D">
            <w:pPr>
              <w:jc w:val="left"/>
            </w:pPr>
          </w:p>
        </w:tc>
        <w:tc>
          <w:tcPr>
            <w:tcW w:w="1550" w:type="dxa"/>
            <w:vAlign w:val="center"/>
          </w:tcPr>
          <w:p w:rsidR="00105A6D" w:rsidRPr="002E0A8D" w:rsidRDefault="00105A6D" w:rsidP="002E0A8D">
            <w:pPr>
              <w:jc w:val="center"/>
              <w:rPr>
                <w:szCs w:val="20"/>
              </w:rPr>
            </w:pPr>
          </w:p>
          <w:p w:rsidR="00105A6D" w:rsidRPr="002E0A8D" w:rsidRDefault="00105A6D" w:rsidP="002E0A8D">
            <w:pPr>
              <w:jc w:val="center"/>
              <w:rPr>
                <w:szCs w:val="20"/>
              </w:rPr>
            </w:pPr>
            <w:r w:rsidRPr="002E0A8D">
              <w:rPr>
                <w:szCs w:val="20"/>
              </w:rPr>
              <w:t>513 383 000 Kč</w:t>
            </w:r>
            <w:bookmarkStart w:id="18" w:name="_GoBack"/>
            <w:bookmarkEnd w:id="18"/>
          </w:p>
          <w:p w:rsidR="00105A6D" w:rsidRPr="000969FB" w:rsidRDefault="00105A6D" w:rsidP="002E0A8D">
            <w:pPr>
              <w:jc w:val="center"/>
            </w:pP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1 000 Kč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 w:rsidRPr="000969FB">
              <w:t>*)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</w:tr>
      <w:tr w:rsidR="00105A6D" w:rsidRPr="000969FB" w:rsidTr="002E0A8D"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2.</w:t>
            </w:r>
          </w:p>
        </w:tc>
        <w:tc>
          <w:tcPr>
            <w:tcW w:w="3141" w:type="dxa"/>
            <w:vAlign w:val="center"/>
          </w:tcPr>
          <w:p w:rsidR="00105A6D" w:rsidRPr="002E0A8D" w:rsidRDefault="00105A6D" w:rsidP="002E0A8D">
            <w:pPr>
              <w:jc w:val="left"/>
              <w:rPr>
                <w:szCs w:val="20"/>
              </w:rPr>
            </w:pPr>
          </w:p>
          <w:p w:rsidR="00105A6D" w:rsidRPr="002E0A8D" w:rsidRDefault="00105A6D" w:rsidP="002E0A8D">
            <w:pPr>
              <w:jc w:val="left"/>
              <w:rPr>
                <w:szCs w:val="20"/>
              </w:rPr>
            </w:pPr>
            <w:r w:rsidRPr="002E0A8D">
              <w:rPr>
                <w:szCs w:val="20"/>
              </w:rPr>
              <w:t>Soubor movitých předmětů vlastních i cizích</w:t>
            </w:r>
          </w:p>
          <w:p w:rsidR="00105A6D" w:rsidRPr="000969FB" w:rsidRDefault="00105A6D" w:rsidP="002E0A8D">
            <w:pPr>
              <w:jc w:val="left"/>
            </w:pPr>
          </w:p>
        </w:tc>
        <w:tc>
          <w:tcPr>
            <w:tcW w:w="1550" w:type="dxa"/>
            <w:vAlign w:val="center"/>
          </w:tcPr>
          <w:p w:rsidR="00105A6D" w:rsidRPr="002E0A8D" w:rsidRDefault="00105A6D" w:rsidP="002E0A8D">
            <w:pPr>
              <w:jc w:val="center"/>
              <w:rPr>
                <w:szCs w:val="20"/>
              </w:rPr>
            </w:pPr>
          </w:p>
          <w:p w:rsidR="00105A6D" w:rsidRPr="002E0A8D" w:rsidRDefault="00105A6D" w:rsidP="002E0A8D">
            <w:pPr>
              <w:jc w:val="center"/>
              <w:rPr>
                <w:szCs w:val="20"/>
              </w:rPr>
            </w:pPr>
            <w:r w:rsidRPr="002E0A8D">
              <w:rPr>
                <w:szCs w:val="20"/>
              </w:rPr>
              <w:t>15 000 000 Kč</w:t>
            </w:r>
          </w:p>
          <w:p w:rsidR="00105A6D" w:rsidRPr="000969FB" w:rsidRDefault="00105A6D" w:rsidP="002E0A8D">
            <w:pPr>
              <w:jc w:val="center"/>
            </w:pP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1 000 Kč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 w:rsidRPr="000969FB">
              <w:t>*)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</w:tr>
      <w:tr w:rsidR="00105A6D" w:rsidRPr="000969FB" w:rsidTr="002E0A8D"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3.</w:t>
            </w:r>
          </w:p>
        </w:tc>
        <w:tc>
          <w:tcPr>
            <w:tcW w:w="3141" w:type="dxa"/>
          </w:tcPr>
          <w:p w:rsidR="00105A6D" w:rsidRPr="002E0A8D" w:rsidRDefault="00105A6D" w:rsidP="002E0A8D">
            <w:pPr>
              <w:jc w:val="left"/>
              <w:rPr>
                <w:szCs w:val="20"/>
              </w:rPr>
            </w:pPr>
          </w:p>
          <w:p w:rsidR="00105A6D" w:rsidRPr="002E0A8D" w:rsidRDefault="00105A6D" w:rsidP="002E0A8D">
            <w:pPr>
              <w:jc w:val="left"/>
              <w:rPr>
                <w:szCs w:val="20"/>
              </w:rPr>
            </w:pPr>
            <w:r w:rsidRPr="002E0A8D">
              <w:rPr>
                <w:szCs w:val="20"/>
              </w:rPr>
              <w:t>Soubor movitých předmětů-stacionární, přenosné a mobilní dopravní značky</w:t>
            </w:r>
          </w:p>
          <w:p w:rsidR="00105A6D" w:rsidRPr="000969FB" w:rsidRDefault="00105A6D" w:rsidP="002E0A8D">
            <w:pPr>
              <w:jc w:val="left"/>
            </w:pPr>
          </w:p>
        </w:tc>
        <w:tc>
          <w:tcPr>
            <w:tcW w:w="1550" w:type="dxa"/>
            <w:vAlign w:val="center"/>
          </w:tcPr>
          <w:p w:rsidR="00105A6D" w:rsidRPr="002E0A8D" w:rsidRDefault="00105A6D" w:rsidP="002E0A8D">
            <w:pPr>
              <w:jc w:val="center"/>
              <w:rPr>
                <w:szCs w:val="20"/>
              </w:rPr>
            </w:pPr>
            <w:r w:rsidRPr="002E0A8D">
              <w:rPr>
                <w:szCs w:val="20"/>
              </w:rPr>
              <w:t>50 000 Kč</w:t>
            </w:r>
          </w:p>
          <w:p w:rsidR="00105A6D" w:rsidRPr="000969FB" w:rsidRDefault="00105A6D" w:rsidP="002E0A8D">
            <w:pPr>
              <w:jc w:val="center"/>
            </w:pP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1 000 Kč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 w:rsidRPr="000969FB">
              <w:t>*)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</w:tr>
      <w:tr w:rsidR="00105A6D" w:rsidRPr="000969FB" w:rsidTr="002E0A8D"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4.</w:t>
            </w:r>
          </w:p>
        </w:tc>
        <w:tc>
          <w:tcPr>
            <w:tcW w:w="3141" w:type="dxa"/>
          </w:tcPr>
          <w:p w:rsidR="00105A6D" w:rsidRPr="002E0A8D" w:rsidRDefault="00105A6D" w:rsidP="002E0A8D">
            <w:pPr>
              <w:jc w:val="left"/>
              <w:rPr>
                <w:szCs w:val="20"/>
              </w:rPr>
            </w:pPr>
          </w:p>
          <w:p w:rsidR="00105A6D" w:rsidRPr="002E0A8D" w:rsidRDefault="00105A6D" w:rsidP="002E0A8D">
            <w:pPr>
              <w:jc w:val="left"/>
              <w:rPr>
                <w:szCs w:val="20"/>
              </w:rPr>
            </w:pPr>
            <w:r w:rsidRPr="002E0A8D">
              <w:rPr>
                <w:szCs w:val="20"/>
              </w:rPr>
              <w:t>Zázemí dopravního terminálu</w:t>
            </w:r>
          </w:p>
          <w:p w:rsidR="00105A6D" w:rsidRPr="000969FB" w:rsidRDefault="00105A6D" w:rsidP="002E0A8D">
            <w:pPr>
              <w:ind w:firstLine="709"/>
              <w:jc w:val="left"/>
            </w:pPr>
          </w:p>
        </w:tc>
        <w:tc>
          <w:tcPr>
            <w:tcW w:w="1550" w:type="dxa"/>
            <w:vAlign w:val="center"/>
          </w:tcPr>
          <w:p w:rsidR="00105A6D" w:rsidRPr="002E0A8D" w:rsidRDefault="00105A6D" w:rsidP="002E0A8D">
            <w:pPr>
              <w:jc w:val="center"/>
              <w:rPr>
                <w:szCs w:val="20"/>
              </w:rPr>
            </w:pPr>
          </w:p>
          <w:p w:rsidR="00105A6D" w:rsidRPr="002E0A8D" w:rsidRDefault="00105A6D" w:rsidP="002E0A8D">
            <w:pPr>
              <w:jc w:val="center"/>
              <w:rPr>
                <w:szCs w:val="20"/>
              </w:rPr>
            </w:pPr>
            <w:r w:rsidRPr="002E0A8D">
              <w:rPr>
                <w:szCs w:val="20"/>
              </w:rPr>
              <w:t>2 851 621 Kč</w:t>
            </w:r>
          </w:p>
          <w:p w:rsidR="00105A6D" w:rsidRPr="000969FB" w:rsidRDefault="00105A6D" w:rsidP="002E0A8D">
            <w:pPr>
              <w:jc w:val="center"/>
            </w:pP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1 000 Kč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 w:rsidRPr="000969FB">
              <w:t>*)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</w:tr>
      <w:tr w:rsidR="00105A6D" w:rsidRPr="000969FB" w:rsidTr="002E0A8D"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5.</w:t>
            </w:r>
          </w:p>
        </w:tc>
        <w:tc>
          <w:tcPr>
            <w:tcW w:w="3141" w:type="dxa"/>
          </w:tcPr>
          <w:p w:rsidR="00105A6D" w:rsidRPr="002E0A8D" w:rsidRDefault="00105A6D" w:rsidP="002E0A8D">
            <w:pPr>
              <w:jc w:val="left"/>
              <w:rPr>
                <w:szCs w:val="20"/>
              </w:rPr>
            </w:pPr>
          </w:p>
          <w:p w:rsidR="00105A6D" w:rsidRPr="002E0A8D" w:rsidRDefault="00105A6D" w:rsidP="002E0A8D">
            <w:pPr>
              <w:jc w:val="left"/>
              <w:rPr>
                <w:szCs w:val="20"/>
              </w:rPr>
            </w:pPr>
            <w:r w:rsidRPr="002E0A8D">
              <w:rPr>
                <w:szCs w:val="20"/>
              </w:rPr>
              <w:t>Dopravní terminál</w:t>
            </w:r>
          </w:p>
          <w:p w:rsidR="00105A6D" w:rsidRPr="000969FB" w:rsidRDefault="00105A6D" w:rsidP="002E0A8D">
            <w:pPr>
              <w:jc w:val="left"/>
            </w:pPr>
          </w:p>
        </w:tc>
        <w:tc>
          <w:tcPr>
            <w:tcW w:w="1550" w:type="dxa"/>
            <w:vAlign w:val="center"/>
          </w:tcPr>
          <w:p w:rsidR="00105A6D" w:rsidRPr="002E0A8D" w:rsidRDefault="00105A6D" w:rsidP="002E0A8D">
            <w:pPr>
              <w:jc w:val="center"/>
              <w:rPr>
                <w:szCs w:val="20"/>
              </w:rPr>
            </w:pPr>
          </w:p>
          <w:p w:rsidR="00105A6D" w:rsidRPr="002E0A8D" w:rsidRDefault="00105A6D" w:rsidP="002E0A8D">
            <w:pPr>
              <w:jc w:val="center"/>
              <w:rPr>
                <w:szCs w:val="20"/>
              </w:rPr>
            </w:pPr>
            <w:r w:rsidRPr="002E0A8D">
              <w:rPr>
                <w:szCs w:val="20"/>
              </w:rPr>
              <w:t>5 062 409 Kč</w:t>
            </w:r>
          </w:p>
          <w:p w:rsidR="00105A6D" w:rsidRPr="000969FB" w:rsidRDefault="00105A6D" w:rsidP="002E0A8D">
            <w:pPr>
              <w:jc w:val="center"/>
            </w:pP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1 000 Kč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 w:rsidRPr="000969FB">
              <w:t>*)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</w:tr>
      <w:tr w:rsidR="00105A6D" w:rsidRPr="000969FB" w:rsidTr="002E0A8D"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6.</w:t>
            </w:r>
          </w:p>
        </w:tc>
        <w:tc>
          <w:tcPr>
            <w:tcW w:w="3141" w:type="dxa"/>
          </w:tcPr>
          <w:p w:rsidR="00105A6D" w:rsidRPr="002E0A8D" w:rsidRDefault="00105A6D" w:rsidP="002E0A8D">
            <w:pPr>
              <w:jc w:val="left"/>
              <w:rPr>
                <w:color w:val="000000"/>
                <w:szCs w:val="20"/>
              </w:rPr>
            </w:pPr>
          </w:p>
          <w:p w:rsidR="00105A6D" w:rsidRPr="002E0A8D" w:rsidRDefault="00105A6D" w:rsidP="002E0A8D">
            <w:pPr>
              <w:jc w:val="left"/>
              <w:rPr>
                <w:color w:val="000000"/>
                <w:szCs w:val="20"/>
              </w:rPr>
            </w:pPr>
            <w:r w:rsidRPr="002E0A8D">
              <w:rPr>
                <w:color w:val="000000"/>
                <w:szCs w:val="20"/>
              </w:rPr>
              <w:t>Revitalizace ulice Lipová</w:t>
            </w:r>
          </w:p>
          <w:p w:rsidR="00105A6D" w:rsidRPr="000969FB" w:rsidRDefault="00105A6D" w:rsidP="002E0A8D">
            <w:pPr>
              <w:jc w:val="left"/>
            </w:pPr>
          </w:p>
        </w:tc>
        <w:tc>
          <w:tcPr>
            <w:tcW w:w="1550" w:type="dxa"/>
            <w:vAlign w:val="center"/>
          </w:tcPr>
          <w:p w:rsidR="00105A6D" w:rsidRPr="002E0A8D" w:rsidRDefault="00105A6D" w:rsidP="002E0A8D">
            <w:pPr>
              <w:jc w:val="center"/>
              <w:rPr>
                <w:szCs w:val="20"/>
              </w:rPr>
            </w:pPr>
          </w:p>
          <w:p w:rsidR="00105A6D" w:rsidRDefault="00105A6D" w:rsidP="002E0A8D">
            <w:pPr>
              <w:jc w:val="center"/>
            </w:pPr>
            <w:r w:rsidRPr="002E0A8D">
              <w:rPr>
                <w:szCs w:val="20"/>
              </w:rPr>
              <w:t>3 850 657 Kč</w:t>
            </w:r>
          </w:p>
          <w:p w:rsidR="00105A6D" w:rsidRPr="00883504" w:rsidRDefault="00105A6D" w:rsidP="002E0A8D">
            <w:pPr>
              <w:jc w:val="center"/>
            </w:pP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1 000 Kč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 w:rsidRPr="000969FB">
              <w:t>*)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</w:tr>
      <w:tr w:rsidR="00105A6D" w:rsidRPr="000969FB" w:rsidTr="002E0A8D"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7.</w:t>
            </w:r>
          </w:p>
        </w:tc>
        <w:tc>
          <w:tcPr>
            <w:tcW w:w="3141" w:type="dxa"/>
          </w:tcPr>
          <w:p w:rsidR="00105A6D" w:rsidRPr="002E0A8D" w:rsidRDefault="00105A6D" w:rsidP="002E0A8D">
            <w:pPr>
              <w:jc w:val="left"/>
              <w:rPr>
                <w:szCs w:val="20"/>
              </w:rPr>
            </w:pPr>
          </w:p>
          <w:p w:rsidR="00105A6D" w:rsidRPr="002E0A8D" w:rsidRDefault="00105A6D" w:rsidP="002E0A8D">
            <w:pPr>
              <w:jc w:val="left"/>
              <w:rPr>
                <w:szCs w:val="20"/>
              </w:rPr>
            </w:pPr>
            <w:r w:rsidRPr="002E0A8D">
              <w:rPr>
                <w:szCs w:val="20"/>
              </w:rPr>
              <w:t>Soubor ostatních staveb vlastních i cizích - např. drobné stavby, zpevněné plochy, mosty, lávky, kanalizace, vodovodní řád, oplocení, rozhlas, veřejné osvětlení, včetně nákladů vzniklých v souvislosti s pojistným nebezpečím.</w:t>
            </w:r>
          </w:p>
          <w:p w:rsidR="00105A6D" w:rsidRPr="000969FB" w:rsidRDefault="00105A6D" w:rsidP="002E0A8D">
            <w:pPr>
              <w:jc w:val="left"/>
            </w:pPr>
          </w:p>
        </w:tc>
        <w:tc>
          <w:tcPr>
            <w:tcW w:w="1550" w:type="dxa"/>
            <w:vAlign w:val="center"/>
          </w:tcPr>
          <w:p w:rsidR="00105A6D" w:rsidRPr="000969FB" w:rsidRDefault="00105A6D" w:rsidP="002E0A8D">
            <w:pPr>
              <w:jc w:val="center"/>
            </w:pPr>
            <w:r>
              <w:t>-----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1 000 Kč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 w:rsidRPr="000969FB">
              <w:t>*)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500 000 Kč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</w:tr>
      <w:tr w:rsidR="00105A6D" w:rsidRPr="000969FB" w:rsidTr="002E0A8D"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8.</w:t>
            </w:r>
          </w:p>
        </w:tc>
        <w:tc>
          <w:tcPr>
            <w:tcW w:w="3141" w:type="dxa"/>
          </w:tcPr>
          <w:p w:rsidR="00105A6D" w:rsidRPr="002E0A8D" w:rsidRDefault="00105A6D" w:rsidP="002E0A8D">
            <w:pPr>
              <w:jc w:val="left"/>
              <w:rPr>
                <w:szCs w:val="20"/>
              </w:rPr>
            </w:pPr>
          </w:p>
          <w:p w:rsidR="00105A6D" w:rsidRPr="002E0A8D" w:rsidRDefault="00105A6D" w:rsidP="002E0A8D">
            <w:pPr>
              <w:jc w:val="left"/>
              <w:rPr>
                <w:szCs w:val="20"/>
              </w:rPr>
            </w:pPr>
            <w:r w:rsidRPr="002E0A8D">
              <w:rPr>
                <w:szCs w:val="20"/>
              </w:rPr>
              <w:t>Soubor vlastních i cizích sadových a venkovních úprav, osazení, herní prvky, hřiště, umělé povrchy vč. svodidel, zábradlí, sochy, památníky a boží muka apod. včetně nákladů vzniklých v souvislosti s pojistným nebezpečím</w:t>
            </w:r>
          </w:p>
          <w:p w:rsidR="00105A6D" w:rsidRPr="000969FB" w:rsidRDefault="00105A6D" w:rsidP="002E0A8D">
            <w:pPr>
              <w:jc w:val="left"/>
            </w:pPr>
          </w:p>
        </w:tc>
        <w:tc>
          <w:tcPr>
            <w:tcW w:w="1550" w:type="dxa"/>
            <w:vAlign w:val="center"/>
          </w:tcPr>
          <w:p w:rsidR="00105A6D" w:rsidRPr="000969FB" w:rsidRDefault="00105A6D" w:rsidP="002E0A8D">
            <w:pPr>
              <w:jc w:val="center"/>
            </w:pPr>
            <w:r>
              <w:t>-----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1 000 Kč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 w:rsidRPr="000969FB">
              <w:t>*)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100 000 Kč</w:t>
            </w:r>
          </w:p>
        </w:tc>
        <w:tc>
          <w:tcPr>
            <w:tcW w:w="0" w:type="auto"/>
            <w:vAlign w:val="center"/>
          </w:tcPr>
          <w:p w:rsidR="00105A6D" w:rsidRPr="000969FB" w:rsidRDefault="00105A6D" w:rsidP="002E0A8D">
            <w:pPr>
              <w:jc w:val="center"/>
            </w:pPr>
            <w:r>
              <w:t>Není sjednáno</w:t>
            </w:r>
          </w:p>
        </w:tc>
      </w:tr>
      <w:tr w:rsidR="00105A6D" w:rsidRPr="000969FB" w:rsidTr="002E0A8D">
        <w:tc>
          <w:tcPr>
            <w:tcW w:w="0" w:type="auto"/>
            <w:gridSpan w:val="7"/>
          </w:tcPr>
          <w:p w:rsidR="00105A6D" w:rsidRDefault="00105A6D" w:rsidP="0094395E">
            <w:r w:rsidRPr="000969FB">
              <w:t xml:space="preserve">Poznámky: </w:t>
            </w:r>
          </w:p>
          <w:p w:rsidR="00105A6D" w:rsidRDefault="00105A6D" w:rsidP="0094395E">
            <w:r>
              <w:t>Pro riziko povodeň a záplava se sjednává spoluúčast ve výši 10%, min. 20 000 Kč.</w:t>
            </w:r>
          </w:p>
          <w:p w:rsidR="00105A6D" w:rsidRPr="000969FB" w:rsidRDefault="00105A6D" w:rsidP="0094395E"/>
          <w:p w:rsidR="00105A6D" w:rsidRPr="000969FB" w:rsidRDefault="00105A6D" w:rsidP="0094395E">
            <w:r w:rsidRPr="000969FB">
              <w:t>Ujednává se, že se ustanovení čl. 3 odst. 3) ZPP P-150/14 ruší a nově zní:</w:t>
            </w:r>
          </w:p>
          <w:p w:rsidR="00105A6D" w:rsidRPr="000969FB" w:rsidRDefault="00105A6D" w:rsidP="0094395E">
            <w:r w:rsidRPr="000969FB">
              <w:t>„Z pojištění nevzniká právo na plnění pojistitele za škody vzniklé na pojištěné věci během její přepravy jako nákladu.“</w:t>
            </w:r>
          </w:p>
        </w:tc>
      </w:tr>
    </w:tbl>
    <w:p w:rsidR="00105A6D" w:rsidRDefault="00105A6D" w:rsidP="00F72086">
      <w:pPr>
        <w:spacing w:after="240"/>
        <w:rPr>
          <w:sz w:val="16"/>
        </w:rPr>
      </w:pPr>
      <w:r w:rsidRPr="000969FB">
        <w:rPr>
          <w:sz w:val="16"/>
        </w:rPr>
        <w:t>*) není-li uvedeno, sjednává se pojištění s pojistnou hodnotou uvedenou v příslušných pojistných podmínkách</w:t>
      </w:r>
    </w:p>
    <w:p w:rsidR="00105A6D" w:rsidRDefault="00105A6D" w:rsidP="00521E53">
      <w:pPr>
        <w:pStyle w:val="slovn-rove2"/>
        <w:spacing w:after="0"/>
      </w:pPr>
      <w:r w:rsidRPr="000969FB">
        <w:t>Pojištění pro případ odcizení</w:t>
      </w:r>
    </w:p>
    <w:p w:rsidR="00105A6D" w:rsidRPr="0074594D" w:rsidRDefault="00105A6D" w:rsidP="00D60319">
      <w:pPr>
        <w:pStyle w:val="slovn-rove2"/>
        <w:numPr>
          <w:ilvl w:val="0"/>
          <w:numId w:val="0"/>
        </w:numPr>
        <w:spacing w:after="0"/>
        <w:rPr>
          <w:b w:val="0"/>
        </w:rPr>
      </w:pPr>
      <w:r w:rsidRPr="0074594D">
        <w:rPr>
          <w:b w:val="0"/>
        </w:rPr>
        <w:t>Beze změn.</w:t>
      </w:r>
    </w:p>
    <w:p w:rsidR="00105A6D" w:rsidRDefault="00105A6D" w:rsidP="00521E53">
      <w:pPr>
        <w:pStyle w:val="slovn-rove2"/>
        <w:spacing w:after="0"/>
      </w:pPr>
      <w:r w:rsidRPr="000969FB">
        <w:t>Pojištění pro případ vandalismu</w:t>
      </w:r>
    </w:p>
    <w:p w:rsidR="00105A6D" w:rsidRPr="0074594D" w:rsidRDefault="00105A6D" w:rsidP="0074594D">
      <w:pPr>
        <w:pStyle w:val="slovn-rove1"/>
        <w:numPr>
          <w:ilvl w:val="0"/>
          <w:numId w:val="0"/>
        </w:numPr>
        <w:rPr>
          <w:b w:val="0"/>
        </w:rPr>
      </w:pPr>
      <w:r w:rsidRPr="0074594D">
        <w:rPr>
          <w:b w:val="0"/>
        </w:rPr>
        <w:t>Beze změn.</w:t>
      </w:r>
    </w:p>
    <w:p w:rsidR="00105A6D" w:rsidRPr="000969FB" w:rsidRDefault="00105A6D" w:rsidP="00521E53">
      <w:pPr>
        <w:pStyle w:val="slovn-rove2"/>
        <w:spacing w:after="0"/>
      </w:pPr>
      <w:r w:rsidRPr="000969FB">
        <w:t>Pojištění skla</w:t>
      </w:r>
    </w:p>
    <w:p w:rsidR="00105A6D" w:rsidRPr="0074594D" w:rsidRDefault="00105A6D" w:rsidP="0074594D">
      <w:pPr>
        <w:pStyle w:val="slovn-rove1"/>
        <w:numPr>
          <w:ilvl w:val="0"/>
          <w:numId w:val="0"/>
        </w:numPr>
        <w:rPr>
          <w:b w:val="0"/>
        </w:rPr>
      </w:pPr>
      <w:r w:rsidRPr="0074594D">
        <w:rPr>
          <w:b w:val="0"/>
        </w:rPr>
        <w:t>Beze změn.</w:t>
      </w:r>
    </w:p>
    <w:p w:rsidR="00105A6D" w:rsidRDefault="00105A6D" w:rsidP="00521E53">
      <w:pPr>
        <w:pStyle w:val="slovn-rove2"/>
        <w:spacing w:after="0"/>
      </w:pPr>
      <w:r w:rsidRPr="000969FB">
        <w:t>Pojištění elektronických zařízení</w:t>
      </w:r>
    </w:p>
    <w:p w:rsidR="00105A6D" w:rsidRPr="0074594D" w:rsidRDefault="00105A6D" w:rsidP="0074594D">
      <w:pPr>
        <w:pStyle w:val="slovn-rove1"/>
        <w:numPr>
          <w:ilvl w:val="0"/>
          <w:numId w:val="0"/>
        </w:numPr>
        <w:rPr>
          <w:b w:val="0"/>
        </w:rPr>
      </w:pPr>
      <w:r w:rsidRPr="0074594D">
        <w:rPr>
          <w:b w:val="0"/>
        </w:rPr>
        <w:t>Beze změn.</w:t>
      </w:r>
    </w:p>
    <w:p w:rsidR="00105A6D" w:rsidRDefault="00105A6D" w:rsidP="008F5003">
      <w:pPr>
        <w:pStyle w:val="slovn-rove2"/>
        <w:spacing w:after="0"/>
      </w:pPr>
      <w:r w:rsidRPr="000969FB">
        <w:t>Pojištění odpovědnosti za újmu</w:t>
      </w:r>
    </w:p>
    <w:p w:rsidR="00105A6D" w:rsidRPr="0074594D" w:rsidRDefault="00105A6D" w:rsidP="0074594D">
      <w:pPr>
        <w:pStyle w:val="slovn-rove1"/>
        <w:numPr>
          <w:ilvl w:val="0"/>
          <w:numId w:val="0"/>
        </w:numPr>
        <w:rPr>
          <w:b w:val="0"/>
        </w:rPr>
      </w:pPr>
      <w:r w:rsidRPr="0074594D">
        <w:rPr>
          <w:b w:val="0"/>
        </w:rPr>
        <w:t>Beze změn.</w:t>
      </w:r>
    </w:p>
    <w:p w:rsidR="00105A6D" w:rsidRDefault="00105A6D" w:rsidP="0074594D">
      <w:pPr>
        <w:pStyle w:val="slovn-rove2"/>
        <w:spacing w:after="0"/>
      </w:pPr>
      <w:r w:rsidRPr="000969FB">
        <w:t>Pojištění odpovědnosti za</w:t>
      </w:r>
      <w:r>
        <w:t>stupitelů obce</w:t>
      </w:r>
    </w:p>
    <w:p w:rsidR="00105A6D" w:rsidRPr="0074594D" w:rsidRDefault="00105A6D" w:rsidP="0074594D">
      <w:pPr>
        <w:pStyle w:val="slovn-rove1"/>
        <w:numPr>
          <w:ilvl w:val="0"/>
          <w:numId w:val="0"/>
        </w:numPr>
        <w:rPr>
          <w:b w:val="0"/>
        </w:rPr>
      </w:pPr>
      <w:r w:rsidRPr="0074594D">
        <w:rPr>
          <w:b w:val="0"/>
        </w:rPr>
        <w:t>Beze změn.</w:t>
      </w:r>
    </w:p>
    <w:p w:rsidR="00105A6D" w:rsidRPr="000969FB" w:rsidRDefault="00105A6D" w:rsidP="0074594D">
      <w:pPr>
        <w:pStyle w:val="slovn-rove2"/>
        <w:numPr>
          <w:ilvl w:val="0"/>
          <w:numId w:val="0"/>
        </w:numPr>
        <w:spacing w:after="0"/>
      </w:pPr>
      <w:r>
        <w:t>__________________________________________________________________________________________________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1)</w:t>
      </w:r>
      <w:r w:rsidRPr="000969FB">
        <w:rPr>
          <w:sz w:val="18"/>
          <w:szCs w:val="18"/>
        </w:rPr>
        <w:tab/>
        <w:t>nová cena je vyjádření pojistné hodnoty ve smyslu ustanovení čl. 21 odst. 2) písm. a) VPP P-100/14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2)</w:t>
      </w:r>
      <w:r w:rsidRPr="000969FB">
        <w:rPr>
          <w:sz w:val="18"/>
          <w:szCs w:val="18"/>
        </w:rPr>
        <w:tab/>
        <w:t>první riziko ve smyslu ustanovení čl. 23 odst. 1) písm. a) VPP P-100/14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3)</w:t>
      </w:r>
      <w:r w:rsidRPr="000969FB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</w:t>
      </w:r>
      <w:r>
        <w:rPr>
          <w:sz w:val="18"/>
          <w:szCs w:val="18"/>
        </w:rPr>
        <w:t>iklých za dobu trvání pojištění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4)</w:t>
      </w:r>
      <w:r w:rsidRPr="000969FB">
        <w:rPr>
          <w:sz w:val="18"/>
          <w:szCs w:val="18"/>
        </w:rPr>
        <w:tab/>
        <w:t>zlomkové pojištění ve smyslu čl. 23 odst. 1) písm. b) VPP P-100/14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5)</w:t>
      </w:r>
      <w:r w:rsidRPr="000969FB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6)</w:t>
      </w:r>
      <w:r w:rsidRPr="000969FB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7)</w:t>
      </w:r>
      <w:r w:rsidRPr="000969FB">
        <w:rPr>
          <w:sz w:val="18"/>
          <w:szCs w:val="18"/>
        </w:rPr>
        <w:tab/>
        <w:t>odchylně od čl. 8 odst. 2) věta třetí ZPP P-600/14 poskytne pojistitel na úhradu všech pojistných událostí nastalých během jednoho pojistného roku pojistné plnění v souhrnu maximálně do výše sublimitu pojistného plnění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8)</w:t>
      </w:r>
      <w:r w:rsidRPr="000969FB">
        <w:rPr>
          <w:sz w:val="18"/>
          <w:szCs w:val="18"/>
        </w:rPr>
        <w:tab/>
        <w:t xml:space="preserve">dobou ručení se rozumí doba ve smyslu čl. 11 odst. 5) ZPP P-400/14  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9)</w:t>
      </w:r>
      <w:r w:rsidRPr="000969FB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</w:t>
      </w:r>
      <w:r>
        <w:rPr>
          <w:sz w:val="18"/>
          <w:szCs w:val="18"/>
        </w:rPr>
        <w:t xml:space="preserve"> vliv na výši pojistného plnění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10)</w:t>
      </w:r>
      <w:r w:rsidRPr="000969FB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105A6D" w:rsidRPr="000969FB" w:rsidRDefault="00105A6D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11)</w:t>
      </w:r>
      <w:r w:rsidRPr="000969FB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sjednán limit plnění pojistitele pro jednu pojistnou událost, považuje se sjednaný MRLPPR i za limit plnění pojistite</w:t>
      </w:r>
      <w:r>
        <w:rPr>
          <w:sz w:val="18"/>
          <w:szCs w:val="18"/>
        </w:rPr>
        <w:t>le pro jednu pojistnou událost</w:t>
      </w:r>
    </w:p>
    <w:p w:rsidR="00105A6D" w:rsidRDefault="00105A6D" w:rsidP="00C93528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12)</w:t>
      </w:r>
      <w:r w:rsidRPr="000969FB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:rsidR="00105A6D" w:rsidRPr="00C93528" w:rsidRDefault="00105A6D" w:rsidP="009D07E4">
      <w:pPr>
        <w:tabs>
          <w:tab w:val="left" w:pos="227"/>
        </w:tabs>
        <w:spacing w:after="240"/>
        <w:ind w:left="227" w:hanging="227"/>
      </w:pPr>
      <w:r>
        <w:rPr>
          <w:b/>
          <w:sz w:val="18"/>
          <w:szCs w:val="18"/>
          <w:vertAlign w:val="superscript"/>
        </w:rPr>
        <w:t>13)</w:t>
      </w:r>
      <w:r>
        <w:rPr>
          <w:b/>
          <w:sz w:val="18"/>
          <w:szCs w:val="18"/>
          <w:vertAlign w:val="superscript"/>
        </w:rPr>
        <w:tab/>
      </w:r>
      <w:r w:rsidRPr="00C93528">
        <w:rPr>
          <w:sz w:val="18"/>
          <w:szCs w:val="18"/>
        </w:rPr>
        <w:t>dobou ručení se rozumí doba ve smyslu čl. 14 odst. 2) DPP P-330/16</w:t>
      </w:r>
    </w:p>
    <w:p w:rsidR="00105A6D" w:rsidRPr="000969FB" w:rsidRDefault="00105A6D" w:rsidP="00E41D35">
      <w:pPr>
        <w:pStyle w:val="slovn-rove1"/>
        <w:numPr>
          <w:ilvl w:val="0"/>
          <w:numId w:val="9"/>
        </w:numPr>
      </w:pPr>
      <w:bookmarkStart w:id="19" w:name="_Toc367839357"/>
      <w:r w:rsidRPr="000969FB">
        <w:t xml:space="preserve">Pojistné plnění </w:t>
      </w:r>
    </w:p>
    <w:p w:rsidR="00105A6D" w:rsidRDefault="00105A6D" w:rsidP="0074594D">
      <w:pPr>
        <w:pStyle w:val="slovn-rove2-netun"/>
        <w:numPr>
          <w:ilvl w:val="0"/>
          <w:numId w:val="0"/>
        </w:numPr>
      </w:pPr>
      <w:r>
        <w:t>Beze změn.</w:t>
      </w:r>
    </w:p>
    <w:p w:rsidR="00105A6D" w:rsidRDefault="00105A6D" w:rsidP="00631371">
      <w:pPr>
        <w:pStyle w:val="Nadpislnk"/>
      </w:pPr>
    </w:p>
    <w:p w:rsidR="00105A6D" w:rsidRPr="000969FB" w:rsidRDefault="00105A6D" w:rsidP="00631371">
      <w:pPr>
        <w:pStyle w:val="Nadpislnk"/>
      </w:pPr>
      <w:r w:rsidRPr="000969FB">
        <w:t>Článek III.</w:t>
      </w:r>
      <w:r w:rsidRPr="000969FB">
        <w:br/>
        <w:t>Výše a způsob placení pojistného</w:t>
      </w:r>
    </w:p>
    <w:p w:rsidR="00105A6D" w:rsidRPr="000969FB" w:rsidRDefault="00105A6D" w:rsidP="00E41D35">
      <w:pPr>
        <w:pStyle w:val="slovn-rove1"/>
        <w:numPr>
          <w:ilvl w:val="0"/>
          <w:numId w:val="10"/>
        </w:numPr>
      </w:pPr>
      <w:r w:rsidRPr="000969FB">
        <w:t xml:space="preserve">Pojistné za </w:t>
      </w:r>
      <w:r>
        <w:t xml:space="preserve">dodatek a </w:t>
      </w:r>
      <w:r w:rsidRPr="000969FB">
        <w:t>jeden pojistný rok činí:</w:t>
      </w:r>
    </w:p>
    <w:p w:rsidR="00105A6D" w:rsidRPr="000969FB" w:rsidRDefault="00105A6D" w:rsidP="003C0442">
      <w:pPr>
        <w:pStyle w:val="slovn-rove2"/>
        <w:spacing w:before="0" w:after="0"/>
      </w:pPr>
      <w:r w:rsidRPr="000969FB">
        <w:t>Živelní pojištění</w:t>
      </w:r>
    </w:p>
    <w:p w:rsidR="00105A6D" w:rsidRPr="000969FB" w:rsidRDefault="00105A6D" w:rsidP="003C0442">
      <w:pPr>
        <w:tabs>
          <w:tab w:val="left" w:pos="426"/>
          <w:tab w:val="right" w:leader="dot" w:pos="9638"/>
        </w:tabs>
        <w:rPr>
          <w:b/>
        </w:rPr>
      </w:pPr>
      <w:r w:rsidRPr="000969FB">
        <w:tab/>
        <w:t xml:space="preserve">Pojistné </w:t>
      </w:r>
      <w:r>
        <w:t>- přeplatek</w:t>
      </w:r>
      <w:r w:rsidRPr="000969FB">
        <w:tab/>
      </w:r>
      <w:r>
        <w:t xml:space="preserve"> 28 800</w:t>
      </w:r>
      <w:r w:rsidRPr="000969FB">
        <w:t>,- Kč</w:t>
      </w:r>
    </w:p>
    <w:p w:rsidR="00105A6D" w:rsidRDefault="00105A6D" w:rsidP="00FA4C01"/>
    <w:p w:rsidR="00105A6D" w:rsidRPr="000969FB" w:rsidRDefault="00105A6D" w:rsidP="00FA4C01">
      <w:r w:rsidRPr="000969FB">
        <w:t>Obchodní sleva činí</w:t>
      </w:r>
      <w:r>
        <w:t xml:space="preserve"> 30%</w:t>
      </w:r>
    </w:p>
    <w:p w:rsidR="00105A6D" w:rsidRDefault="00105A6D" w:rsidP="009F7805">
      <w:pPr>
        <w:tabs>
          <w:tab w:val="right" w:leader="dot" w:pos="9638"/>
        </w:tabs>
        <w:spacing w:before="120" w:after="120"/>
        <w:rPr>
          <w:b/>
        </w:rPr>
      </w:pPr>
      <w:r>
        <w:rPr>
          <w:b/>
        </w:rPr>
        <w:t>Přeplatek za</w:t>
      </w:r>
      <w:r w:rsidRPr="000969FB">
        <w:rPr>
          <w:b/>
        </w:rPr>
        <w:t xml:space="preserve"> sjednaná pojištění po slev</w:t>
      </w:r>
      <w:r>
        <w:rPr>
          <w:b/>
        </w:rPr>
        <w:t>ě</w:t>
      </w:r>
      <w:r w:rsidRPr="000969FB">
        <w:rPr>
          <w:b/>
        </w:rPr>
        <w:t xml:space="preserve"> za jeden pojistný rok činí </w:t>
      </w:r>
      <w:r w:rsidRPr="000969FB">
        <w:rPr>
          <w:b/>
        </w:rPr>
        <w:tab/>
      </w:r>
      <w:r>
        <w:rPr>
          <w:b/>
        </w:rPr>
        <w:t xml:space="preserve"> 20 160</w:t>
      </w:r>
      <w:r w:rsidRPr="000969FB">
        <w:rPr>
          <w:b/>
        </w:rPr>
        <w:t>,</w:t>
      </w:r>
      <w:r w:rsidRPr="000969FB">
        <w:rPr>
          <w:b/>
        </w:rPr>
        <w:noBreakHyphen/>
        <w:t xml:space="preserve"> Kč</w:t>
      </w:r>
    </w:p>
    <w:p w:rsidR="00105A6D" w:rsidRDefault="00105A6D" w:rsidP="0074594D">
      <w:pPr>
        <w:tabs>
          <w:tab w:val="right" w:leader="dot" w:pos="9638"/>
        </w:tabs>
        <w:spacing w:before="120" w:after="120"/>
        <w:rPr>
          <w:b/>
        </w:rPr>
      </w:pPr>
      <w:r>
        <w:rPr>
          <w:b/>
        </w:rPr>
        <w:t>Přeplatek za</w:t>
      </w:r>
      <w:r w:rsidRPr="000969FB">
        <w:rPr>
          <w:b/>
        </w:rPr>
        <w:t xml:space="preserve"> </w:t>
      </w:r>
      <w:r>
        <w:rPr>
          <w:b/>
        </w:rPr>
        <w:t>dodatek a dobu pojištění (10.4.2018 – 02.08.2018)</w:t>
      </w:r>
      <w:r w:rsidRPr="000969FB">
        <w:rPr>
          <w:b/>
        </w:rPr>
        <w:t xml:space="preserve"> činí </w:t>
      </w:r>
      <w:r w:rsidRPr="000969FB">
        <w:rPr>
          <w:b/>
        </w:rPr>
        <w:tab/>
      </w:r>
      <w:r>
        <w:rPr>
          <w:b/>
        </w:rPr>
        <w:t>6 352</w:t>
      </w:r>
      <w:r w:rsidRPr="000969FB">
        <w:rPr>
          <w:b/>
        </w:rPr>
        <w:t>,</w:t>
      </w:r>
      <w:r w:rsidRPr="000969FB">
        <w:rPr>
          <w:b/>
        </w:rPr>
        <w:noBreakHyphen/>
        <w:t xml:space="preserve"> Kč</w:t>
      </w:r>
    </w:p>
    <w:p w:rsidR="00105A6D" w:rsidRPr="000969FB" w:rsidRDefault="00105A6D" w:rsidP="009F7805">
      <w:pPr>
        <w:tabs>
          <w:tab w:val="right" w:leader="dot" w:pos="9638"/>
        </w:tabs>
        <w:spacing w:before="120" w:after="120"/>
        <w:rPr>
          <w:b/>
          <w:color w:val="FF00FF"/>
          <w:szCs w:val="20"/>
        </w:rPr>
      </w:pPr>
    </w:p>
    <w:p w:rsidR="00105A6D" w:rsidRDefault="00105A6D" w:rsidP="00CA7135">
      <w:pPr>
        <w:pStyle w:val="slovn-rove1-netun"/>
      </w:pPr>
      <w:r w:rsidRPr="000969FB">
        <w:t>P</w:t>
      </w:r>
      <w:r>
        <w:t>řeplatek ve výši 6 352,-Kč bude započten vůči splátce k datu 03.05.2018 následujícím způsobem :</w:t>
      </w:r>
    </w:p>
    <w:p w:rsidR="00105A6D" w:rsidRDefault="00105A6D" w:rsidP="0074594D">
      <w:pPr>
        <w:pStyle w:val="slovn-rove1-netun"/>
        <w:numPr>
          <w:ilvl w:val="0"/>
          <w:numId w:val="0"/>
        </w:numPr>
        <w:ind w:left="425"/>
      </w:pPr>
      <w:r>
        <w:t xml:space="preserve">Datum : </w:t>
      </w:r>
      <w:r>
        <w:rPr>
          <w:b/>
        </w:rPr>
        <w:t>03.05.2018                   Původní předpis 34 897 Kč, nový předpis 28 545 Kč</w:t>
      </w:r>
      <w:r>
        <w:t xml:space="preserve">                                </w:t>
      </w:r>
    </w:p>
    <w:p w:rsidR="00105A6D" w:rsidRPr="000969FB" w:rsidRDefault="00105A6D" w:rsidP="00DF20F3">
      <w:pPr>
        <w:pStyle w:val="slovn-rove1-netun"/>
      </w:pPr>
      <w:r w:rsidRPr="000969FB">
        <w:t xml:space="preserve">Pojistník je povinen uhradit pojistné v uvedené výši na účet pojistitele č. ú. 2226222/0800, variabilní symbol: </w:t>
      </w:r>
      <w:r>
        <w:t>7721053534</w:t>
      </w:r>
      <w:r w:rsidRPr="000969FB">
        <w:t>.</w:t>
      </w:r>
    </w:p>
    <w:p w:rsidR="00105A6D" w:rsidRPr="000969FB" w:rsidRDefault="00105A6D" w:rsidP="00CA7135">
      <w:pPr>
        <w:pStyle w:val="slovn-rove1-netun"/>
      </w:pPr>
      <w:r w:rsidRPr="000969FB">
        <w:t>Výše uvedené pojistné je stanoveno bez pojistné či jiné obdobné daně (dále jen „</w:t>
      </w:r>
      <w:r w:rsidRPr="000969FB">
        <w:rPr>
          <w:b/>
        </w:rPr>
        <w:t>daň</w:t>
      </w:r>
      <w:r w:rsidRPr="000969FB">
        <w:t>“) za rizika umístěná v členském státě Evropské unie nebo Evropského hospodářského prostoru. Smluvní strany se dohodly, že v 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Ustanovení tohoto bodu neplatí pro daně, které jsou případně v bodě 1. tohoto článku výslovně uvedeny.</w:t>
      </w:r>
    </w:p>
    <w:p w:rsidR="00105A6D" w:rsidRDefault="00105A6D" w:rsidP="009E3C0B">
      <w:pPr>
        <w:pStyle w:val="Nadpislnk"/>
        <w:keepNext w:val="0"/>
        <w:keepLines w:val="0"/>
      </w:pPr>
    </w:p>
    <w:p w:rsidR="00105A6D" w:rsidRPr="000969FB" w:rsidRDefault="00105A6D" w:rsidP="009E3C0B">
      <w:pPr>
        <w:pStyle w:val="Nadpislnk"/>
        <w:keepNext w:val="0"/>
        <w:keepLines w:val="0"/>
      </w:pPr>
      <w:r w:rsidRPr="000969FB">
        <w:t>Článek IV.</w:t>
      </w:r>
      <w:r w:rsidRPr="000969FB">
        <w:br/>
        <w:t>Hlášení škodných událostí</w:t>
      </w:r>
    </w:p>
    <w:p w:rsidR="00105A6D" w:rsidRDefault="00105A6D" w:rsidP="0020371E">
      <w:pPr>
        <w:pStyle w:val="slovn-rove1-netunb"/>
        <w:numPr>
          <w:ilvl w:val="0"/>
          <w:numId w:val="0"/>
        </w:numPr>
        <w:tabs>
          <w:tab w:val="left" w:pos="1345"/>
        </w:tabs>
        <w:spacing w:after="240"/>
        <w:ind w:left="425" w:hanging="425"/>
      </w:pPr>
      <w:r>
        <w:t>Beze změn.</w:t>
      </w:r>
      <w:r>
        <w:tab/>
      </w:r>
    </w:p>
    <w:bookmarkEnd w:id="19"/>
    <w:p w:rsidR="00105A6D" w:rsidRPr="000969FB" w:rsidRDefault="00105A6D" w:rsidP="00161A6A">
      <w:pPr>
        <w:pStyle w:val="Nadpislnk"/>
        <w:keepNext w:val="0"/>
        <w:keepLines w:val="0"/>
      </w:pPr>
      <w:r w:rsidRPr="000969FB">
        <w:t>Článek V.</w:t>
      </w:r>
      <w:r w:rsidRPr="000969FB">
        <w:br/>
        <w:t>Zvláštní ujednání</w:t>
      </w:r>
    </w:p>
    <w:p w:rsidR="00105A6D" w:rsidRPr="0020371E" w:rsidRDefault="00105A6D" w:rsidP="0020371E">
      <w:pPr>
        <w:pStyle w:val="slovn-rove1-netunb"/>
        <w:numPr>
          <w:ilvl w:val="0"/>
          <w:numId w:val="0"/>
        </w:numPr>
        <w:ind w:left="425" w:hanging="425"/>
        <w:rPr>
          <w:i/>
          <w:color w:val="1BC404"/>
        </w:rPr>
      </w:pPr>
      <w:r>
        <w:t>Beze změn.</w:t>
      </w:r>
      <w:r>
        <w:tab/>
      </w:r>
    </w:p>
    <w:p w:rsidR="00105A6D" w:rsidRPr="000969FB" w:rsidRDefault="00105A6D" w:rsidP="00631371">
      <w:pPr>
        <w:pStyle w:val="Nadpislnk"/>
      </w:pPr>
      <w:r w:rsidRPr="000969FB">
        <w:t>Článek VI.</w:t>
      </w:r>
      <w:r w:rsidRPr="000969FB">
        <w:br/>
        <w:t>Prohlášení pojistníka</w:t>
      </w:r>
    </w:p>
    <w:p w:rsidR="00105A6D" w:rsidRPr="003A4A30" w:rsidRDefault="00105A6D" w:rsidP="0020371E">
      <w:pPr>
        <w:pStyle w:val="slovn-rove1-netunb"/>
        <w:numPr>
          <w:ilvl w:val="0"/>
          <w:numId w:val="13"/>
        </w:numPr>
      </w:pPr>
      <w:r w:rsidRPr="003A4A30">
        <w:t>Pojistník potvrzuje, že před uzavřením tohoto dodatku mu byly oznámeny informace v souladu s ustanovením § 2760 občanského zákoníku.</w:t>
      </w:r>
    </w:p>
    <w:p w:rsidR="00105A6D" w:rsidRPr="003A4A30" w:rsidRDefault="00105A6D" w:rsidP="0020371E">
      <w:pPr>
        <w:pStyle w:val="slovn-rove1-netunb"/>
        <w:numPr>
          <w:ilvl w:val="0"/>
          <w:numId w:val="13"/>
        </w:numPr>
        <w:spacing w:after="0"/>
      </w:pPr>
      <w:r w:rsidRPr="003A4A30"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105A6D" w:rsidRPr="003A4A30" w:rsidRDefault="00105A6D" w:rsidP="0020371E">
      <w:pPr>
        <w:pStyle w:val="slovn-rove1-netunb"/>
        <w:numPr>
          <w:ilvl w:val="0"/>
          <w:numId w:val="13"/>
        </w:numPr>
      </w:pPr>
      <w:r w:rsidRPr="003A4A30">
        <w:t>Pojistník potvrzuje, že před uzavřením tohoto dodatku převzal v listinné nebo jiné textové podobě (např. na trvalém nosiči dat) dokumenty uvedené v čl. I. bodu 2. této pojistné smlouvy ve znění tohoto dodatku a 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105A6D" w:rsidRPr="003A4A30" w:rsidRDefault="00105A6D" w:rsidP="0020371E">
      <w:pPr>
        <w:pStyle w:val="slovn-rove1-netunb"/>
        <w:numPr>
          <w:ilvl w:val="0"/>
          <w:numId w:val="13"/>
        </w:numPr>
      </w:pPr>
      <w:r w:rsidRPr="003A4A30">
        <w:t>Pojistník potvrzuje, že adresa jeho sídla/bydliště/trvalého pobytu a kontakty elektronické komunikace uvedené v 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105A6D" w:rsidRPr="003A4A30" w:rsidRDefault="00105A6D" w:rsidP="0020371E">
      <w:pPr>
        <w:pStyle w:val="slovn-rove1-netunb"/>
        <w:numPr>
          <w:ilvl w:val="0"/>
          <w:numId w:val="13"/>
        </w:numPr>
        <w:spacing w:after="0"/>
      </w:pPr>
      <w:r w:rsidRPr="003A4A30">
        <w:t xml:space="preserve">Pojistník prohlašuje, že má oprávněnou potřebu ochrany před následky pojistné události (pojistný zájem). </w:t>
      </w:r>
    </w:p>
    <w:p w:rsidR="00105A6D" w:rsidRPr="003A4A30" w:rsidRDefault="00105A6D" w:rsidP="0020371E">
      <w:pPr>
        <w:pStyle w:val="slovn-rove1-netunb"/>
        <w:numPr>
          <w:ilvl w:val="0"/>
          <w:numId w:val="13"/>
        </w:numPr>
      </w:pPr>
      <w:r w:rsidRPr="003A4A30"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:rsidR="00105A6D" w:rsidRPr="003A4A30" w:rsidRDefault="00105A6D" w:rsidP="0020371E">
      <w:pPr>
        <w:pStyle w:val="slovn-rove1-netunb"/>
        <w:numPr>
          <w:ilvl w:val="0"/>
          <w:numId w:val="13"/>
        </w:numPr>
      </w:pPr>
      <w:r w:rsidRPr="003A4A30">
        <w:t>Pokud výše uvedená pojistná smlouva, resp. dodatek k pojistné smlouvě (dále jen „</w:t>
      </w:r>
      <w:r w:rsidRPr="003A4A30">
        <w:rPr>
          <w:b/>
        </w:rPr>
        <w:t>smlouva</w:t>
      </w:r>
      <w:r w:rsidRPr="003A4A30">
        <w:t>“) podléhá povinnosti uveřejnění v registru smluv (dále jen „</w:t>
      </w:r>
      <w:r w:rsidRPr="003A4A30">
        <w:rPr>
          <w:b/>
        </w:rPr>
        <w:t>registr</w:t>
      </w:r>
      <w:r w:rsidRPr="003A4A30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105A6D" w:rsidRPr="003A4A30" w:rsidRDefault="00105A6D" w:rsidP="0020371E">
      <w:pPr>
        <w:pStyle w:val="slovn-rove1-netunb"/>
        <w:numPr>
          <w:ilvl w:val="0"/>
          <w:numId w:val="0"/>
        </w:numPr>
        <w:ind w:left="425"/>
      </w:pPr>
      <w:r w:rsidRPr="003A4A30">
        <w:t>Při vyplnění formuláře pro uveřejnění smlouvy v registru je pojistník povinen vyplnit údaje o pojistiteli (jako smluvní straně), do pole „</w:t>
      </w:r>
      <w:r w:rsidRPr="003A4A30">
        <w:rPr>
          <w:b/>
        </w:rPr>
        <w:t>Datová schránka</w:t>
      </w:r>
      <w:r w:rsidRPr="003A4A30">
        <w:t xml:space="preserve">“ uvést: </w:t>
      </w:r>
      <w:r w:rsidRPr="003A4A30">
        <w:rPr>
          <w:b/>
        </w:rPr>
        <w:t>n6tetn3</w:t>
      </w:r>
      <w:r w:rsidRPr="003A4A30">
        <w:t xml:space="preserve"> a do pole „</w:t>
      </w:r>
      <w:r w:rsidRPr="003A4A30">
        <w:rPr>
          <w:b/>
        </w:rPr>
        <w:t>Číslo smlouvy</w:t>
      </w:r>
      <w:r w:rsidRPr="003A4A30">
        <w:t xml:space="preserve">“ </w:t>
      </w:r>
      <w:r w:rsidRPr="003A4A30">
        <w:rPr>
          <w:color w:val="000000"/>
        </w:rPr>
        <w:t>uvést číslo této pojistné smlouvy.</w:t>
      </w:r>
    </w:p>
    <w:p w:rsidR="00105A6D" w:rsidRPr="003A4A30" w:rsidRDefault="00105A6D" w:rsidP="0020371E">
      <w:pPr>
        <w:pStyle w:val="slovn-rove1-netunb"/>
        <w:numPr>
          <w:ilvl w:val="0"/>
          <w:numId w:val="0"/>
        </w:numPr>
        <w:ind w:left="425"/>
      </w:pPr>
      <w:r w:rsidRPr="003A4A30">
        <w:t>Pojistník se dále zavazuje, že před zasláním smlouvy k uveřejnění zajistí znečitelnění neuveřejnitelných informací (např. osobních údajů o fyzických osobách).</w:t>
      </w:r>
    </w:p>
    <w:p w:rsidR="00105A6D" w:rsidRPr="003A4A30" w:rsidRDefault="00105A6D" w:rsidP="0020371E">
      <w:pPr>
        <w:pStyle w:val="slovn-rove1-netunb"/>
        <w:numPr>
          <w:ilvl w:val="0"/>
          <w:numId w:val="0"/>
        </w:numPr>
        <w:ind w:left="425"/>
      </w:pPr>
      <w:r w:rsidRPr="003A4A30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105A6D" w:rsidRDefault="00105A6D" w:rsidP="0020371E">
      <w:pPr>
        <w:pStyle w:val="Nadpislnk"/>
        <w:keepNext w:val="0"/>
        <w:keepLines w:val="0"/>
      </w:pPr>
    </w:p>
    <w:p w:rsidR="00105A6D" w:rsidRPr="000969FB" w:rsidRDefault="00105A6D" w:rsidP="00631371">
      <w:pPr>
        <w:pStyle w:val="Nadpislnk"/>
      </w:pPr>
      <w:r w:rsidRPr="000969FB">
        <w:t>Článek VII.</w:t>
      </w:r>
      <w:r w:rsidRPr="000969FB">
        <w:br/>
        <w:t>Závěrečná ustanovení</w:t>
      </w:r>
    </w:p>
    <w:p w:rsidR="00105A6D" w:rsidRPr="0020371E" w:rsidRDefault="00105A6D" w:rsidP="0020371E">
      <w:pPr>
        <w:pStyle w:val="slovn-rove1-netunb"/>
        <w:numPr>
          <w:ilvl w:val="0"/>
          <w:numId w:val="33"/>
        </w:numPr>
        <w:spacing w:after="0"/>
        <w:rPr>
          <w:b/>
          <w:color w:val="FF00FF"/>
          <w:szCs w:val="20"/>
        </w:rPr>
      </w:pPr>
      <w:r w:rsidRPr="003A4A30">
        <w:t xml:space="preserve">Není-li ujednáno jinak, je pojistnou dobou doba od </w:t>
      </w:r>
      <w:r>
        <w:t>03.08.2018</w:t>
      </w:r>
      <w:r w:rsidRPr="0020371E">
        <w:rPr>
          <w:i/>
          <w:iCs/>
          <w:color w:val="00B050"/>
        </w:rPr>
        <w:t xml:space="preserve"> </w:t>
      </w:r>
      <w:r w:rsidRPr="003A4A30">
        <w:t xml:space="preserve">(počátek pojištění) do </w:t>
      </w:r>
      <w:r>
        <w:t>02.08.2018</w:t>
      </w:r>
      <w:r w:rsidRPr="003A4A30">
        <w:t xml:space="preserve"> (konec pojištění).</w:t>
      </w:r>
      <w:r>
        <w:t xml:space="preserve"> </w:t>
      </w:r>
      <w:r w:rsidRPr="003A4A30">
        <w:t>Pojistník a pojistitel se dohodli, že pojištění dle této pojistné smlouvy uplynutím pojistné doby nezaniká a pojištění/pojistná doba se prodlužuje vždy o jeden pojistný rok, pokud pojistitel nebo pojistník nejméně šest týdnů před uplynutím pojistné doby druhé straně písemnou formou nesdělí, že na dalším trvání pojištění nemá zájem.</w:t>
      </w:r>
    </w:p>
    <w:p w:rsidR="00105A6D" w:rsidRDefault="00105A6D" w:rsidP="0020371E">
      <w:pPr>
        <w:ind w:left="425"/>
      </w:pPr>
    </w:p>
    <w:p w:rsidR="00105A6D" w:rsidRPr="003A4A30" w:rsidRDefault="00105A6D" w:rsidP="0020371E">
      <w:pPr>
        <w:ind w:left="425"/>
      </w:pPr>
      <w:r w:rsidRPr="0020371E">
        <w:rPr>
          <w:b/>
        </w:rPr>
        <w:t>Počátek změn(y) provedených(-é) tímto dodatkem:</w:t>
      </w:r>
      <w:r w:rsidRPr="003A4A30">
        <w:t xml:space="preserve"> </w:t>
      </w:r>
      <w:r>
        <w:rPr>
          <w:b/>
        </w:rPr>
        <w:t>10.04.2018</w:t>
      </w:r>
      <w:r w:rsidRPr="003A4A30">
        <w:t xml:space="preserve">. </w:t>
      </w:r>
    </w:p>
    <w:p w:rsidR="00105A6D" w:rsidRPr="003A4A30" w:rsidRDefault="00105A6D" w:rsidP="0020371E">
      <w:pPr>
        <w:spacing w:before="120"/>
        <w:ind w:left="425"/>
      </w:pPr>
      <w:r w:rsidRPr="003A4A30">
        <w:t xml:space="preserve">Tímto dodatkem provedená(é) změna(y) a případné(á) tímto dodatkem sjednané(á) nové(á) pojištění se nevztahují na dobu (nevznikají) před počátkem změn(y) provedených(-é) tímto dodatkem. </w:t>
      </w:r>
    </w:p>
    <w:p w:rsidR="00105A6D" w:rsidRPr="003A4A30" w:rsidRDefault="00105A6D" w:rsidP="0020371E">
      <w:pPr>
        <w:pStyle w:val="slovn-rove1-netunb"/>
        <w:numPr>
          <w:ilvl w:val="0"/>
          <w:numId w:val="13"/>
        </w:numPr>
        <w:spacing w:after="0"/>
      </w:pPr>
      <w:r w:rsidRPr="003A4A30">
        <w:t>Odpověď pojistníka na návrh pojistitele na uzavření tohoto dodatku (dále jen „</w:t>
      </w:r>
      <w:r w:rsidRPr="003A4A30">
        <w:rPr>
          <w:b/>
        </w:rPr>
        <w:t>nabídka</w:t>
      </w:r>
      <w:r w:rsidRPr="003A4A30">
        <w:t>“) s dodatkem nebo odchylkou od nabídky se nepovažuje za její přijetí, a to ani v případě, že se takovou odchylkou podstatně nemění podmínky nabídky.</w:t>
      </w:r>
    </w:p>
    <w:p w:rsidR="00105A6D" w:rsidRPr="003A4A30" w:rsidRDefault="00105A6D" w:rsidP="0020371E">
      <w:pPr>
        <w:pStyle w:val="slovn-rove1-netunb"/>
        <w:numPr>
          <w:ilvl w:val="0"/>
          <w:numId w:val="13"/>
        </w:numPr>
        <w:spacing w:after="0"/>
      </w:pPr>
      <w:r w:rsidRPr="003A4A30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105A6D" w:rsidRPr="003A4A30" w:rsidRDefault="00105A6D" w:rsidP="0020371E">
      <w:pPr>
        <w:pStyle w:val="slovn-rove1-netunb"/>
        <w:numPr>
          <w:ilvl w:val="0"/>
          <w:numId w:val="13"/>
        </w:numPr>
        <w:spacing w:after="0"/>
      </w:pPr>
      <w:r w:rsidRPr="003A4A30">
        <w:t>Subjektem věcně příslušným k mimosoudnímu řešení spotřebitelských sporů z tohoto pojištění je Česká obchodní inspekce, Štěpánská 567/15, 120 00 Praha 2, www.coi.cz.</w:t>
      </w:r>
    </w:p>
    <w:p w:rsidR="00105A6D" w:rsidRPr="003A4A30" w:rsidRDefault="00105A6D" w:rsidP="0020371E">
      <w:pPr>
        <w:pStyle w:val="slovn-rove1-netunb"/>
        <w:numPr>
          <w:ilvl w:val="0"/>
          <w:numId w:val="13"/>
        </w:numPr>
        <w:spacing w:after="0"/>
      </w:pPr>
      <w:r w:rsidRPr="003A4A30">
        <w:t>Pojistník prohlašuje, že uzavřel s pojišťovacím makléřem smlouvu, na jejímž základě pojišťovací makléř vykonává zprostředkovatelskou činnost v pojišťovnictví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ve znění tohoto dodatku doručované pojišťovacím makléřem za pojistníka nebo pojištěného pojistiteli se považují za doručené pojistiteli od pojistníka nebo pojištěného, a to doručením pojistiteli.</w:t>
      </w:r>
    </w:p>
    <w:p w:rsidR="00105A6D" w:rsidRPr="003A4A30" w:rsidRDefault="00105A6D" w:rsidP="0020371E">
      <w:pPr>
        <w:pStyle w:val="slovn-rove1-netunb"/>
        <w:numPr>
          <w:ilvl w:val="0"/>
          <w:numId w:val="13"/>
        </w:numPr>
        <w:spacing w:after="0"/>
      </w:pPr>
      <w:r w:rsidRPr="003A4A30">
        <w:t xml:space="preserve">Tento dodatek k pojistné smlouvě byl vypracován ve </w:t>
      </w:r>
      <w:r>
        <w:t>4</w:t>
      </w:r>
      <w:r w:rsidRPr="003A4A30">
        <w:t xml:space="preserve"> stejnopisech, pojistník obdrží </w:t>
      </w:r>
      <w:r>
        <w:t>1</w:t>
      </w:r>
      <w:r w:rsidRPr="003A4A30">
        <w:t xml:space="preserve"> stejnopis(y), pojistitel si ponechá </w:t>
      </w:r>
      <w:r>
        <w:t>2</w:t>
      </w:r>
      <w:r w:rsidRPr="003A4A30">
        <w:t xml:space="preserve"> stejnopis(y) a pojišťovací makléř obdrží </w:t>
      </w:r>
      <w:r>
        <w:t>1</w:t>
      </w:r>
      <w:r w:rsidRPr="003A4A30">
        <w:t xml:space="preserve"> stejnopis(y).</w:t>
      </w:r>
    </w:p>
    <w:p w:rsidR="00105A6D" w:rsidRPr="003A4A30" w:rsidRDefault="00105A6D" w:rsidP="0020371E">
      <w:pPr>
        <w:pStyle w:val="slovn-rove1-netunb"/>
        <w:numPr>
          <w:ilvl w:val="0"/>
          <w:numId w:val="13"/>
        </w:numPr>
        <w:spacing w:after="0"/>
      </w:pPr>
      <w:r w:rsidRPr="003A4A30">
        <w:t xml:space="preserve">Tento dodatek obsahuje </w:t>
      </w:r>
      <w:r>
        <w:t>6</w:t>
      </w:r>
      <w:r w:rsidRPr="003A4A30">
        <w:t xml:space="preserve"> stran, k pojistné smlouvě ve znění tohoto dodatku náleží </w:t>
      </w:r>
      <w:r>
        <w:t>1</w:t>
      </w:r>
      <w:r w:rsidRPr="003A4A30">
        <w:t xml:space="preserve"> příloh</w:t>
      </w:r>
      <w:r>
        <w:t>a</w:t>
      </w:r>
      <w:r w:rsidRPr="003A4A30">
        <w:t xml:space="preserve">, z nichž </w:t>
      </w:r>
      <w:r>
        <w:t>1</w:t>
      </w:r>
      <w:r w:rsidRPr="003A4A30">
        <w:t xml:space="preserve"> je (jsou) fyzicky přiloženy k tomuto dodatku. Součástí pojistné smlouvy ve znění tohoto dodatku jsou pojistné podmínky pojistitele uvedené v čl. I. této pojistné smlouvy ve znění tohoto dodatku a dokument Informace pro zájemce o pojištění. V případě, že je jakékoli ustanovení uvedené v Informacích pro zájemce o pojištění v rozporu s ustanovením pojistné smlouvy, má přednost příslušné ustanovení pojistné smlouvy.</w:t>
      </w:r>
    </w:p>
    <w:p w:rsidR="00105A6D" w:rsidRDefault="00105A6D" w:rsidP="0020371E"/>
    <w:p w:rsidR="00105A6D" w:rsidRPr="000969FB" w:rsidRDefault="00105A6D" w:rsidP="00161A6A">
      <w:pPr>
        <w:spacing w:before="240"/>
      </w:pPr>
      <w:r w:rsidRPr="000969FB">
        <w:t>Výčet příloh:</w:t>
      </w:r>
      <w:r w:rsidRPr="000969FB">
        <w:tab/>
      </w:r>
    </w:p>
    <w:p w:rsidR="00105A6D" w:rsidRPr="000969FB" w:rsidRDefault="00105A6D" w:rsidP="00161A6A">
      <w:r w:rsidRPr="000969FB">
        <w:t xml:space="preserve">příloha č. 1 </w:t>
      </w:r>
      <w:r>
        <w:t>– aktualizovaný</w:t>
      </w:r>
      <w:r w:rsidRPr="000969FB">
        <w:t xml:space="preserve"> </w:t>
      </w:r>
      <w:r w:rsidRPr="002C2133">
        <w:rPr>
          <w:rFonts w:cs="Arial"/>
          <w:szCs w:val="20"/>
        </w:rPr>
        <w:t>seznam pojištěných věcí, pojistných částek a míst pojištění</w:t>
      </w:r>
    </w:p>
    <w:p w:rsidR="00105A6D" w:rsidRPr="000969FB" w:rsidRDefault="00105A6D" w:rsidP="0020371E">
      <w:pPr>
        <w:tabs>
          <w:tab w:val="left" w:pos="3686"/>
          <w:tab w:val="right" w:leader="dot" w:pos="5954"/>
          <w:tab w:val="left" w:pos="6804"/>
          <w:tab w:val="right" w:leader="dot" w:pos="9072"/>
        </w:tabs>
        <w:spacing w:before="480"/>
      </w:pPr>
      <w:r w:rsidRPr="000969FB">
        <w:t xml:space="preserve">V </w:t>
      </w:r>
      <w:r>
        <w:t>Brně</w:t>
      </w:r>
      <w:r w:rsidRPr="000969FB">
        <w:t xml:space="preserve">  dne </w:t>
      </w:r>
      <w:r>
        <w:t>09.04.2018</w:t>
      </w:r>
      <w:r w:rsidRPr="000969FB">
        <w:tab/>
      </w:r>
      <w:r w:rsidRPr="000969FB">
        <w:tab/>
      </w:r>
      <w:r w:rsidRPr="000969FB">
        <w:tab/>
      </w:r>
      <w:r w:rsidRPr="000969FB">
        <w:tab/>
      </w:r>
    </w:p>
    <w:p w:rsidR="00105A6D" w:rsidRPr="000969FB" w:rsidRDefault="00105A6D" w:rsidP="00161A6A">
      <w:pPr>
        <w:tabs>
          <w:tab w:val="center" w:pos="4820"/>
          <w:tab w:val="center" w:pos="7938"/>
        </w:tabs>
        <w:spacing w:after="720"/>
      </w:pPr>
      <w:r w:rsidRPr="000969FB">
        <w:tab/>
        <w:t>za pojistitele</w:t>
      </w:r>
      <w:r w:rsidRPr="000969FB">
        <w:tab/>
        <w:t>za pojistitele</w:t>
      </w:r>
    </w:p>
    <w:p w:rsidR="00105A6D" w:rsidRDefault="00105A6D" w:rsidP="00161A6A">
      <w:pPr>
        <w:tabs>
          <w:tab w:val="left" w:pos="3686"/>
          <w:tab w:val="right" w:leader="dot" w:pos="5954"/>
          <w:tab w:val="left" w:pos="6804"/>
          <w:tab w:val="right" w:leader="dot" w:pos="9072"/>
        </w:tabs>
      </w:pPr>
      <w:r w:rsidRPr="000969FB">
        <w:t>V</w:t>
      </w:r>
      <w:r>
        <w:t> Náměšti nad Oslavou</w:t>
      </w:r>
      <w:r w:rsidRPr="000969FB">
        <w:t xml:space="preserve">  dne </w:t>
      </w:r>
      <w:r>
        <w:t xml:space="preserve">09.04.2018                        ….………………………………. </w:t>
      </w:r>
    </w:p>
    <w:p w:rsidR="00105A6D" w:rsidRDefault="00105A6D" w:rsidP="00161A6A">
      <w:pPr>
        <w:tabs>
          <w:tab w:val="left" w:pos="3686"/>
          <w:tab w:val="right" w:leader="dot" w:pos="5954"/>
          <w:tab w:val="left" w:pos="6804"/>
          <w:tab w:val="right" w:leader="dot" w:pos="9072"/>
        </w:tabs>
      </w:pPr>
      <w:r>
        <w:t xml:space="preserve">                                                                                                     </w:t>
      </w:r>
      <w:r w:rsidRPr="000969FB">
        <w:t>za pojistníka</w:t>
      </w:r>
    </w:p>
    <w:p w:rsidR="00105A6D" w:rsidRDefault="00105A6D" w:rsidP="00161A6A">
      <w:pPr>
        <w:spacing w:before="480"/>
      </w:pPr>
      <w:r>
        <w:t>Dodatek p</w:t>
      </w:r>
      <w:r w:rsidRPr="000969FB">
        <w:t>ojistn</w:t>
      </w:r>
      <w:r>
        <w:t xml:space="preserve">é </w:t>
      </w:r>
      <w:r w:rsidRPr="000969FB">
        <w:t>smlouv</w:t>
      </w:r>
      <w:r>
        <w:t>y</w:t>
      </w:r>
      <w:r w:rsidRPr="000969FB">
        <w:t xml:space="preserve"> vypracoval(a): </w:t>
      </w:r>
      <w:r>
        <w:t>Hana Šarbortová</w:t>
      </w:r>
      <w:r w:rsidRPr="000969FB">
        <w:t xml:space="preserve">, tel. </w:t>
      </w:r>
      <w:r>
        <w:t>543 534 137</w:t>
      </w:r>
    </w:p>
    <w:sectPr w:rsidR="00105A6D" w:rsidSect="009B22B4">
      <w:footerReference w:type="default" r:id="rId8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6D" w:rsidRDefault="00105A6D" w:rsidP="00FF471C">
      <w:r>
        <w:separator/>
      </w:r>
    </w:p>
  </w:endnote>
  <w:endnote w:type="continuationSeparator" w:id="0">
    <w:p w:rsidR="00105A6D" w:rsidRDefault="00105A6D" w:rsidP="00FF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Microsoft YaHe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Koop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6D" w:rsidRPr="00877EFF" w:rsidRDefault="00105A6D">
    <w:pPr>
      <w:jc w:val="center"/>
      <w:rPr>
        <w:sz w:val="18"/>
        <w:szCs w:val="18"/>
      </w:rPr>
    </w:pPr>
    <w:r w:rsidRPr="00877EFF">
      <w:rPr>
        <w:sz w:val="18"/>
        <w:szCs w:val="18"/>
      </w:rPr>
      <w:fldChar w:fldCharType="begin"/>
    </w:r>
    <w:r w:rsidRPr="00877EFF">
      <w:rPr>
        <w:sz w:val="18"/>
        <w:szCs w:val="18"/>
      </w:rPr>
      <w:instrText>PAGE   \* MERGEFORMAT</w:instrText>
    </w:r>
    <w:r w:rsidRPr="00877EFF">
      <w:rPr>
        <w:sz w:val="18"/>
        <w:szCs w:val="18"/>
      </w:rPr>
      <w:fldChar w:fldCharType="separate"/>
    </w:r>
    <w:r>
      <w:rPr>
        <w:noProof/>
        <w:sz w:val="18"/>
        <w:szCs w:val="18"/>
      </w:rPr>
      <w:t>9</w:t>
    </w:r>
    <w:r w:rsidRPr="00877EFF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6D" w:rsidRDefault="00105A6D" w:rsidP="00FF471C">
      <w:r>
        <w:separator/>
      </w:r>
    </w:p>
  </w:footnote>
  <w:footnote w:type="continuationSeparator" w:id="0">
    <w:p w:rsidR="00105A6D" w:rsidRDefault="00105A6D" w:rsidP="00FF4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cs="Times New Roman" w:hint="default"/>
      </w:rPr>
    </w:lvl>
  </w:abstractNum>
  <w:abstractNum w:abstractNumId="1">
    <w:nsid w:val="0B877709"/>
    <w:multiLevelType w:val="multilevel"/>
    <w:tmpl w:val="126639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cs="Times New Roman" w:hint="default"/>
      </w:rPr>
    </w:lvl>
  </w:abstractNum>
  <w:abstractNum w:abstractNumId="2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cs="Times New Roman" w:hint="default"/>
      </w:rPr>
    </w:lvl>
  </w:abstractNum>
  <w:abstractNum w:abstractNumId="3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96549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rPr>
        <w:rFonts w:ascii="Koop Office" w:hAnsi="Koop Office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 w:cs="Times New Roman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4"/>
        <w:szCs w:val="14"/>
        <w:u w:val="none"/>
        <w:effect w:val="none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0000"/>
        <w:sz w:val="20"/>
        <w:szCs w:val="20"/>
        <w:u w:val="none"/>
        <w:effect w:val="none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4"/>
        <w:u w:val="none"/>
        <w:effect w:val="none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17"/>
        <w:szCs w:val="17"/>
        <w:u w:val="none"/>
        <w:effect w:val="none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17"/>
        <w:szCs w:val="17"/>
        <w:u w:val="none"/>
        <w:effect w:val="none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1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>
    <w:nsid w:val="64682D1D"/>
    <w:multiLevelType w:val="hybridMultilevel"/>
    <w:tmpl w:val="0C823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cs="Times New Roman" w:hint="default"/>
      </w:rPr>
    </w:lvl>
  </w:abstractNum>
  <w:abstractNum w:abstractNumId="15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8"/>
  </w:num>
  <w:num w:numId="5">
    <w:abstractNumId w:val="12"/>
  </w:num>
  <w:num w:numId="6">
    <w:abstractNumId w:val="12"/>
  </w:num>
  <w:num w:numId="7">
    <w:abstractNumId w:val="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11"/>
  </w:num>
  <w:num w:numId="27">
    <w:abstractNumId w:val="11"/>
    <w:lvlOverride w:ilvl="0">
      <w:startOverride w:val="1"/>
    </w:lvlOverride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"/>
    <w:lvlOverride w:ilvl="0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2B4"/>
    <w:rsid w:val="00000829"/>
    <w:rsid w:val="00000DF1"/>
    <w:rsid w:val="00007AA8"/>
    <w:rsid w:val="00007CE7"/>
    <w:rsid w:val="00012E40"/>
    <w:rsid w:val="00013B8D"/>
    <w:rsid w:val="0001462A"/>
    <w:rsid w:val="000214B8"/>
    <w:rsid w:val="000220ED"/>
    <w:rsid w:val="00024476"/>
    <w:rsid w:val="00030654"/>
    <w:rsid w:val="000400E7"/>
    <w:rsid w:val="00044839"/>
    <w:rsid w:val="000476E6"/>
    <w:rsid w:val="000505F9"/>
    <w:rsid w:val="000508EE"/>
    <w:rsid w:val="00050F2F"/>
    <w:rsid w:val="000512D2"/>
    <w:rsid w:val="00053062"/>
    <w:rsid w:val="00066D92"/>
    <w:rsid w:val="00070CE3"/>
    <w:rsid w:val="000723D1"/>
    <w:rsid w:val="0007248A"/>
    <w:rsid w:val="00073CF2"/>
    <w:rsid w:val="00080CF5"/>
    <w:rsid w:val="000824F1"/>
    <w:rsid w:val="00087A45"/>
    <w:rsid w:val="00090CCF"/>
    <w:rsid w:val="00093452"/>
    <w:rsid w:val="000969FB"/>
    <w:rsid w:val="00096C8B"/>
    <w:rsid w:val="00097838"/>
    <w:rsid w:val="000A0408"/>
    <w:rsid w:val="000A4067"/>
    <w:rsid w:val="000A5FE6"/>
    <w:rsid w:val="000A73AE"/>
    <w:rsid w:val="000B3B40"/>
    <w:rsid w:val="000C7550"/>
    <w:rsid w:val="000D0067"/>
    <w:rsid w:val="000D0856"/>
    <w:rsid w:val="000D2909"/>
    <w:rsid w:val="000D2A28"/>
    <w:rsid w:val="000F3A50"/>
    <w:rsid w:val="000F4CDE"/>
    <w:rsid w:val="000F650D"/>
    <w:rsid w:val="00101FEA"/>
    <w:rsid w:val="00105A6D"/>
    <w:rsid w:val="00107106"/>
    <w:rsid w:val="0011033A"/>
    <w:rsid w:val="001160C6"/>
    <w:rsid w:val="00117B8C"/>
    <w:rsid w:val="00122398"/>
    <w:rsid w:val="00133663"/>
    <w:rsid w:val="00135CAC"/>
    <w:rsid w:val="00142897"/>
    <w:rsid w:val="00142CDD"/>
    <w:rsid w:val="00150363"/>
    <w:rsid w:val="00156F32"/>
    <w:rsid w:val="001600C3"/>
    <w:rsid w:val="00161A6A"/>
    <w:rsid w:val="00162CA8"/>
    <w:rsid w:val="00172DD7"/>
    <w:rsid w:val="0018046F"/>
    <w:rsid w:val="001829F0"/>
    <w:rsid w:val="00183C97"/>
    <w:rsid w:val="00184E09"/>
    <w:rsid w:val="00186B3D"/>
    <w:rsid w:val="001922CC"/>
    <w:rsid w:val="00193697"/>
    <w:rsid w:val="001A4D06"/>
    <w:rsid w:val="001B0445"/>
    <w:rsid w:val="001B170A"/>
    <w:rsid w:val="001B6506"/>
    <w:rsid w:val="001C2AD6"/>
    <w:rsid w:val="001C517F"/>
    <w:rsid w:val="001D5138"/>
    <w:rsid w:val="001D5B57"/>
    <w:rsid w:val="001E6722"/>
    <w:rsid w:val="001F2AA2"/>
    <w:rsid w:val="001F64D0"/>
    <w:rsid w:val="001F7BD6"/>
    <w:rsid w:val="0020371E"/>
    <w:rsid w:val="00204E38"/>
    <w:rsid w:val="002155DD"/>
    <w:rsid w:val="002247BA"/>
    <w:rsid w:val="002267E8"/>
    <w:rsid w:val="0023465B"/>
    <w:rsid w:val="002361D4"/>
    <w:rsid w:val="0024467F"/>
    <w:rsid w:val="002465EE"/>
    <w:rsid w:val="00254175"/>
    <w:rsid w:val="00255904"/>
    <w:rsid w:val="002670F5"/>
    <w:rsid w:val="0027036F"/>
    <w:rsid w:val="00277386"/>
    <w:rsid w:val="00280823"/>
    <w:rsid w:val="00287F7C"/>
    <w:rsid w:val="002928E0"/>
    <w:rsid w:val="00292C60"/>
    <w:rsid w:val="00294BD2"/>
    <w:rsid w:val="002A12A2"/>
    <w:rsid w:val="002A47C0"/>
    <w:rsid w:val="002A5A97"/>
    <w:rsid w:val="002B4055"/>
    <w:rsid w:val="002B4072"/>
    <w:rsid w:val="002C2133"/>
    <w:rsid w:val="002C7D2F"/>
    <w:rsid w:val="002D2C34"/>
    <w:rsid w:val="002D6EF7"/>
    <w:rsid w:val="002D748F"/>
    <w:rsid w:val="002E0A8D"/>
    <w:rsid w:val="002E6859"/>
    <w:rsid w:val="002E752C"/>
    <w:rsid w:val="002F2C04"/>
    <w:rsid w:val="002F668C"/>
    <w:rsid w:val="0030018C"/>
    <w:rsid w:val="0030285D"/>
    <w:rsid w:val="00304A0D"/>
    <w:rsid w:val="003054D6"/>
    <w:rsid w:val="0030644A"/>
    <w:rsid w:val="00306A2B"/>
    <w:rsid w:val="00313AA3"/>
    <w:rsid w:val="00314AC7"/>
    <w:rsid w:val="003206F6"/>
    <w:rsid w:val="003213ED"/>
    <w:rsid w:val="0032643A"/>
    <w:rsid w:val="003269E6"/>
    <w:rsid w:val="003302A4"/>
    <w:rsid w:val="00330BA5"/>
    <w:rsid w:val="0033194C"/>
    <w:rsid w:val="0033271D"/>
    <w:rsid w:val="00336F1D"/>
    <w:rsid w:val="00340030"/>
    <w:rsid w:val="00340CD6"/>
    <w:rsid w:val="00343E2D"/>
    <w:rsid w:val="00346255"/>
    <w:rsid w:val="00346AB2"/>
    <w:rsid w:val="00350C4A"/>
    <w:rsid w:val="00354B2A"/>
    <w:rsid w:val="00371F82"/>
    <w:rsid w:val="00373B1B"/>
    <w:rsid w:val="00375986"/>
    <w:rsid w:val="003925B1"/>
    <w:rsid w:val="003933D3"/>
    <w:rsid w:val="00394D0C"/>
    <w:rsid w:val="00395194"/>
    <w:rsid w:val="00397F8A"/>
    <w:rsid w:val="003A4A30"/>
    <w:rsid w:val="003A680A"/>
    <w:rsid w:val="003B0339"/>
    <w:rsid w:val="003C0442"/>
    <w:rsid w:val="003C4C9E"/>
    <w:rsid w:val="003D1AF4"/>
    <w:rsid w:val="003D1B3C"/>
    <w:rsid w:val="003E0CF5"/>
    <w:rsid w:val="003E5536"/>
    <w:rsid w:val="003E7853"/>
    <w:rsid w:val="003E7EB8"/>
    <w:rsid w:val="003F4AF7"/>
    <w:rsid w:val="00412BD5"/>
    <w:rsid w:val="00413E27"/>
    <w:rsid w:val="0041475F"/>
    <w:rsid w:val="00414B37"/>
    <w:rsid w:val="00423DEC"/>
    <w:rsid w:val="00425AA6"/>
    <w:rsid w:val="00426193"/>
    <w:rsid w:val="004277BA"/>
    <w:rsid w:val="0043372E"/>
    <w:rsid w:val="00445D99"/>
    <w:rsid w:val="00456A83"/>
    <w:rsid w:val="004618B2"/>
    <w:rsid w:val="00464D1B"/>
    <w:rsid w:val="004658D7"/>
    <w:rsid w:val="00473347"/>
    <w:rsid w:val="00473878"/>
    <w:rsid w:val="004768DA"/>
    <w:rsid w:val="00476C08"/>
    <w:rsid w:val="004822F6"/>
    <w:rsid w:val="0048272F"/>
    <w:rsid w:val="00486022"/>
    <w:rsid w:val="004903F5"/>
    <w:rsid w:val="004944B7"/>
    <w:rsid w:val="00496C95"/>
    <w:rsid w:val="004A10B2"/>
    <w:rsid w:val="004A223A"/>
    <w:rsid w:val="004A2932"/>
    <w:rsid w:val="004B2794"/>
    <w:rsid w:val="004B34C1"/>
    <w:rsid w:val="004B4DC7"/>
    <w:rsid w:val="004B647F"/>
    <w:rsid w:val="004B6F18"/>
    <w:rsid w:val="004B7118"/>
    <w:rsid w:val="004D2453"/>
    <w:rsid w:val="004D7CDC"/>
    <w:rsid w:val="004F17EE"/>
    <w:rsid w:val="004F1E5C"/>
    <w:rsid w:val="00502311"/>
    <w:rsid w:val="00511C6E"/>
    <w:rsid w:val="005141DD"/>
    <w:rsid w:val="00516565"/>
    <w:rsid w:val="00521E2A"/>
    <w:rsid w:val="00521E53"/>
    <w:rsid w:val="005229B9"/>
    <w:rsid w:val="0053514D"/>
    <w:rsid w:val="00541E4F"/>
    <w:rsid w:val="00542FE9"/>
    <w:rsid w:val="005547AD"/>
    <w:rsid w:val="0055766F"/>
    <w:rsid w:val="00561D4F"/>
    <w:rsid w:val="00562759"/>
    <w:rsid w:val="00564B1C"/>
    <w:rsid w:val="00566FAD"/>
    <w:rsid w:val="005721C6"/>
    <w:rsid w:val="0057758A"/>
    <w:rsid w:val="00577730"/>
    <w:rsid w:val="0058331E"/>
    <w:rsid w:val="0058517B"/>
    <w:rsid w:val="0058612C"/>
    <w:rsid w:val="00590C73"/>
    <w:rsid w:val="0059142D"/>
    <w:rsid w:val="00594B72"/>
    <w:rsid w:val="005B15BF"/>
    <w:rsid w:val="005B4B6A"/>
    <w:rsid w:val="005B61DF"/>
    <w:rsid w:val="005C000C"/>
    <w:rsid w:val="005C42B5"/>
    <w:rsid w:val="005C6173"/>
    <w:rsid w:val="005C6810"/>
    <w:rsid w:val="005D05B5"/>
    <w:rsid w:val="005E0C81"/>
    <w:rsid w:val="005E6D93"/>
    <w:rsid w:val="005F3154"/>
    <w:rsid w:val="00602109"/>
    <w:rsid w:val="006106E3"/>
    <w:rsid w:val="00616482"/>
    <w:rsid w:val="00623E58"/>
    <w:rsid w:val="00631371"/>
    <w:rsid w:val="0063247E"/>
    <w:rsid w:val="006352F6"/>
    <w:rsid w:val="006367EA"/>
    <w:rsid w:val="00640B01"/>
    <w:rsid w:val="006443B3"/>
    <w:rsid w:val="00647D3A"/>
    <w:rsid w:val="006543D2"/>
    <w:rsid w:val="006600BE"/>
    <w:rsid w:val="006718E4"/>
    <w:rsid w:val="00674013"/>
    <w:rsid w:val="00681118"/>
    <w:rsid w:val="006851D7"/>
    <w:rsid w:val="0069207B"/>
    <w:rsid w:val="00694E7B"/>
    <w:rsid w:val="006957C3"/>
    <w:rsid w:val="00695BCE"/>
    <w:rsid w:val="00697228"/>
    <w:rsid w:val="006A0307"/>
    <w:rsid w:val="006A3D39"/>
    <w:rsid w:val="006A531B"/>
    <w:rsid w:val="006B453D"/>
    <w:rsid w:val="006B487D"/>
    <w:rsid w:val="006D3D06"/>
    <w:rsid w:val="006D70FC"/>
    <w:rsid w:val="006E0EB3"/>
    <w:rsid w:val="006E12DD"/>
    <w:rsid w:val="006E5684"/>
    <w:rsid w:val="0070114B"/>
    <w:rsid w:val="00705D2B"/>
    <w:rsid w:val="00711945"/>
    <w:rsid w:val="007222D4"/>
    <w:rsid w:val="0072347C"/>
    <w:rsid w:val="007270A8"/>
    <w:rsid w:val="0073198C"/>
    <w:rsid w:val="007322C2"/>
    <w:rsid w:val="0073684F"/>
    <w:rsid w:val="00741740"/>
    <w:rsid w:val="00741785"/>
    <w:rsid w:val="00742497"/>
    <w:rsid w:val="0074594D"/>
    <w:rsid w:val="00746BC8"/>
    <w:rsid w:val="00757668"/>
    <w:rsid w:val="00765000"/>
    <w:rsid w:val="007732A6"/>
    <w:rsid w:val="00773E80"/>
    <w:rsid w:val="00773EB9"/>
    <w:rsid w:val="00775B6B"/>
    <w:rsid w:val="0077726A"/>
    <w:rsid w:val="00781027"/>
    <w:rsid w:val="00782181"/>
    <w:rsid w:val="007861A3"/>
    <w:rsid w:val="00794C61"/>
    <w:rsid w:val="007A457F"/>
    <w:rsid w:val="007A5F49"/>
    <w:rsid w:val="007A661E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59DD"/>
    <w:rsid w:val="007F6574"/>
    <w:rsid w:val="00800634"/>
    <w:rsid w:val="00800B1A"/>
    <w:rsid w:val="00800BE6"/>
    <w:rsid w:val="00801660"/>
    <w:rsid w:val="008066EF"/>
    <w:rsid w:val="00807DB0"/>
    <w:rsid w:val="00810BC5"/>
    <w:rsid w:val="008119AB"/>
    <w:rsid w:val="00812950"/>
    <w:rsid w:val="00820AB4"/>
    <w:rsid w:val="00822B14"/>
    <w:rsid w:val="00832DDD"/>
    <w:rsid w:val="0083612F"/>
    <w:rsid w:val="0083635A"/>
    <w:rsid w:val="0084114B"/>
    <w:rsid w:val="0084603E"/>
    <w:rsid w:val="00852EA0"/>
    <w:rsid w:val="00861AAB"/>
    <w:rsid w:val="00862700"/>
    <w:rsid w:val="00873C2F"/>
    <w:rsid w:val="0087405A"/>
    <w:rsid w:val="00877EFF"/>
    <w:rsid w:val="00883504"/>
    <w:rsid w:val="008838CD"/>
    <w:rsid w:val="00885DD2"/>
    <w:rsid w:val="00886F29"/>
    <w:rsid w:val="00890ED9"/>
    <w:rsid w:val="008A299B"/>
    <w:rsid w:val="008A2DAA"/>
    <w:rsid w:val="008A33FB"/>
    <w:rsid w:val="008B3DBA"/>
    <w:rsid w:val="008B5DA2"/>
    <w:rsid w:val="008B7028"/>
    <w:rsid w:val="008C004D"/>
    <w:rsid w:val="008C1DD9"/>
    <w:rsid w:val="008C2074"/>
    <w:rsid w:val="008C2488"/>
    <w:rsid w:val="008C34A6"/>
    <w:rsid w:val="008D0E75"/>
    <w:rsid w:val="008D1245"/>
    <w:rsid w:val="008D4BCE"/>
    <w:rsid w:val="008E0983"/>
    <w:rsid w:val="008E402D"/>
    <w:rsid w:val="008E5597"/>
    <w:rsid w:val="008F010C"/>
    <w:rsid w:val="008F5003"/>
    <w:rsid w:val="008F5A8E"/>
    <w:rsid w:val="008F5AF9"/>
    <w:rsid w:val="008F602E"/>
    <w:rsid w:val="008F77D1"/>
    <w:rsid w:val="00902081"/>
    <w:rsid w:val="00910D56"/>
    <w:rsid w:val="00912A8F"/>
    <w:rsid w:val="00914BEE"/>
    <w:rsid w:val="00916676"/>
    <w:rsid w:val="00920622"/>
    <w:rsid w:val="00923C73"/>
    <w:rsid w:val="00925605"/>
    <w:rsid w:val="00927C7B"/>
    <w:rsid w:val="00936528"/>
    <w:rsid w:val="0094214D"/>
    <w:rsid w:val="009421A5"/>
    <w:rsid w:val="0094395E"/>
    <w:rsid w:val="009470A2"/>
    <w:rsid w:val="009501FE"/>
    <w:rsid w:val="0095132D"/>
    <w:rsid w:val="00951F46"/>
    <w:rsid w:val="0095418B"/>
    <w:rsid w:val="009544C3"/>
    <w:rsid w:val="00981556"/>
    <w:rsid w:val="009837B9"/>
    <w:rsid w:val="00986E73"/>
    <w:rsid w:val="00992571"/>
    <w:rsid w:val="0099627C"/>
    <w:rsid w:val="009966F7"/>
    <w:rsid w:val="009A1676"/>
    <w:rsid w:val="009A680F"/>
    <w:rsid w:val="009B05C4"/>
    <w:rsid w:val="009B22B4"/>
    <w:rsid w:val="009B710D"/>
    <w:rsid w:val="009C0F40"/>
    <w:rsid w:val="009D07E4"/>
    <w:rsid w:val="009D3FA8"/>
    <w:rsid w:val="009E3A15"/>
    <w:rsid w:val="009E3C0B"/>
    <w:rsid w:val="009E4D9D"/>
    <w:rsid w:val="009F5BAA"/>
    <w:rsid w:val="009F7805"/>
    <w:rsid w:val="00A06F56"/>
    <w:rsid w:val="00A1079E"/>
    <w:rsid w:val="00A10FA1"/>
    <w:rsid w:val="00A13C43"/>
    <w:rsid w:val="00A1790F"/>
    <w:rsid w:val="00A32127"/>
    <w:rsid w:val="00A37F76"/>
    <w:rsid w:val="00A50107"/>
    <w:rsid w:val="00A54C73"/>
    <w:rsid w:val="00A55AB8"/>
    <w:rsid w:val="00A654E4"/>
    <w:rsid w:val="00A705B4"/>
    <w:rsid w:val="00A7212E"/>
    <w:rsid w:val="00A73413"/>
    <w:rsid w:val="00A74E6A"/>
    <w:rsid w:val="00A779BE"/>
    <w:rsid w:val="00A90139"/>
    <w:rsid w:val="00A9134D"/>
    <w:rsid w:val="00A9650D"/>
    <w:rsid w:val="00AA737A"/>
    <w:rsid w:val="00AB10E8"/>
    <w:rsid w:val="00AB1243"/>
    <w:rsid w:val="00AD2C62"/>
    <w:rsid w:val="00AE6E36"/>
    <w:rsid w:val="00AE7B11"/>
    <w:rsid w:val="00AF5EDE"/>
    <w:rsid w:val="00AF6720"/>
    <w:rsid w:val="00B01403"/>
    <w:rsid w:val="00B05CAC"/>
    <w:rsid w:val="00B0677C"/>
    <w:rsid w:val="00B12B36"/>
    <w:rsid w:val="00B12D70"/>
    <w:rsid w:val="00B17E38"/>
    <w:rsid w:val="00B204C3"/>
    <w:rsid w:val="00B22504"/>
    <w:rsid w:val="00B24018"/>
    <w:rsid w:val="00B2622D"/>
    <w:rsid w:val="00B31BFF"/>
    <w:rsid w:val="00B328CB"/>
    <w:rsid w:val="00B3345F"/>
    <w:rsid w:val="00B4735A"/>
    <w:rsid w:val="00B5761C"/>
    <w:rsid w:val="00B60D74"/>
    <w:rsid w:val="00B60E4C"/>
    <w:rsid w:val="00B61638"/>
    <w:rsid w:val="00B7101A"/>
    <w:rsid w:val="00B760DA"/>
    <w:rsid w:val="00B77C7F"/>
    <w:rsid w:val="00B77F6A"/>
    <w:rsid w:val="00B90B77"/>
    <w:rsid w:val="00B90DE5"/>
    <w:rsid w:val="00BA4D04"/>
    <w:rsid w:val="00BB2A89"/>
    <w:rsid w:val="00BB6D8E"/>
    <w:rsid w:val="00BC0C92"/>
    <w:rsid w:val="00BC0FDF"/>
    <w:rsid w:val="00BD06B5"/>
    <w:rsid w:val="00BD3B20"/>
    <w:rsid w:val="00BE322C"/>
    <w:rsid w:val="00BE4DE7"/>
    <w:rsid w:val="00BE6DF8"/>
    <w:rsid w:val="00BE7A66"/>
    <w:rsid w:val="00BF13C4"/>
    <w:rsid w:val="00C0786E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40903"/>
    <w:rsid w:val="00C44CAA"/>
    <w:rsid w:val="00C4742F"/>
    <w:rsid w:val="00C51587"/>
    <w:rsid w:val="00C576C3"/>
    <w:rsid w:val="00C57992"/>
    <w:rsid w:val="00C603E3"/>
    <w:rsid w:val="00C71DE4"/>
    <w:rsid w:val="00C74C65"/>
    <w:rsid w:val="00C765F6"/>
    <w:rsid w:val="00C80978"/>
    <w:rsid w:val="00C862EF"/>
    <w:rsid w:val="00C87335"/>
    <w:rsid w:val="00C93528"/>
    <w:rsid w:val="00C93BDD"/>
    <w:rsid w:val="00C94DE2"/>
    <w:rsid w:val="00CA4137"/>
    <w:rsid w:val="00CA7135"/>
    <w:rsid w:val="00CB0D2D"/>
    <w:rsid w:val="00CB4A53"/>
    <w:rsid w:val="00CB5FEE"/>
    <w:rsid w:val="00CC08FD"/>
    <w:rsid w:val="00CC1640"/>
    <w:rsid w:val="00CD1796"/>
    <w:rsid w:val="00CD5D6B"/>
    <w:rsid w:val="00CE07DF"/>
    <w:rsid w:val="00CE37C6"/>
    <w:rsid w:val="00CE58AF"/>
    <w:rsid w:val="00CF48C7"/>
    <w:rsid w:val="00D0308B"/>
    <w:rsid w:val="00D104A7"/>
    <w:rsid w:val="00D145AD"/>
    <w:rsid w:val="00D1768F"/>
    <w:rsid w:val="00D212AA"/>
    <w:rsid w:val="00D335D2"/>
    <w:rsid w:val="00D36F62"/>
    <w:rsid w:val="00D44DD5"/>
    <w:rsid w:val="00D50364"/>
    <w:rsid w:val="00D54E9A"/>
    <w:rsid w:val="00D60319"/>
    <w:rsid w:val="00D60339"/>
    <w:rsid w:val="00D6073C"/>
    <w:rsid w:val="00D65982"/>
    <w:rsid w:val="00D67DFE"/>
    <w:rsid w:val="00D70E93"/>
    <w:rsid w:val="00D71CC8"/>
    <w:rsid w:val="00D734AB"/>
    <w:rsid w:val="00D73577"/>
    <w:rsid w:val="00D75784"/>
    <w:rsid w:val="00D77A4D"/>
    <w:rsid w:val="00D86F9E"/>
    <w:rsid w:val="00D91B8A"/>
    <w:rsid w:val="00D94E2A"/>
    <w:rsid w:val="00D96417"/>
    <w:rsid w:val="00DA183D"/>
    <w:rsid w:val="00DA236E"/>
    <w:rsid w:val="00DB0CAA"/>
    <w:rsid w:val="00DB239C"/>
    <w:rsid w:val="00DB3B70"/>
    <w:rsid w:val="00DB50B3"/>
    <w:rsid w:val="00DC698D"/>
    <w:rsid w:val="00DC75AA"/>
    <w:rsid w:val="00DD0659"/>
    <w:rsid w:val="00DD55C5"/>
    <w:rsid w:val="00DD6D73"/>
    <w:rsid w:val="00DE3558"/>
    <w:rsid w:val="00DF20F3"/>
    <w:rsid w:val="00DF62A5"/>
    <w:rsid w:val="00E11C51"/>
    <w:rsid w:val="00E12ECF"/>
    <w:rsid w:val="00E17861"/>
    <w:rsid w:val="00E22B7F"/>
    <w:rsid w:val="00E364FA"/>
    <w:rsid w:val="00E37124"/>
    <w:rsid w:val="00E41460"/>
    <w:rsid w:val="00E41B52"/>
    <w:rsid w:val="00E41C14"/>
    <w:rsid w:val="00E41D35"/>
    <w:rsid w:val="00E47688"/>
    <w:rsid w:val="00E47AD4"/>
    <w:rsid w:val="00E53E3E"/>
    <w:rsid w:val="00E64EBC"/>
    <w:rsid w:val="00E6665B"/>
    <w:rsid w:val="00E67795"/>
    <w:rsid w:val="00E7190C"/>
    <w:rsid w:val="00E74844"/>
    <w:rsid w:val="00E74871"/>
    <w:rsid w:val="00E75FBB"/>
    <w:rsid w:val="00E76F41"/>
    <w:rsid w:val="00E8247A"/>
    <w:rsid w:val="00E86375"/>
    <w:rsid w:val="00E937DA"/>
    <w:rsid w:val="00EA0B4C"/>
    <w:rsid w:val="00EA6FE7"/>
    <w:rsid w:val="00EB199D"/>
    <w:rsid w:val="00EB5475"/>
    <w:rsid w:val="00EC38BC"/>
    <w:rsid w:val="00EC5688"/>
    <w:rsid w:val="00EC6A37"/>
    <w:rsid w:val="00ED3462"/>
    <w:rsid w:val="00ED73ED"/>
    <w:rsid w:val="00EE163F"/>
    <w:rsid w:val="00EE2B81"/>
    <w:rsid w:val="00EE7EB5"/>
    <w:rsid w:val="00EF2569"/>
    <w:rsid w:val="00EF52E7"/>
    <w:rsid w:val="00F01C32"/>
    <w:rsid w:val="00F03D81"/>
    <w:rsid w:val="00F071FF"/>
    <w:rsid w:val="00F14109"/>
    <w:rsid w:val="00F161E1"/>
    <w:rsid w:val="00F1724E"/>
    <w:rsid w:val="00F23022"/>
    <w:rsid w:val="00F248E0"/>
    <w:rsid w:val="00F26672"/>
    <w:rsid w:val="00F309B8"/>
    <w:rsid w:val="00F3180F"/>
    <w:rsid w:val="00F34F4F"/>
    <w:rsid w:val="00F425A6"/>
    <w:rsid w:val="00F437FB"/>
    <w:rsid w:val="00F55F0B"/>
    <w:rsid w:val="00F577F6"/>
    <w:rsid w:val="00F6170F"/>
    <w:rsid w:val="00F61AC5"/>
    <w:rsid w:val="00F661EC"/>
    <w:rsid w:val="00F72086"/>
    <w:rsid w:val="00F72466"/>
    <w:rsid w:val="00F72F67"/>
    <w:rsid w:val="00F736B6"/>
    <w:rsid w:val="00F753E2"/>
    <w:rsid w:val="00F7590E"/>
    <w:rsid w:val="00F75B00"/>
    <w:rsid w:val="00F75E9F"/>
    <w:rsid w:val="00F7776F"/>
    <w:rsid w:val="00F8384F"/>
    <w:rsid w:val="00F84B82"/>
    <w:rsid w:val="00F86680"/>
    <w:rsid w:val="00F90247"/>
    <w:rsid w:val="00F94F7B"/>
    <w:rsid w:val="00FA2377"/>
    <w:rsid w:val="00FA2C72"/>
    <w:rsid w:val="00FA4C01"/>
    <w:rsid w:val="00FA4E84"/>
    <w:rsid w:val="00FA6CD9"/>
    <w:rsid w:val="00FB3710"/>
    <w:rsid w:val="00FB41A7"/>
    <w:rsid w:val="00FB4897"/>
    <w:rsid w:val="00FB7CF7"/>
    <w:rsid w:val="00FC1336"/>
    <w:rsid w:val="00FD4477"/>
    <w:rsid w:val="00FD78C2"/>
    <w:rsid w:val="00FE0ECD"/>
    <w:rsid w:val="00FF0552"/>
    <w:rsid w:val="00FF145A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07DB0"/>
    <w:pPr>
      <w:jc w:val="both"/>
    </w:pPr>
    <w:rPr>
      <w:rFonts w:ascii="Koop Office" w:eastAsia="Times New Roman" w:hAnsi="Koop Office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2B4"/>
    <w:rPr>
      <w:rFonts w:ascii="Koop Office" w:hAnsi="Koop Office" w:cs="Times New Roman"/>
      <w:bCs/>
      <w:kern w:val="32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22B4"/>
    <w:rPr>
      <w:rFonts w:ascii="Koop Office" w:hAnsi="Koop Office" w:cs="Times New Roman"/>
      <w:bCs/>
      <w:iCs/>
      <w:sz w:val="28"/>
      <w:szCs w:val="2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22B4"/>
    <w:rPr>
      <w:rFonts w:ascii="Koop Office" w:hAnsi="Koop Office" w:cs="Times New Roman"/>
      <w:b/>
      <w:bCs/>
      <w:sz w:val="26"/>
      <w:szCs w:val="26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22B4"/>
    <w:rPr>
      <w:rFonts w:ascii="Koop Office" w:hAnsi="Koop Office" w:cs="Times New Roman"/>
      <w:bCs/>
      <w:sz w:val="28"/>
      <w:szCs w:val="2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B22B4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B22B4"/>
    <w:rPr>
      <w:rFonts w:ascii="Calibri" w:hAnsi="Calibri" w:cs="Times New Roman"/>
      <w:b/>
      <w:bCs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B22B4"/>
    <w:rPr>
      <w:rFonts w:ascii="Calibri" w:hAnsi="Calibri" w:cs="Times New Roman"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B22B4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B22B4"/>
    <w:rPr>
      <w:rFonts w:ascii="Arial" w:hAnsi="Arial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107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106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rsid w:val="00FF471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F47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471C"/>
    <w:rPr>
      <w:rFonts w:ascii="Koop Office" w:hAnsi="Koop Office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99"/>
    <w:rsid w:val="009B22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9B22B4"/>
    <w:rPr>
      <w:bCs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9B22B4"/>
    <w:rPr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9B22B4"/>
    <w:rPr>
      <w:szCs w:val="22"/>
    </w:rPr>
  </w:style>
  <w:style w:type="paragraph" w:styleId="Footer">
    <w:name w:val="footer"/>
    <w:basedOn w:val="Normal"/>
    <w:link w:val="FooterChar"/>
    <w:uiPriority w:val="99"/>
    <w:rsid w:val="00FF47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71C"/>
    <w:rPr>
      <w:rFonts w:ascii="Koop Office" w:hAnsi="Koop Office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MediumList2-Accent1">
    <w:name w:val="Medium List 2 Accent 1"/>
    <w:basedOn w:val="TableNormal"/>
    <w:uiPriority w:val="99"/>
    <w:rsid w:val="009B22B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uiPriority w:val="99"/>
    <w:rsid w:val="009B22B4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character" w:styleId="PlaceholderText">
    <w:name w:val="Placeholder Text"/>
    <w:basedOn w:val="DefaultParagraphFont"/>
    <w:uiPriority w:val="99"/>
    <w:semiHidden/>
    <w:rsid w:val="009B22B4"/>
    <w:rPr>
      <w:color w:val="808080"/>
    </w:rPr>
  </w:style>
  <w:style w:type="paragraph" w:styleId="Revision">
    <w:name w:val="Revision"/>
    <w:hidden/>
    <w:uiPriority w:val="99"/>
    <w:semiHidden/>
    <w:rsid w:val="009B22B4"/>
    <w:rPr>
      <w:rFonts w:ascii="Koop Office" w:eastAsia="Times New Roman" w:hAnsi="Koop Office"/>
      <w:szCs w:val="24"/>
    </w:rPr>
  </w:style>
  <w:style w:type="paragraph" w:styleId="TOCHeading">
    <w:name w:val="TOC Heading"/>
    <w:basedOn w:val="Heading1"/>
    <w:next w:val="Normal"/>
    <w:uiPriority w:val="99"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D5036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0364"/>
    <w:rPr>
      <w:rFonts w:ascii="Koop Office" w:hAnsi="Koop Office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D50364"/>
    <w:rPr>
      <w:rFonts w:cs="Times New Roman"/>
      <w:sz w:val="16"/>
      <w:szCs w:val="16"/>
    </w:rPr>
  </w:style>
  <w:style w:type="paragraph" w:customStyle="1" w:styleId="slovn-psmena">
    <w:name w:val="číslování - písmena"/>
    <w:basedOn w:val="Normal"/>
    <w:uiPriority w:val="99"/>
    <w:rsid w:val="00807DB0"/>
    <w:pPr>
      <w:numPr>
        <w:numId w:val="19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26672"/>
    <w:rPr>
      <w:b/>
      <w:bCs/>
    </w:rPr>
  </w:style>
  <w:style w:type="paragraph" w:customStyle="1" w:styleId="Nadpislnk">
    <w:name w:val="Nadpis článků"/>
    <w:basedOn w:val="Normal"/>
    <w:uiPriority w:val="99"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FollowedHyperlink">
    <w:name w:val="FollowedHyperlink"/>
    <w:basedOn w:val="DefaultParagraphFont"/>
    <w:uiPriority w:val="99"/>
    <w:semiHidden/>
    <w:rsid w:val="00F34F4F"/>
    <w:rPr>
      <w:rFonts w:cs="Times New Roman"/>
      <w:color w:val="800080"/>
      <w:u w:val="single"/>
    </w:rPr>
  </w:style>
  <w:style w:type="paragraph" w:customStyle="1" w:styleId="slovn-tabulka">
    <w:name w:val="číslování - tabulka"/>
    <w:basedOn w:val="ListParagraph"/>
    <w:uiPriority w:val="99"/>
    <w:rsid w:val="00255904"/>
    <w:pPr>
      <w:numPr>
        <w:numId w:val="7"/>
      </w:numPr>
      <w:ind w:left="0"/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al"/>
    <w:link w:val="slovn-rove1Char"/>
    <w:uiPriority w:val="99"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uiPriority w:val="99"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uiPriority w:val="99"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uiPriority w:val="99"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uiPriority w:val="99"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DefaultParagraphFont"/>
    <w:link w:val="slovn-rove1"/>
    <w:uiPriority w:val="99"/>
    <w:locked/>
    <w:rsid w:val="00521E53"/>
    <w:rPr>
      <w:rFonts w:ascii="Koop Office" w:hAnsi="Koop Office" w:cs="Times New Roman"/>
      <w:b/>
      <w:sz w:val="24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uiPriority w:val="99"/>
    <w:locked/>
    <w:rsid w:val="00CA7135"/>
  </w:style>
  <w:style w:type="paragraph" w:customStyle="1" w:styleId="slovn-rove1-netunb">
    <w:name w:val="Číslování - úroveň 1 - netučné b"/>
    <w:basedOn w:val="Normal"/>
    <w:uiPriority w:val="99"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uiPriority w:val="99"/>
    <w:locked/>
    <w:rsid w:val="003C0442"/>
  </w:style>
  <w:style w:type="character" w:customStyle="1" w:styleId="slovn-rove2-netunChar">
    <w:name w:val="číslování - úroveň 2 - netučné Char"/>
    <w:basedOn w:val="slovn-rove2Char"/>
    <w:link w:val="slovn-rove2-netun"/>
    <w:uiPriority w:val="99"/>
    <w:locked/>
    <w:rsid w:val="008F5003"/>
  </w:style>
  <w:style w:type="paragraph" w:styleId="BodyTextIndent3">
    <w:name w:val="Body Text Indent 3"/>
    <w:basedOn w:val="Normal"/>
    <w:link w:val="BodyTextIndent3Char"/>
    <w:uiPriority w:val="99"/>
    <w:rsid w:val="008A299B"/>
    <w:pPr>
      <w:spacing w:after="120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A299B"/>
    <w:rPr>
      <w:rFonts w:ascii="Times New Roman" w:hAnsi="Times New Roman" w:cs="Times New Roman"/>
      <w:sz w:val="20"/>
      <w:szCs w:val="20"/>
      <w:lang w:eastAsia="cs-CZ"/>
    </w:rPr>
  </w:style>
  <w:style w:type="paragraph" w:styleId="BodyText2">
    <w:name w:val="Body Text 2"/>
    <w:basedOn w:val="Normal"/>
    <w:link w:val="BodyText2Char"/>
    <w:uiPriority w:val="99"/>
    <w:semiHidden/>
    <w:rsid w:val="000D29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2909"/>
    <w:rPr>
      <w:rFonts w:ascii="Koop Office" w:hAnsi="Koop Office" w:cs="Times New Roman"/>
      <w:sz w:val="24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rsid w:val="009E3C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E3C0B"/>
    <w:rPr>
      <w:rFonts w:ascii="Koop Office" w:hAnsi="Koop Office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rsid w:val="009E3C0B"/>
    <w:pPr>
      <w:spacing w:before="100" w:after="100"/>
      <w:jc w:val="left"/>
    </w:pPr>
    <w:rPr>
      <w:rFonts w:ascii="Arial Unicode MS" w:eastAsia="Arial Unicode MS" w:hAnsi="Arial Unicode M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9E3C0B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E3C0B"/>
    <w:rPr>
      <w:rFonts w:ascii="Times New Roman" w:hAnsi="Times New Roman" w:cs="Times New Roman"/>
      <w:sz w:val="24"/>
      <w:szCs w:val="24"/>
      <w:lang w:eastAsia="cs-CZ"/>
    </w:rPr>
  </w:style>
  <w:style w:type="paragraph" w:styleId="BodyText3">
    <w:name w:val="Body Text 3"/>
    <w:basedOn w:val="Normal"/>
    <w:link w:val="BodyText3Char"/>
    <w:uiPriority w:val="99"/>
    <w:semiHidden/>
    <w:rsid w:val="009E3C0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E3C0B"/>
    <w:rPr>
      <w:rFonts w:ascii="Times New Roman" w:hAnsi="Times New Roman" w:cs="Times New Roman"/>
      <w:sz w:val="16"/>
      <w:szCs w:val="16"/>
      <w:lang w:eastAsia="cs-CZ"/>
    </w:rPr>
  </w:style>
  <w:style w:type="paragraph" w:styleId="BodyTextIndent2">
    <w:name w:val="Body Text Indent 2"/>
    <w:basedOn w:val="Normal"/>
    <w:link w:val="BodyTextIndent2Char"/>
    <w:uiPriority w:val="99"/>
    <w:semiHidden/>
    <w:rsid w:val="009E3C0B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E3C0B"/>
    <w:rPr>
      <w:rFonts w:ascii="Times New Roman" w:hAnsi="Times New Roman" w:cs="Times New Roman"/>
      <w:sz w:val="24"/>
      <w:szCs w:val="24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9E3C0B"/>
    <w:pPr>
      <w:jc w:val="lef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E3C0B"/>
    <w:rPr>
      <w:rFonts w:ascii="Tahoma" w:hAnsi="Tahoma" w:cs="Tahoma"/>
      <w:sz w:val="16"/>
      <w:szCs w:val="16"/>
      <w:lang w:eastAsia="cs-CZ"/>
    </w:rPr>
  </w:style>
  <w:style w:type="paragraph" w:customStyle="1" w:styleId="Tabulkadolokyhlavika">
    <w:name w:val="Tabulka doložky hlavička"/>
    <w:basedOn w:val="Normal"/>
    <w:uiPriority w:val="99"/>
    <w:rsid w:val="009E3C0B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al"/>
    <w:uiPriority w:val="99"/>
    <w:rsid w:val="009E3C0B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al"/>
    <w:uiPriority w:val="99"/>
    <w:rsid w:val="009E3C0B"/>
    <w:pPr>
      <w:jc w:val="left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Styl1">
    <w:name w:val="Styl1"/>
    <w:basedOn w:val="Normal"/>
    <w:uiPriority w:val="99"/>
    <w:rsid w:val="009E3C0B"/>
    <w:pPr>
      <w:keepNext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uiPriority w:val="99"/>
    <w:rsid w:val="009E3C0B"/>
    <w:pPr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ododstVPP">
    <w:name w:val="bod odst. VPP"/>
    <w:basedOn w:val="Normal"/>
    <w:uiPriority w:val="99"/>
    <w:rsid w:val="009E3C0B"/>
    <w:pPr>
      <w:widowControl w:val="0"/>
      <w:tabs>
        <w:tab w:val="left" w:pos="181"/>
      </w:tabs>
      <w:outlineLvl w:val="3"/>
    </w:pPr>
    <w:rPr>
      <w:rFonts w:ascii="Arial" w:hAnsi="Arial" w:cs="Arial"/>
      <w:sz w:val="14"/>
      <w:szCs w:val="14"/>
    </w:rPr>
  </w:style>
  <w:style w:type="paragraph" w:customStyle="1" w:styleId="vkladpojmVPP">
    <w:name w:val="výklad pojmů VPP"/>
    <w:basedOn w:val="Normal"/>
    <w:uiPriority w:val="99"/>
    <w:rsid w:val="009E3C0B"/>
    <w:pPr>
      <w:spacing w:before="160"/>
    </w:pPr>
    <w:rPr>
      <w:rFonts w:ascii="Arial" w:hAnsi="Arial" w:cs="Arial"/>
      <w:sz w:val="14"/>
      <w:szCs w:val="14"/>
    </w:rPr>
  </w:style>
  <w:style w:type="paragraph" w:customStyle="1" w:styleId="NormlnZarovnatdobloku">
    <w:name w:val="Normální + Zarovnat do bloku"/>
    <w:aliases w:val="Před:  3 b."/>
    <w:basedOn w:val="BodyTextIndent"/>
    <w:uiPriority w:val="99"/>
    <w:rsid w:val="009E3C0B"/>
    <w:pPr>
      <w:numPr>
        <w:numId w:val="26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customStyle="1" w:styleId="Texttabulky">
    <w:name w:val="Text tabulky"/>
    <w:uiPriority w:val="99"/>
    <w:rsid w:val="009E3C0B"/>
    <w:pPr>
      <w:jc w:val="both"/>
    </w:pPr>
    <w:rPr>
      <w:rFonts w:ascii="Arial" w:eastAsia="Times New Roman" w:hAnsi="Arial"/>
      <w:color w:val="000000"/>
      <w:sz w:val="16"/>
      <w:szCs w:val="20"/>
    </w:rPr>
  </w:style>
  <w:style w:type="paragraph" w:customStyle="1" w:styleId="slodstlVPP">
    <w:name w:val="čísl. odst. čl. VPP"/>
    <w:next w:val="Normal"/>
    <w:uiPriority w:val="99"/>
    <w:rsid w:val="009E3C0B"/>
    <w:pPr>
      <w:numPr>
        <w:ilvl w:val="2"/>
        <w:numId w:val="28"/>
      </w:numPr>
      <w:tabs>
        <w:tab w:val="left" w:pos="425"/>
      </w:tabs>
      <w:spacing w:before="162"/>
      <w:jc w:val="both"/>
      <w:outlineLvl w:val="2"/>
    </w:pPr>
    <w:rPr>
      <w:rFonts w:ascii="Arial" w:eastAsia="Times New Roman" w:hAnsi="Arial" w:cs="Arial"/>
      <w:sz w:val="14"/>
      <w:szCs w:val="14"/>
    </w:rPr>
  </w:style>
  <w:style w:type="paragraph" w:customStyle="1" w:styleId="lnekVPP">
    <w:name w:val="článek VPP"/>
    <w:next w:val="Normal"/>
    <w:uiPriority w:val="99"/>
    <w:rsid w:val="009E3C0B"/>
    <w:pPr>
      <w:keepNext/>
      <w:numPr>
        <w:ilvl w:val="1"/>
        <w:numId w:val="28"/>
      </w:numPr>
      <w:spacing w:before="200"/>
      <w:jc w:val="center"/>
      <w:outlineLvl w:val="1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podbodVPPsodr">
    <w:name w:val="podbod VPP s odr."/>
    <w:uiPriority w:val="99"/>
    <w:rsid w:val="009E3C0B"/>
    <w:pPr>
      <w:numPr>
        <w:ilvl w:val="4"/>
        <w:numId w:val="28"/>
      </w:numPr>
      <w:tabs>
        <w:tab w:val="left" w:pos="295"/>
      </w:tabs>
      <w:jc w:val="both"/>
      <w:outlineLvl w:val="4"/>
    </w:pPr>
    <w:rPr>
      <w:rFonts w:ascii="Arial" w:eastAsia="Times New Roman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uiPriority w:val="99"/>
    <w:rsid w:val="009E3C0B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al"/>
    <w:uiPriority w:val="99"/>
    <w:rsid w:val="009E3C0B"/>
    <w:pPr>
      <w:keepNext/>
      <w:numPr>
        <w:numId w:val="28"/>
      </w:numPr>
      <w:jc w:val="center"/>
      <w:outlineLvl w:val="0"/>
    </w:pPr>
    <w:rPr>
      <w:rFonts w:ascii="Times New Roman" w:eastAsia="Times New Roman" w:hAnsi="Times New Roman"/>
      <w:sz w:val="20"/>
      <w:szCs w:val="20"/>
    </w:rPr>
  </w:style>
  <w:style w:type="paragraph" w:customStyle="1" w:styleId="ST1VPP">
    <w:name w:val="ČÁST 1 VPP"/>
    <w:next w:val="Normal"/>
    <w:uiPriority w:val="99"/>
    <w:rsid w:val="009E3C0B"/>
    <w:pPr>
      <w:keepNext/>
      <w:numPr>
        <w:ilvl w:val="5"/>
        <w:numId w:val="28"/>
      </w:numPr>
      <w:jc w:val="center"/>
      <w:outlineLvl w:val="5"/>
    </w:pPr>
    <w:rPr>
      <w:rFonts w:ascii="Arial" w:eastAsia="Times New Roman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al"/>
    <w:uiPriority w:val="99"/>
    <w:rsid w:val="009E3C0B"/>
    <w:pPr>
      <w:tabs>
        <w:tab w:val="left" w:pos="-720"/>
      </w:tabs>
      <w:spacing w:line="360" w:lineRule="auto"/>
      <w:jc w:val="left"/>
    </w:pPr>
    <w:rPr>
      <w:rFonts w:ascii="Times New Roman" w:hAnsi="Times New Roman"/>
      <w:szCs w:val="20"/>
    </w:rPr>
  </w:style>
  <w:style w:type="paragraph" w:customStyle="1" w:styleId="slovnChar">
    <w:name w:val="číslování Char"/>
    <w:basedOn w:val="Normal"/>
    <w:uiPriority w:val="99"/>
    <w:rsid w:val="009E3C0B"/>
    <w:pPr>
      <w:numPr>
        <w:numId w:val="30"/>
      </w:numPr>
      <w:spacing w:before="60"/>
    </w:pPr>
    <w:rPr>
      <w:rFonts w:ascii="Arial" w:hAnsi="Arial"/>
      <w:szCs w:val="20"/>
    </w:rPr>
  </w:style>
  <w:style w:type="paragraph" w:customStyle="1" w:styleId="StylJ">
    <w:name w:val="StylJ"/>
    <w:basedOn w:val="Normal"/>
    <w:uiPriority w:val="99"/>
    <w:rsid w:val="009E3C0B"/>
    <w:pPr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9E3C0B"/>
    <w:pPr>
      <w:autoSpaceDE w:val="0"/>
      <w:autoSpaceDN w:val="0"/>
      <w:adjustRightInd w:val="0"/>
    </w:pPr>
    <w:rPr>
      <w:rFonts w:ascii="Koop Office" w:eastAsia="Times New Roman" w:hAnsi="Koop Office" w:cs="Koop Office"/>
      <w:color w:val="000000"/>
      <w:sz w:val="24"/>
      <w:szCs w:val="24"/>
    </w:rPr>
  </w:style>
  <w:style w:type="character" w:customStyle="1" w:styleId="StylTitulekArialCharChar">
    <w:name w:val="Styl Titulek + Arial Char Char"/>
    <w:uiPriority w:val="99"/>
    <w:rsid w:val="009E3C0B"/>
    <w:rPr>
      <w:rFonts w:ascii="Arial" w:hAnsi="Arial"/>
      <w:b/>
      <w:lang w:val="cs-CZ"/>
    </w:rPr>
  </w:style>
  <w:style w:type="character" w:customStyle="1" w:styleId="zvraznntextVPP">
    <w:name w:val="zvýrazněný text VPP"/>
    <w:uiPriority w:val="99"/>
    <w:rsid w:val="009E3C0B"/>
    <w:rPr>
      <w:rFonts w:ascii="Arial" w:hAnsi="Arial"/>
      <w:b/>
      <w:color w:val="auto"/>
      <w:sz w:val="14"/>
      <w:vertAlign w:val="baseline"/>
    </w:rPr>
  </w:style>
  <w:style w:type="character" w:customStyle="1" w:styleId="RozvrendokumentuChar">
    <w:name w:val="Rozvržení dokumentu Char"/>
    <w:uiPriority w:val="99"/>
    <w:semiHidden/>
    <w:locked/>
    <w:rsid w:val="009E3C0B"/>
    <w:rPr>
      <w:rFonts w:ascii="Tahoma" w:hAnsi="Tahoma"/>
      <w:sz w:val="20"/>
      <w:shd w:val="clear" w:color="auto" w:fill="000080"/>
      <w:lang w:eastAsia="cs-CZ"/>
    </w:rPr>
  </w:style>
  <w:style w:type="table" w:styleId="MediumList1-Accent1">
    <w:name w:val="Medium List 1 Accent 1"/>
    <w:basedOn w:val="TableNormal"/>
    <w:uiPriority w:val="99"/>
    <w:rsid w:val="009E3C0B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paragraph" w:customStyle="1" w:styleId="STVPP">
    <w:name w:val="ČÁST VPP"/>
    <w:basedOn w:val="ST1VPP"/>
    <w:next w:val="lnekVPP"/>
    <w:uiPriority w:val="99"/>
    <w:rsid w:val="009E3C0B"/>
    <w:pPr>
      <w:numPr>
        <w:ilvl w:val="6"/>
      </w:numPr>
      <w:spacing w:before="200"/>
      <w:ind w:left="360"/>
      <w:outlineLvl w:val="6"/>
    </w:pPr>
  </w:style>
  <w:style w:type="character" w:customStyle="1" w:styleId="CharStyle19">
    <w:name w:val="Char Style 19"/>
    <w:link w:val="Style18"/>
    <w:uiPriority w:val="99"/>
    <w:locked/>
    <w:rsid w:val="00B90B77"/>
    <w:rPr>
      <w:rFonts w:ascii="Arial" w:hAnsi="Arial"/>
      <w:shd w:val="clear" w:color="auto" w:fill="FFFFFF"/>
    </w:rPr>
  </w:style>
  <w:style w:type="paragraph" w:customStyle="1" w:styleId="Style18">
    <w:name w:val="Style 18"/>
    <w:basedOn w:val="Normal"/>
    <w:link w:val="CharStyle19"/>
    <w:uiPriority w:val="99"/>
    <w:rsid w:val="00B90B77"/>
    <w:pPr>
      <w:widowControl w:val="0"/>
      <w:shd w:val="clear" w:color="auto" w:fill="FFFFFF"/>
      <w:spacing w:before="240" w:line="250" w:lineRule="exact"/>
      <w:ind w:hanging="760"/>
      <w:jc w:val="left"/>
    </w:pPr>
    <w:rPr>
      <w:rFonts w:ascii="Arial" w:eastAsia="Calibri" w:hAnsi="Arial"/>
      <w:szCs w:val="20"/>
    </w:rPr>
  </w:style>
  <w:style w:type="numbering" w:customStyle="1" w:styleId="Odrky-rove1">
    <w:name w:val="Odrážky - úroveň 1"/>
    <w:rsid w:val="00A933EC"/>
    <w:pPr>
      <w:numPr>
        <w:numId w:val="3"/>
      </w:numPr>
    </w:pPr>
  </w:style>
  <w:style w:type="numbering" w:customStyle="1" w:styleId="StylVcerovovKoopOffice9b">
    <w:name w:val="Styl Víceúrovňové Koop Office 9 b."/>
    <w:rsid w:val="00A933EC"/>
    <w:pPr>
      <w:numPr>
        <w:numId w:val="4"/>
      </w:numPr>
    </w:pPr>
  </w:style>
  <w:style w:type="numbering" w:customStyle="1" w:styleId="Odrka-rove2">
    <w:name w:val="Odrážka - úroveň 2"/>
    <w:rsid w:val="00A933E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2355</Words>
  <Characters>13901</Characters>
  <Application>Microsoft Office Outlook</Application>
  <DocSecurity>0</DocSecurity>
  <Lines>0</Lines>
  <Paragraphs>0</Paragraphs>
  <ScaleCrop>false</ScaleCrop>
  <Company>IBM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Stromšík Jakub</dc:creator>
  <cp:keywords/>
  <dc:description/>
  <cp:lastModifiedBy>Ing. Milada Burianová</cp:lastModifiedBy>
  <cp:revision>2</cp:revision>
  <cp:lastPrinted>2018-04-26T06:02:00Z</cp:lastPrinted>
  <dcterms:created xsi:type="dcterms:W3CDTF">2018-06-06T10:49:00Z</dcterms:created>
  <dcterms:modified xsi:type="dcterms:W3CDTF">2018-06-06T10:49:00Z</dcterms:modified>
</cp:coreProperties>
</file>