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E555C8" w:rsidRPr="006D13AE">
        <w:rPr>
          <w:rFonts w:ascii="Calibri" w:hAnsi="Calibri"/>
          <w:noProof/>
          <w:szCs w:val="22"/>
        </w:rPr>
        <w:t>DS2018/2873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E0406">
        <w:rPr>
          <w:rFonts w:ascii="Calibri" w:hAnsi="Calibri"/>
          <w:b/>
          <w:bCs/>
        </w:rPr>
        <w:t xml:space="preserve"> 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E555C8" w:rsidRPr="006D13AE">
        <w:rPr>
          <w:rFonts w:ascii="Calibri" w:hAnsi="Calibri"/>
          <w:b/>
          <w:bCs/>
          <w:noProof/>
        </w:rPr>
        <w:t>Obec Velká Jesenice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Velká Jesenice 200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552 24 Velká Jesenice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Petr Jeništa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00273163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Česká spořitelna,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E555C8" w:rsidRPr="006D13AE">
              <w:rPr>
                <w:rFonts w:ascii="Calibri" w:hAnsi="Calibri"/>
                <w:noProof/>
              </w:rPr>
              <w:t>2583330309 / 0800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E555C8" w:rsidRPr="006D13AE">
        <w:rPr>
          <w:rFonts w:ascii="Calibri" w:hAnsi="Calibri"/>
          <w:b/>
          <w:noProof/>
          <w:szCs w:val="22"/>
        </w:rPr>
        <w:t>PD pro odkanalizování lokality "Pod Kostelem"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E555C8" w:rsidRPr="006D13AE">
        <w:rPr>
          <w:rFonts w:ascii="Calibri" w:hAnsi="Calibri"/>
          <w:noProof/>
          <w:szCs w:val="22"/>
        </w:rPr>
        <w:t>29. 3. 2018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E555C8" w:rsidRPr="006D13AE">
        <w:rPr>
          <w:rFonts w:ascii="Calibri" w:hAnsi="Calibri"/>
          <w:noProof/>
          <w:szCs w:val="22"/>
        </w:rPr>
        <w:t>11917/ZP/2018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E555C8" w:rsidRPr="006D13AE">
        <w:rPr>
          <w:rFonts w:ascii="Calibri" w:hAnsi="Calibri"/>
          <w:b/>
          <w:noProof/>
          <w:szCs w:val="22"/>
        </w:rPr>
        <w:t>53000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E555C8" w:rsidRPr="006D13AE">
        <w:rPr>
          <w:rFonts w:ascii="Calibri" w:hAnsi="Calibri"/>
          <w:noProof/>
          <w:szCs w:val="22"/>
        </w:rPr>
        <w:t>padesát tři tisíce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E555C8" w:rsidRPr="006D13AE">
        <w:rPr>
          <w:rFonts w:ascii="Calibri" w:hAnsi="Calibri"/>
          <w:b/>
          <w:noProof/>
          <w:szCs w:val="22"/>
        </w:rPr>
        <w:t>66550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E555C8" w:rsidRPr="006D13AE">
        <w:rPr>
          <w:rFonts w:ascii="Calibri" w:hAnsi="Calibri"/>
          <w:b/>
          <w:noProof/>
          <w:szCs w:val="22"/>
        </w:rPr>
        <w:t>1. 4. 2018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E555C8" w:rsidRPr="006D13AE">
        <w:rPr>
          <w:rFonts w:ascii="Calibri" w:hAnsi="Calibri"/>
          <w:b/>
          <w:noProof/>
          <w:szCs w:val="22"/>
        </w:rPr>
        <w:t>31. 3. 2019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E555C8" w:rsidRPr="006D13A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E555C8" w:rsidRPr="006D13A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E555C8" w:rsidRPr="006D13A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E555C8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Petr Jeništa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E555C8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E555C8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Velká Jesenice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E555C8" w:rsidRPr="006D13AE">
                        <w:rPr>
                          <w:rFonts w:ascii="Calibri" w:hAnsi="Calibri"/>
                          <w:noProof/>
                          <w:szCs w:val="22"/>
                        </w:rPr>
                        <w:t>Petr Jeništa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E555C8" w:rsidRPr="006D13A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E555C8" w:rsidRPr="006D13AE">
                        <w:rPr>
                          <w:rFonts w:ascii="Calibri" w:hAnsi="Calibri"/>
                          <w:noProof/>
                          <w:szCs w:val="22"/>
                        </w:rPr>
                        <w:t>Velká Jesenice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E0406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E0406">
                              <w:rPr>
                                <w:rFonts w:ascii="Calibri" w:hAnsi="Calibri"/>
                                <w:noProof/>
                              </w:rPr>
                              <w:t>4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9E0406" w:rsidRPr="009E0406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9E0406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9E0406">
                        <w:rPr>
                          <w:rFonts w:ascii="Calibri" w:hAnsi="Calibri"/>
                          <w:noProof/>
                        </w:rPr>
                        <w:t>4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E0406" w:rsidRPr="009E0406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2D5"/>
    <w:rsid w:val="000366AF"/>
    <w:rsid w:val="0004044C"/>
    <w:rsid w:val="00040AFD"/>
    <w:rsid w:val="00044910"/>
    <w:rsid w:val="00044FE4"/>
    <w:rsid w:val="00047FCD"/>
    <w:rsid w:val="000521C9"/>
    <w:rsid w:val="00054D38"/>
    <w:rsid w:val="0005505E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65CF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9790D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2BC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22B7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D66D2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86F34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0406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2D45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076F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5A7D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0C87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C3A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5C8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53C5-345D-4946-B99C-3ADAE2B6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3928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27055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2018-05-28T11:27:00Z</dcterms:created>
  <dcterms:modified xsi:type="dcterms:W3CDTF">2018-05-28T12:07:00Z</dcterms:modified>
</cp:coreProperties>
</file>