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81" w:rsidRDefault="00C842C8">
      <w:pPr>
        <w:spacing w:after="19" w:line="240" w:lineRule="auto"/>
        <w:ind w:left="3262" w:right="2174" w:firstLine="0"/>
        <w:jc w:val="center"/>
      </w:pPr>
      <w:r>
        <w:rPr>
          <w:sz w:val="30"/>
        </w:rPr>
        <w:t>SMLOUVA o výkonu autorského dozoru projektanta</w:t>
      </w:r>
    </w:p>
    <w:p w:rsidR="00AC4F81" w:rsidRDefault="00C842C8">
      <w:pPr>
        <w:spacing w:after="314" w:line="259" w:lineRule="auto"/>
        <w:ind w:left="114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83581" cy="9144"/>
                <wp:effectExtent l="0" t="0" r="0" b="0"/>
                <wp:docPr id="20678" name="Group 20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581" cy="9144"/>
                          <a:chOff x="0" y="0"/>
                          <a:chExt cx="5783581" cy="9144"/>
                        </a:xfrm>
                      </wpg:grpSpPr>
                      <wps:wsp>
                        <wps:cNvPr id="20677" name="Shape 20677"/>
                        <wps:cNvSpPr/>
                        <wps:spPr>
                          <a:xfrm>
                            <a:off x="0" y="0"/>
                            <a:ext cx="5783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581" h="9144">
                                <a:moveTo>
                                  <a:pt x="0" y="4572"/>
                                </a:moveTo>
                                <a:lnTo>
                                  <a:pt x="578358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78" style="width:455.4pt;height:0.720001pt;mso-position-horizontal-relative:char;mso-position-vertical-relative:line" coordsize="57835,91">
                <v:shape id="Shape 20677" style="position:absolute;width:57835;height:91;left:0;top:0;" coordsize="5783581,9144" path="m0,4572l578358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C4F81" w:rsidRDefault="00C842C8">
      <w:pPr>
        <w:spacing w:after="3" w:line="265" w:lineRule="auto"/>
        <w:ind w:left="1212" w:hanging="10"/>
        <w:jc w:val="left"/>
      </w:pPr>
      <w:r>
        <w:t>Číslo smlouvy objednatele: 06EU-002870</w:t>
      </w:r>
    </w:p>
    <w:p w:rsidR="00AC4F81" w:rsidRDefault="00C842C8">
      <w:pPr>
        <w:spacing w:after="3" w:line="265" w:lineRule="auto"/>
        <w:ind w:left="1212" w:hanging="10"/>
        <w:jc w:val="left"/>
      </w:pPr>
      <w:r>
        <w:t>Číslo smlouvy zhotovitele: 34/2016</w:t>
      </w:r>
    </w:p>
    <w:p w:rsidR="00AC4F81" w:rsidRDefault="00C842C8">
      <w:pPr>
        <w:spacing w:after="817" w:line="265" w:lineRule="auto"/>
        <w:ind w:left="1212" w:hanging="10"/>
        <w:jc w:val="left"/>
      </w:pPr>
      <w:r>
        <w:t xml:space="preserve">ISPROFIN: </w:t>
      </w:r>
      <w:r w:rsidRPr="00C402CF">
        <w:rPr>
          <w:highlight w:val="black"/>
        </w:rPr>
        <w:t>500 1 11 0007.26869</w:t>
      </w:r>
    </w:p>
    <w:p w:rsidR="00AC4F81" w:rsidRDefault="00C842C8">
      <w:pPr>
        <w:tabs>
          <w:tab w:val="center" w:pos="4075"/>
          <w:tab w:val="center" w:pos="6077"/>
        </w:tabs>
        <w:spacing w:after="263" w:line="259" w:lineRule="auto"/>
        <w:ind w:left="0" w:firstLine="0"/>
        <w:jc w:val="left"/>
      </w:pPr>
      <w:r>
        <w:tab/>
        <w:t>1.</w:t>
      </w:r>
      <w:r>
        <w:tab/>
        <w:t>ÚVODNÍ USTANOVENÍ:</w:t>
      </w:r>
    </w:p>
    <w:p w:rsidR="00AC4F81" w:rsidRDefault="00C842C8">
      <w:pPr>
        <w:spacing w:after="331" w:line="259" w:lineRule="auto"/>
        <w:ind w:left="1210" w:firstLine="0"/>
        <w:jc w:val="left"/>
      </w:pPr>
      <w:r>
        <w:rPr>
          <w:sz w:val="26"/>
        </w:rPr>
        <w:t>1. Smluvní strany:</w:t>
      </w:r>
    </w:p>
    <w:p w:rsidR="00AC4F81" w:rsidRDefault="00C842C8">
      <w:pPr>
        <w:spacing w:after="0" w:line="236" w:lineRule="auto"/>
        <w:ind w:left="2606" w:right="94" w:hanging="1404"/>
      </w:pPr>
      <w:r>
        <w:t xml:space="preserve">Objednatel: Ředitelství silnic a dálnic ČR, Na Pankráci 546/56, 140 00 Praha 4 Zastoupené: </w:t>
      </w:r>
      <w:r w:rsidRPr="00C402CF">
        <w:rPr>
          <w:highlight w:val="black"/>
        </w:rPr>
        <w:t>Ing. Zdeňkem Kuťákem, pověřeným řízením</w:t>
      </w:r>
      <w:r>
        <w:t xml:space="preserve"> Správy Plzeň, oprávněn jednat ve věcech smluvních: </w:t>
      </w:r>
      <w:r w:rsidRPr="00C402CF">
        <w:rPr>
          <w:highlight w:val="black"/>
        </w:rPr>
        <w:t>Ing. Zdeněk Kuťák tel: 377 333 757, fax: 377 422 625 , e-mail: zdeněk.kuta</w:t>
      </w:r>
      <w:r w:rsidRPr="00C402CF">
        <w:rPr>
          <w:highlight w:val="black"/>
        </w:rPr>
        <w:t>k@rsd.cz</w:t>
      </w:r>
      <w:r>
        <w:t xml:space="preserve"> oprávněn jednat ve věcech technických: </w:t>
      </w:r>
      <w:r w:rsidRPr="00C402CF">
        <w:rPr>
          <w:highlight w:val="black"/>
        </w:rPr>
        <w:t>Jan Weber tel: 377 333 744, e-mail: jan.weber@rsd.cz</w:t>
      </w:r>
      <w:r>
        <w:t xml:space="preserve"> lč: 659 93 390</w:t>
      </w:r>
    </w:p>
    <w:p w:rsidR="00AC4F81" w:rsidRDefault="00C842C8">
      <w:pPr>
        <w:spacing w:after="3" w:line="265" w:lineRule="auto"/>
        <w:ind w:left="2624" w:hanging="10"/>
        <w:jc w:val="left"/>
      </w:pPr>
      <w:r>
        <w:t>DIČ: CZ65993390</w:t>
      </w:r>
    </w:p>
    <w:p w:rsidR="00AC4F81" w:rsidRDefault="00C842C8">
      <w:pPr>
        <w:spacing w:after="325" w:line="265" w:lineRule="auto"/>
        <w:ind w:left="2624" w:hanging="10"/>
        <w:jc w:val="left"/>
      </w:pPr>
      <w:r w:rsidRPr="00C402CF">
        <w:rPr>
          <w:highlight w:val="black"/>
        </w:rPr>
        <w:t>Bankovní spojení: KB Praha, č. účtu: 51-1422200277/0100</w:t>
      </w:r>
    </w:p>
    <w:p w:rsidR="00AC4F81" w:rsidRDefault="00C842C8">
      <w:pPr>
        <w:spacing w:after="522" w:line="265" w:lineRule="auto"/>
        <w:ind w:left="1860" w:hanging="10"/>
        <w:jc w:val="left"/>
      </w:pPr>
      <w:r>
        <w:t>(dále jen ”objednatel” na straně jedné)</w:t>
      </w:r>
    </w:p>
    <w:p w:rsidR="00AC4F81" w:rsidRDefault="00C842C8">
      <w:pPr>
        <w:spacing w:after="3" w:line="265" w:lineRule="auto"/>
        <w:ind w:left="1212" w:hanging="10"/>
        <w:jc w:val="left"/>
      </w:pPr>
      <w:r>
        <w:t>Zhotovitel : D PROJEKT PLZEŇ Nedvěd s.r.o.</w:t>
      </w:r>
    </w:p>
    <w:p w:rsidR="00AC4F81" w:rsidRDefault="00C842C8">
      <w:pPr>
        <w:spacing w:after="47" w:line="265" w:lineRule="auto"/>
        <w:ind w:left="2588" w:hanging="10"/>
        <w:jc w:val="left"/>
      </w:pPr>
      <w:r>
        <w:t>Utušice 66, 332 09 Štěnovice</w:t>
      </w:r>
    </w:p>
    <w:p w:rsidR="00AC4F81" w:rsidRDefault="00C842C8">
      <w:pPr>
        <w:spacing w:after="3" w:line="265" w:lineRule="auto"/>
        <w:ind w:left="2559" w:right="3290" w:hanging="10"/>
        <w:jc w:val="left"/>
      </w:pPr>
      <w:r>
        <w:t xml:space="preserve">Pracoviště: Koterovská 177, 326 OO Plzeň </w:t>
      </w:r>
      <w:r w:rsidRPr="00C402CF">
        <w:rPr>
          <w:highlight w:val="black"/>
        </w:rPr>
        <w:t>telefon: 377483323 fax:</w:t>
      </w:r>
      <w:r w:rsidRPr="00C402CF">
        <w:rPr>
          <w:highlight w:val="black"/>
        </w:rPr>
        <w:tab/>
        <w:t>377483324,8 bankovní spojení: Komerční banka a.s., Plzeň číslo účtu: 35-5640260217/01 OO</w:t>
      </w:r>
      <w:r>
        <w:t xml:space="preserve"> lč: 26388791 DIČ : CZ26388791</w:t>
      </w:r>
    </w:p>
    <w:p w:rsidR="00AC4F81" w:rsidRDefault="00C842C8">
      <w:pPr>
        <w:spacing w:after="3" w:line="265" w:lineRule="auto"/>
        <w:ind w:left="2602" w:hanging="10"/>
        <w:jc w:val="left"/>
      </w:pPr>
      <w:r>
        <w:t>Osoby oprávněné jednat a podepisovat ve věcech právních této smlouvy :</w:t>
      </w:r>
    </w:p>
    <w:p w:rsidR="00AC4F81" w:rsidRPr="00C402CF" w:rsidRDefault="00C842C8">
      <w:pPr>
        <w:spacing w:after="3" w:line="265" w:lineRule="auto"/>
        <w:ind w:left="2602" w:hanging="10"/>
        <w:jc w:val="left"/>
        <w:rPr>
          <w:highlight w:val="black"/>
        </w:rPr>
      </w:pPr>
      <w:r w:rsidRPr="00C402CF">
        <w:rPr>
          <w:highlight w:val="black"/>
        </w:rPr>
        <w:t>Hana Nedvědová — statutární zástupce</w:t>
      </w:r>
    </w:p>
    <w:p w:rsidR="00AC4F81" w:rsidRDefault="00C842C8">
      <w:pPr>
        <w:spacing w:after="275" w:line="265" w:lineRule="auto"/>
        <w:ind w:left="2602" w:hanging="10"/>
        <w:jc w:val="left"/>
      </w:pPr>
      <w:r w:rsidRPr="00C402CF">
        <w:rPr>
          <w:highlight w:val="black"/>
        </w:rPr>
        <w:t>Ing. Petr Budín — statutární zástupce</w:t>
      </w:r>
    </w:p>
    <w:p w:rsidR="00AC4F81" w:rsidRDefault="00C842C8">
      <w:pPr>
        <w:spacing w:after="919" w:line="265" w:lineRule="auto"/>
        <w:ind w:left="1212" w:hanging="10"/>
        <w:jc w:val="left"/>
      </w:pPr>
      <w:r>
        <w:t>(dále jen ”zhotovitel” na straně druhé)</w:t>
      </w:r>
    </w:p>
    <w:p w:rsidR="00AC4F81" w:rsidRDefault="00C842C8">
      <w:pPr>
        <w:tabs>
          <w:tab w:val="center" w:pos="1944"/>
          <w:tab w:val="center" w:pos="6545"/>
        </w:tabs>
        <w:spacing w:after="0" w:line="259" w:lineRule="auto"/>
        <w:ind w:left="0" w:firstLine="0"/>
        <w:jc w:val="left"/>
      </w:pPr>
      <w:r>
        <w:rPr>
          <w:sz w:val="30"/>
        </w:rPr>
        <w:tab/>
        <w:t>2. Název akce:</w:t>
      </w:r>
      <w:r>
        <w:rPr>
          <w:sz w:val="30"/>
        </w:rPr>
        <w:tab/>
      </w:r>
      <w:r>
        <w:rPr>
          <w:sz w:val="30"/>
          <w:u w:val="single" w:color="000000"/>
        </w:rPr>
        <w:t xml:space="preserve">„I/20 Plzeň, Studentská ulice. úsek Plaská - Gerská </w:t>
      </w:r>
      <w:r>
        <w:rPr>
          <w:sz w:val="30"/>
        </w:rPr>
        <w:t>”</w:t>
      </w:r>
    </w:p>
    <w:p w:rsidR="00AC4F81" w:rsidRDefault="00C842C8">
      <w:pPr>
        <w:tabs>
          <w:tab w:val="center" w:pos="4392"/>
          <w:tab w:val="center" w:pos="6102"/>
        </w:tabs>
        <w:spacing w:after="220" w:line="259" w:lineRule="auto"/>
        <w:ind w:left="0" w:firstLine="0"/>
        <w:jc w:val="left"/>
      </w:pPr>
      <w:r>
        <w:rPr>
          <w:sz w:val="26"/>
        </w:rPr>
        <w:tab/>
      </w:r>
      <w:r>
        <w:rPr>
          <w:sz w:val="26"/>
        </w:rPr>
        <w:t>11.</w:t>
      </w:r>
      <w:r>
        <w:rPr>
          <w:sz w:val="26"/>
        </w:rPr>
        <w:tab/>
        <w:t>PŘEDMĚT PLNĚNÍ:</w:t>
      </w:r>
    </w:p>
    <w:p w:rsidR="00AC4F81" w:rsidRDefault="00C842C8">
      <w:pPr>
        <w:spacing w:after="2" w:line="259" w:lineRule="auto"/>
        <w:ind w:left="1219" w:hanging="10"/>
        <w:jc w:val="left"/>
      </w:pPr>
      <w:r>
        <w:rPr>
          <w:sz w:val="26"/>
        </w:rPr>
        <w:t>Předmětem této smlouvy je:</w:t>
      </w:r>
    </w:p>
    <w:p w:rsidR="00AC4F81" w:rsidRDefault="00C842C8">
      <w:pPr>
        <w:spacing w:after="222" w:line="259" w:lineRule="auto"/>
        <w:ind w:left="1219" w:hanging="10"/>
        <w:jc w:val="left"/>
      </w:pPr>
      <w:r>
        <w:rPr>
          <w:sz w:val="26"/>
        </w:rPr>
        <w:t>výkon autorského dozoru (dále jen AD) zhotovitele zadávací dokumentace stavby po dobu realizace stavby „</w:t>
      </w:r>
      <w:r>
        <w:rPr>
          <w:sz w:val="26"/>
          <w:u w:val="single" w:color="000000"/>
        </w:rPr>
        <w:t>I/20 Plzeň Studentská ulice úsek Plaská - Gerská</w:t>
      </w:r>
      <w:r>
        <w:rPr>
          <w:sz w:val="26"/>
        </w:rPr>
        <w:t>”.</w:t>
      </w:r>
    </w:p>
    <w:p w:rsidR="00AC4F81" w:rsidRDefault="00C842C8">
      <w:pPr>
        <w:spacing w:after="2" w:line="259" w:lineRule="auto"/>
        <w:ind w:left="1219" w:hanging="10"/>
        <w:jc w:val="left"/>
      </w:pPr>
      <w:r>
        <w:rPr>
          <w:sz w:val="26"/>
        </w:rPr>
        <w:lastRenderedPageBreak/>
        <w:t>AD se bude týkat SO :</w:t>
      </w:r>
    </w:p>
    <w:p w:rsidR="00AC4F81" w:rsidRDefault="00C842C8">
      <w:pPr>
        <w:numPr>
          <w:ilvl w:val="0"/>
          <w:numId w:val="1"/>
        </w:numPr>
        <w:spacing w:after="0" w:line="267" w:lineRule="auto"/>
        <w:ind w:right="4989" w:hanging="353"/>
        <w:jc w:val="left"/>
      </w:pPr>
      <w:r>
        <w:rPr>
          <w:sz w:val="22"/>
        </w:rPr>
        <w:t>SO 1 Ola Komunikace - průtah I/</w:t>
      </w:r>
      <w:r>
        <w:rPr>
          <w:sz w:val="22"/>
        </w:rPr>
        <w:t>20 o SO 155 Dopravně inženýrská opatření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760" name="Picture 2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" name="Picture 27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81" w:rsidRDefault="00C842C8">
      <w:pPr>
        <w:numPr>
          <w:ilvl w:val="0"/>
          <w:numId w:val="1"/>
        </w:numPr>
        <w:spacing w:after="451" w:line="267" w:lineRule="auto"/>
        <w:ind w:right="4989" w:hanging="353"/>
        <w:jc w:val="left"/>
      </w:pPr>
      <w:r>
        <w:rPr>
          <w:sz w:val="22"/>
        </w:rPr>
        <w:t>SO 3 IO Kanalizace dešťová</w:t>
      </w:r>
    </w:p>
    <w:p w:rsidR="00AC4F81" w:rsidRDefault="00C842C8">
      <w:pPr>
        <w:spacing w:after="515"/>
        <w:ind w:left="1281" w:right="14" w:hanging="7"/>
      </w:pPr>
      <w:r>
        <w:t>Výkon AD bude prováděn jako občasná činnost v zájmu objednatele, dle jeho požadavků a v souladu s platnými předpisy, zejména TKP kapitola I příloha 5.</w:t>
      </w:r>
    </w:p>
    <w:p w:rsidR="00AC4F81" w:rsidRDefault="00C842C8">
      <w:pPr>
        <w:spacing w:after="0"/>
        <w:ind w:left="1274" w:right="14" w:firstLine="0"/>
      </w:pPr>
      <w:r>
        <w:t>Výkon AD zahrnuje zejména činnosti:</w:t>
      </w:r>
    </w:p>
    <w:p w:rsidR="00AC4F81" w:rsidRDefault="00C842C8">
      <w:pPr>
        <w:spacing w:after="274"/>
        <w:ind w:left="1570" w:right="14" w:firstLine="7"/>
      </w:pPr>
      <w:r>
        <w:t>účast AD na odevzdání staveniště objednatelem (na vyzvání objednatele), účast AD na kontrolních dnech svolaných pozvánkou objednatele nebo TDS stavby (telef. vyzvání pracovníka AD 3 dny předem), účast AD na dalších jednáních vyžádaných objednatelem nebo TD</w:t>
      </w:r>
      <w:r>
        <w:t>S stavby, návštěva staveniště za účelem kontroly a konzultace vyžádané objednatelem nebo TDS stavby, zabezpečení dodržení projektu s přihlédnutím na podmínky určené stavebním povolením a poskytování potřebných vysvětlení pro plynulost výstavby, vyjádření k</w:t>
      </w:r>
      <w:r>
        <w:t xml:space="preserve"> požadavkům na větší množství výrobků a výkonů oproti projednané dokumentaci, případné změny dokumentace objednané během stavby objednatelem nebo TDS stavby se souhlasem objednatele</w:t>
      </w:r>
    </w:p>
    <w:p w:rsidR="00AC4F81" w:rsidRDefault="00C842C8">
      <w:pPr>
        <w:spacing w:after="249"/>
        <w:ind w:left="1210" w:right="14" w:firstLine="0"/>
      </w:pPr>
      <w:r>
        <w:t>Za odpracované hodiny v rámci plnění předmětu smlouvy se považují: doba přípravy, doba vypracování požadovaných úkolů.</w:t>
      </w:r>
    </w:p>
    <w:p w:rsidR="00AC4F81" w:rsidRDefault="00C842C8">
      <w:pPr>
        <w:spacing w:after="0"/>
        <w:ind w:left="1210" w:right="14" w:firstLine="0"/>
      </w:pPr>
      <w:r>
        <w:t>Za výkon AD se nepovažuje:</w:t>
      </w:r>
    </w:p>
    <w:p w:rsidR="00AC4F81" w:rsidRDefault="00C842C8">
      <w:pPr>
        <w:spacing w:after="817"/>
        <w:ind w:left="1562" w:right="86" w:firstLine="0"/>
      </w:pPr>
      <w:r>
        <w:t>účast na kontrolních dnech a jiných jednáních, na které nebyl zhotovitel pozván objednatelem či technickým doz</w:t>
      </w:r>
      <w:r>
        <w:t>orem zadavatele stavby nebo se k takovému pozvání nepřipojil</w:t>
      </w:r>
    </w:p>
    <w:p w:rsidR="00AC4F81" w:rsidRDefault="00C842C8">
      <w:pPr>
        <w:tabs>
          <w:tab w:val="center" w:pos="4676"/>
          <w:tab w:val="center" w:pos="6084"/>
        </w:tabs>
        <w:spacing w:after="231" w:line="259" w:lineRule="auto"/>
        <w:ind w:left="0" w:firstLine="0"/>
        <w:jc w:val="left"/>
      </w:pPr>
      <w:r>
        <w:rPr>
          <w:sz w:val="26"/>
        </w:rPr>
        <w:tab/>
      </w:r>
      <w:r>
        <w:rPr>
          <w:sz w:val="26"/>
        </w:rPr>
        <w:t xml:space="preserve">111. </w:t>
      </w:r>
      <w:r>
        <w:rPr>
          <w:sz w:val="26"/>
        </w:rPr>
        <w:tab/>
        <w:t>DOBA PLNĚNÍ:</w:t>
      </w:r>
    </w:p>
    <w:p w:rsidR="00AC4F81" w:rsidRDefault="00C842C8">
      <w:pPr>
        <w:ind w:left="1630" w:right="14"/>
      </w:pPr>
      <w:r>
        <w:t>I Výkon AD bude prováděn průběžně, po dobu stavby až do kolaudace stavby, dle požadavků objednatele, resp. TDS stavby.</w:t>
      </w:r>
    </w:p>
    <w:p w:rsidR="00AC4F81" w:rsidRDefault="00C842C8">
      <w:pPr>
        <w:ind w:left="1577" w:right="3679" w:firstLine="0"/>
      </w:pPr>
      <w:r>
        <w:rPr>
          <w:noProof/>
        </w:rPr>
        <w:drawing>
          <wp:inline distT="0" distB="0" distL="0" distR="0">
            <wp:extent cx="91440" cy="109728"/>
            <wp:effectExtent l="0" t="0" r="0" b="0"/>
            <wp:docPr id="2771" name="Picture 2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1" name="Picture 27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předpoklad zahájení stavby: 09/2016 </w:t>
      </w:r>
      <w:r>
        <w:rPr>
          <w:noProof/>
        </w:rPr>
        <w:drawing>
          <wp:inline distT="0" distB="0" distL="0" distR="0">
            <wp:extent cx="91440" cy="105156"/>
            <wp:effectExtent l="0" t="0" r="0" b="0"/>
            <wp:docPr id="2772" name="Picture 2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" name="Picture 27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předpoklad ukonč</w:t>
      </w:r>
      <w:r>
        <w:t>ení stavby: 10/2018</w:t>
      </w:r>
    </w:p>
    <w:p w:rsidR="00AC4F81" w:rsidRDefault="00C842C8">
      <w:pPr>
        <w:numPr>
          <w:ilvl w:val="0"/>
          <w:numId w:val="2"/>
        </w:numPr>
        <w:spacing w:after="328"/>
        <w:ind w:left="1630" w:right="14"/>
      </w:pPr>
      <w:bookmarkStart w:id="0" w:name="_GoBack"/>
      <w:bookmarkEnd w:id="0"/>
      <w:r>
        <w:t>Dodržení doby plnění ze strany zhotovitele je závislé na řádném a včasném spolupůsobení objednatele dohodnutého v této smlouvě. Po dobu prodlení objednatele s poskytnutím spolupůsobení není zhotovitel v prodlení se splněním závazku.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102" name="Picture 5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2" name="Picture 51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81" w:rsidRDefault="00C842C8">
      <w:pPr>
        <w:numPr>
          <w:ilvl w:val="0"/>
          <w:numId w:val="2"/>
        </w:numPr>
        <w:spacing w:after="554"/>
        <w:ind w:left="1630" w:right="14"/>
      </w:pPr>
      <w:r>
        <w:t>A</w:t>
      </w:r>
      <w:r>
        <w:t>utorský dozor bude plněn v místě stavby, a dále dle dohody konzultacemi v sídle, resp. na kontaktní adrese objednatele nebo zhotovitele, nebo na jiném místě určeném objednatelem po dohodě se zhotovitelem.</w:t>
      </w:r>
    </w:p>
    <w:p w:rsidR="00AC4F81" w:rsidRDefault="00C842C8">
      <w:pPr>
        <w:spacing w:after="331" w:line="259" w:lineRule="auto"/>
        <w:ind w:left="1335" w:right="122" w:hanging="10"/>
        <w:jc w:val="center"/>
      </w:pPr>
      <w:r>
        <w:rPr>
          <w:sz w:val="26"/>
        </w:rPr>
        <w:lastRenderedPageBreak/>
        <w:t>IV. CENA:</w:t>
      </w:r>
    </w:p>
    <w:p w:rsidR="00AC4F81" w:rsidRDefault="00C842C8">
      <w:pPr>
        <w:spacing w:after="0"/>
        <w:ind w:left="1274" w:right="14" w:firstLine="0"/>
      </w:pPr>
      <w:r>
        <w:t>l . Cena za výkon autorského dozoru je stanovena dohodou smluvních stran, dle zákona</w:t>
      </w:r>
    </w:p>
    <w:p w:rsidR="00AC4F81" w:rsidRDefault="00C842C8">
      <w:pPr>
        <w:spacing w:after="268"/>
        <w:ind w:left="1598" w:right="14" w:firstLine="0"/>
      </w:pPr>
      <w:r>
        <w:t>č. 526/1990 Sb., o cenách v platném znění, jako cena obvyklá v místě plnění .</w:t>
      </w:r>
    </w:p>
    <w:p w:rsidR="00AC4F81" w:rsidRDefault="00C842C8">
      <w:pPr>
        <w:spacing w:after="0" w:line="259" w:lineRule="auto"/>
        <w:ind w:left="1670" w:right="3168" w:firstLine="0"/>
        <w:jc w:val="left"/>
      </w:pPr>
      <w:r>
        <w:rPr>
          <w:u w:val="single" w:color="000000"/>
        </w:rPr>
        <w:t xml:space="preserve">Předpokládaný rozsah autorského dozoru během stavby </w:t>
      </w:r>
      <w:r>
        <w:t>•</w:t>
      </w:r>
    </w:p>
    <w:p w:rsidR="00AC4F81" w:rsidRDefault="00C842C8">
      <w:pPr>
        <w:spacing w:after="324" w:line="259" w:lineRule="auto"/>
        <w:ind w:left="7150" w:firstLine="0"/>
        <w:jc w:val="left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103" name="Picture 5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3" name="Picture 51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041" w:type="dxa"/>
        <w:tblInd w:w="1663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2016"/>
      </w:tblGrid>
      <w:tr w:rsidR="00AC4F81">
        <w:trPr>
          <w:trHeight w:val="383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C4F81" w:rsidRDefault="00C842C8">
            <w:pPr>
              <w:spacing w:after="0" w:line="259" w:lineRule="auto"/>
              <w:ind w:left="7" w:firstLine="0"/>
              <w:jc w:val="left"/>
            </w:pPr>
            <w:r>
              <w:t>Hodinová sazba bez DPH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C4F81" w:rsidRDefault="00C842C8">
            <w:pPr>
              <w:spacing w:after="0" w:line="259" w:lineRule="auto"/>
              <w:ind w:left="0" w:firstLine="0"/>
              <w:jc w:val="right"/>
            </w:pPr>
            <w:r>
              <w:t>500,00 Kč/hod.</w:t>
            </w:r>
          </w:p>
        </w:tc>
      </w:tr>
      <w:tr w:rsidR="00AC4F81">
        <w:trPr>
          <w:trHeight w:val="421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F81" w:rsidRDefault="00C842C8">
            <w:pPr>
              <w:spacing w:after="0" w:line="259" w:lineRule="auto"/>
              <w:ind w:left="0" w:firstLine="0"/>
              <w:jc w:val="left"/>
            </w:pPr>
            <w:r>
              <w:t>MAXIMÁLNÍ cena bez DPH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F81" w:rsidRDefault="00C842C8">
            <w:pPr>
              <w:spacing w:after="0" w:line="259" w:lineRule="auto"/>
              <w:ind w:left="504" w:firstLine="0"/>
              <w:jc w:val="left"/>
            </w:pPr>
            <w:r>
              <w:t>235.000,00 Kč</w:t>
            </w:r>
          </w:p>
        </w:tc>
      </w:tr>
      <w:tr w:rsidR="00AC4F81">
        <w:trPr>
          <w:trHeight w:val="276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C4F81" w:rsidRDefault="00C842C8">
            <w:pPr>
              <w:spacing w:after="0" w:line="259" w:lineRule="auto"/>
              <w:ind w:left="0" w:firstLine="0"/>
              <w:jc w:val="left"/>
            </w:pPr>
            <w:r>
              <w:t>DPH 21 %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C4F81" w:rsidRDefault="00C842C8">
            <w:pPr>
              <w:spacing w:after="0" w:line="259" w:lineRule="auto"/>
              <w:ind w:left="0" w:right="115" w:firstLine="0"/>
              <w:jc w:val="right"/>
            </w:pPr>
            <w:r>
              <w:t>49.350,00 Kč</w:t>
            </w:r>
          </w:p>
        </w:tc>
      </w:tr>
      <w:tr w:rsidR="00AC4F81">
        <w:trPr>
          <w:trHeight w:val="253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C4F81" w:rsidRDefault="00C842C8">
            <w:pPr>
              <w:spacing w:after="0" w:line="259" w:lineRule="auto"/>
              <w:ind w:left="0" w:firstLine="0"/>
              <w:jc w:val="left"/>
            </w:pPr>
            <w:r>
              <w:t>CELKEM vč. DPH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C4F81" w:rsidRDefault="00C842C8">
            <w:pPr>
              <w:spacing w:after="0" w:line="259" w:lineRule="auto"/>
              <w:ind w:left="504" w:firstLine="0"/>
              <w:jc w:val="left"/>
            </w:pPr>
            <w:r>
              <w:t>284.350,00 Kč</w:t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5104" name="Picture 5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4" name="Picture 510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F81" w:rsidRDefault="00C842C8">
      <w:pPr>
        <w:ind w:left="1630" w:right="14"/>
      </w:pPr>
      <w:r>
        <w:t xml:space="preserve">2. Žádné změny nákladů na pracovní síly, materiál a jiné dodávky pro dílo neovlivní cenu za hodinu výkonu činnosti dle nabídky a zhotovitel nemůže uplatnit nárok na zvýšení ceny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5105" name="Picture 5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5" name="Picture 51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tohoto důvodu. Cena je platná po celou dobu výstavby až do kolaudace stavby</w:t>
      </w:r>
      <w:r>
        <w:t>.</w:t>
      </w:r>
    </w:p>
    <w:p w:rsidR="00AC4F81" w:rsidRDefault="00C842C8">
      <w:pPr>
        <w:spacing w:after="563"/>
        <w:ind w:left="1663" w:right="14" w:hanging="14"/>
      </w:pPr>
      <w:r>
        <w:t>pozn.: V případě změny rozsahu prací bude cena upravena dle skutečnosti v souladu s uvedenými sazbami.</w:t>
      </w:r>
    </w:p>
    <w:p w:rsidR="00AC4F81" w:rsidRDefault="00C842C8">
      <w:pPr>
        <w:spacing w:after="330" w:line="259" w:lineRule="auto"/>
        <w:ind w:left="3228" w:hanging="10"/>
        <w:jc w:val="left"/>
      </w:pPr>
      <w:r>
        <w:rPr>
          <w:noProof/>
        </w:rPr>
        <w:drawing>
          <wp:inline distT="0" distB="0" distL="0" distR="0">
            <wp:extent cx="137160" cy="105157"/>
            <wp:effectExtent l="0" t="0" r="0" b="0"/>
            <wp:docPr id="20684" name="Picture 20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4" name="Picture 206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0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PLATEBNÍ PODMÍNKY, FAKTURACE: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107" name="Picture 5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7" name="Picture 51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81" w:rsidRDefault="00C842C8">
      <w:pPr>
        <w:spacing w:after="207"/>
        <w:ind w:left="1274" w:right="14" w:firstLine="0"/>
      </w:pPr>
      <w:r>
        <w:t>l . Výkon AD bude fakturován na základě dílčích faktur dle skutečně odpracovaných hodin..</w:t>
      </w:r>
    </w:p>
    <w:p w:rsidR="00AC4F81" w:rsidRDefault="00C842C8">
      <w:pPr>
        <w:numPr>
          <w:ilvl w:val="0"/>
          <w:numId w:val="3"/>
        </w:numPr>
        <w:ind w:left="1630" w:right="14"/>
      </w:pPr>
      <w:r>
        <w:t>Součástí faktury bude Deník a</w:t>
      </w:r>
      <w:r>
        <w:t>utorského dozoru odsouhlasený stavebním dozorem objednatele. Vždy nutno uvést ISPROFIN .</w:t>
      </w:r>
    </w:p>
    <w:p w:rsidR="00AC4F81" w:rsidRDefault="00C842C8">
      <w:pPr>
        <w:numPr>
          <w:ilvl w:val="0"/>
          <w:numId w:val="3"/>
        </w:numPr>
        <w:ind w:left="1630" w:right="14"/>
      </w:pPr>
      <w:r>
        <w:t>Smluvní strany se dohodly na tom, že řádně vystavená faktura je splatná ve lhůtě splatnosti 30 dnů ode dne jejího doručení objednateli. V pochybnostech se má za to, že faktura byla objednateli doručena třetí den po odeslání. Povinnost uhradit fakturu je ze</w:t>
      </w:r>
      <w:r>
        <w:t xml:space="preserve"> strany objednatele splněna dnem odpisu z jeho účtu ve prospěch účtu zhotovitele.</w:t>
      </w:r>
    </w:p>
    <w:p w:rsidR="00AC4F81" w:rsidRDefault="00C842C8">
      <w:pPr>
        <w:numPr>
          <w:ilvl w:val="0"/>
          <w:numId w:val="3"/>
        </w:numPr>
        <w:spacing w:after="1096"/>
        <w:ind w:left="1630" w:right="14"/>
      </w:pPr>
      <w:r>
        <w:t>V případě, že faktura nebude mít uvedené náležitosti nebo bude vykazovat jiné závady, je objednatel oprávněn tuto obratem vrátit zhotoviteli bez zaplacení. Současně s vrácení</w:t>
      </w:r>
      <w:r>
        <w:t>m faktury sdělí objednatel zhotoviteli důvody vrácení. V závislosti na povaze závady je zhotovitel povinen fakturu včetně jejích příloh opravit nebo nově vyhotovit. Oprávněným vrácením se zastaví původní lhůta splatnosti faktury a nová lhůta splatnosti zač</w:t>
      </w:r>
      <w:r>
        <w:t xml:space="preserve">íná běžet ode dne doručení objednateli doplněné, opravené nebo nově vyhotovené faktury s 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5109" name="Picture 5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9" name="Picture 51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příslušnými náležitostmi, splňující podmínky této smlouvy.</w:t>
      </w:r>
    </w:p>
    <w:p w:rsidR="00C402CF" w:rsidRDefault="00C402CF">
      <w:pPr>
        <w:spacing w:after="331" w:line="259" w:lineRule="auto"/>
        <w:ind w:left="1335" w:hanging="10"/>
        <w:jc w:val="center"/>
        <w:rPr>
          <w:sz w:val="26"/>
        </w:rPr>
      </w:pPr>
    </w:p>
    <w:p w:rsidR="00AC4F81" w:rsidRDefault="00C842C8">
      <w:pPr>
        <w:spacing w:after="331" w:line="259" w:lineRule="auto"/>
        <w:ind w:left="1335" w:hanging="10"/>
        <w:jc w:val="center"/>
      </w:pPr>
      <w:r>
        <w:rPr>
          <w:sz w:val="26"/>
        </w:rPr>
        <w:lastRenderedPageBreak/>
        <w:t>Vl. SMLUVNÍ POKUTY:</w:t>
      </w:r>
    </w:p>
    <w:p w:rsidR="00AC4F81" w:rsidRDefault="00C842C8">
      <w:pPr>
        <w:ind w:left="1641" w:right="14" w:hanging="302"/>
      </w:pPr>
      <w:r>
        <w:t>l . Smluvní strany se dohodly na smluvní pokutě a smluvním úroku z prodlení, jeji</w:t>
      </w:r>
      <w:r>
        <w:t>chž výše je uvedena ve smlouvě pro případ porušení této smlouvy zhotovitelem nebo objednatelem.</w:t>
      </w:r>
    </w:p>
    <w:p w:rsidR="00AC4F81" w:rsidRDefault="00C842C8">
      <w:pPr>
        <w:numPr>
          <w:ilvl w:val="0"/>
          <w:numId w:val="4"/>
        </w:numPr>
        <w:spacing w:after="328"/>
        <w:ind w:left="1630" w:right="14"/>
      </w:pPr>
      <w:r>
        <w:t>V případě prodlení objednatele s úhradou faktur má zhotovitel právo požadovat po objednateli smluvní pokutu, která se sjednává ve výši 0,05 % z dlužné částky za</w:t>
      </w:r>
      <w:r>
        <w:t xml:space="preserve"> každý den prodlení.</w:t>
      </w:r>
    </w:p>
    <w:p w:rsidR="00AC4F81" w:rsidRDefault="00C842C8">
      <w:pPr>
        <w:numPr>
          <w:ilvl w:val="0"/>
          <w:numId w:val="4"/>
        </w:numPr>
        <w:spacing w:after="335"/>
        <w:ind w:left="1630" w:right="14"/>
      </w:pPr>
      <w:r>
        <w:t>Pokud se zhotovitel nezúčastní výkonu autorského dozoru, na základě výzvy objednatele, zaplatí smluvní pokutu 1.000,- Kč za každý případ. Při poskytnutí neúplné pomoci během jeho výkonu je zhotovitel povinen zajistit stanoviska, vyjádř</w:t>
      </w:r>
      <w:r>
        <w:t>ení či sdělení k požadované změně do termínu stanoveného objednatelem. V případě nedodržení stanoveného termínu zaplatí zhotovitel objednateli smluvní pokutu ve výši 20 % z hodinové sazby AD za každý den prodlení.</w:t>
      </w:r>
    </w:p>
    <w:p w:rsidR="00AC4F81" w:rsidRDefault="00C842C8">
      <w:pPr>
        <w:numPr>
          <w:ilvl w:val="0"/>
          <w:numId w:val="4"/>
        </w:numPr>
        <w:spacing w:after="542"/>
        <w:ind w:left="1630" w:right="14"/>
      </w:pPr>
      <w:r>
        <w:t>Zhotovitel prohlašuje, že je pojištěn pojistnou smlouvou pro případ odpovědnosti za škodu vzniklou jinému v souvislosti s činnostmi, které jsou uvedeny ve výpisu z obchodního rejstříku jako jeho předmět podnikání.</w:t>
      </w:r>
    </w:p>
    <w:p w:rsidR="00AC4F81" w:rsidRDefault="00C842C8">
      <w:pPr>
        <w:spacing w:after="255" w:line="259" w:lineRule="auto"/>
        <w:ind w:left="1335" w:right="50" w:hanging="10"/>
        <w:jc w:val="center"/>
      </w:pPr>
      <w:r>
        <w:rPr>
          <w:sz w:val="26"/>
        </w:rPr>
        <w:t>VII. OSTATNÍ UJEDNÁNÍ:</w:t>
      </w:r>
    </w:p>
    <w:p w:rsidR="00AC4F81" w:rsidRDefault="00C842C8">
      <w:pPr>
        <w:spacing w:after="327"/>
        <w:ind w:left="1630" w:right="14"/>
      </w:pPr>
      <w:r>
        <w:t>I Zhotovitel bude p</w:t>
      </w:r>
      <w:r>
        <w:t>ři zabezpečování činnosti podle čl. II. této smlouvy postupovat s odbornou péčí. Svoji činnost bude zhotovitel uskutečňovat v souladu se zájmy objednatele a podle jeho pokynů, zápisů a dohod oprávněných pracovníků smluvních stran.</w:t>
      </w:r>
    </w:p>
    <w:p w:rsidR="00AC4F81" w:rsidRDefault="00C842C8">
      <w:pPr>
        <w:numPr>
          <w:ilvl w:val="0"/>
          <w:numId w:val="5"/>
        </w:numPr>
        <w:spacing w:after="332"/>
        <w:ind w:right="14" w:hanging="353"/>
      </w:pPr>
      <w:r>
        <w:t xml:space="preserve">V rámci svého spolupůsobení se objednatel zavazuje, že v rozsahu nezbytně nutném na vyzvání poskytne spolupráci při předání podkladů, doplňujících údajů, upřesnění,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622" name="Picture 7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2" name="Picture 76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vyjádření a stanovisek, které jsou potřebné v průběhu plnění této smlouvy. Toto spolupůsob</w:t>
      </w:r>
      <w:r>
        <w:t>ení poskytne zhotoviteli v nejbližším možném termínu. Konkrétní lhůtu sjednají smluvní strany v případě, že se bude jednat o spolupůsobení, které nemůže objednatel obstarat vlastními silami.</w:t>
      </w:r>
    </w:p>
    <w:p w:rsidR="00AC4F81" w:rsidRDefault="00C842C8">
      <w:pPr>
        <w:numPr>
          <w:ilvl w:val="0"/>
          <w:numId w:val="5"/>
        </w:numPr>
        <w:spacing w:after="333"/>
        <w:ind w:right="14" w:hanging="353"/>
      </w:pPr>
      <w:r>
        <w:t>Objednatel a zhotovitel se zavazují, že obchodní a technické info</w:t>
      </w:r>
      <w:r>
        <w:t>rmace, které jim byly svěřené smluvním partnerem nepostoupí třetím osobám bez jeho písemného souhlasu nebo tyto informace nepoužijí pro jiné účely než pro splnění podmínek této smlouvy.</w:t>
      </w:r>
    </w:p>
    <w:p w:rsidR="00AC4F81" w:rsidRDefault="00C842C8">
      <w:pPr>
        <w:numPr>
          <w:ilvl w:val="0"/>
          <w:numId w:val="5"/>
        </w:numPr>
        <w:ind w:right="14" w:hanging="353"/>
      </w:pPr>
      <w:r>
        <w:t>Zhotovitel neodpovídá za vady, jestliže tyto vady byly způsobeny použi</w:t>
      </w:r>
      <w:r>
        <w:t xml:space="preserve">tím podkladů předaných mu objednatelem v případě, že zhotovitel ani při vynaložení odborné péče nevhodnost těchto podkladů nemohl zjistit nebo na ně objednatele upozornil a objednatel na jejich použití trval. Zhotovitel rovněž neodpovídá za vady způsobené </w:t>
      </w:r>
      <w:r>
        <w:t>dodržením nevhodných pokynů daných mu objednatelem, jestliže zhotovitel na nevhodnost těchto pokynů upozornil a objednatel na jejich dodržení trval nebo jestliže zhotovitel tuto nevhodnost nemohl zjistit.</w:t>
      </w:r>
    </w:p>
    <w:p w:rsidR="00AC4F81" w:rsidRDefault="00C842C8">
      <w:pPr>
        <w:ind w:left="1030" w:right="14" w:firstLine="58"/>
      </w:pPr>
      <w:r>
        <w:rPr>
          <w:noProof/>
        </w:rPr>
        <w:lastRenderedPageBreak/>
        <w:drawing>
          <wp:inline distT="0" distB="0" distL="0" distR="0">
            <wp:extent cx="9144" cy="4572"/>
            <wp:effectExtent l="0" t="0" r="0" b="0"/>
            <wp:docPr id="10089" name="Picture 10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9" name="Picture 1008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5. Řešení sporů - smluvní strany se zavazují pří</w:t>
      </w:r>
      <w:r>
        <w:t xml:space="preserve">padné spory řešit především dohodou svých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0090" name="Picture 10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0" name="Picture 1009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oprávněných zástupců, s vynaložením veškerého úsilí, které lze spravedlivě požadovat, aby tyto spory byly řešeny smírnou cestou.</w:t>
      </w:r>
    </w:p>
    <w:p w:rsidR="00AC4F81" w:rsidRDefault="00C842C8">
      <w:pPr>
        <w:spacing w:after="551"/>
        <w:ind w:left="1630" w:right="14"/>
      </w:pPr>
      <w:r>
        <w:t>6. Zhotovitel prohlašuje, že má oprávnění vykonávat živnost v rozsahu čl. II. této</w:t>
      </w:r>
      <w:r>
        <w:t xml:space="preserve"> smlouvy. V případě, kdy objednatel o to požádá, je zhotovitel povinen mu umožnit nahlédnout do živnostenského oprávnění.</w:t>
      </w:r>
    </w:p>
    <w:p w:rsidR="00AC4F81" w:rsidRDefault="00C842C8">
      <w:pPr>
        <w:spacing w:after="227" w:line="259" w:lineRule="auto"/>
        <w:ind w:left="1246" w:firstLine="0"/>
        <w:jc w:val="center"/>
      </w:pPr>
      <w:r>
        <w:t>vlil. ZÁVĚREČNÁ USTANOVENÍ:</w:t>
      </w:r>
    </w:p>
    <w:p w:rsidR="00AC4F81" w:rsidRDefault="00C842C8">
      <w:pPr>
        <w:ind w:left="1630" w:right="14"/>
      </w:pPr>
      <w:r>
        <w:t>l . Změny nebo doplňky této smlouvy lze provést na základě dohody obou smluvních stran, musí být stanoveny</w:t>
      </w:r>
      <w:r>
        <w:t xml:space="preserve"> písemně při dodržení formy základní smlouvy a označeny jako ”dodatek ke smlouvě” s pořadovým číslem.</w:t>
      </w:r>
    </w:p>
    <w:p w:rsidR="00AC4F81" w:rsidRDefault="00C842C8">
      <w:pPr>
        <w:numPr>
          <w:ilvl w:val="0"/>
          <w:numId w:val="6"/>
        </w:numPr>
        <w:ind w:right="14" w:hanging="353"/>
      </w:pPr>
      <w:r>
        <w:t>Pro platnost dodatků k této smlouvě se vyžaduje dohoda o celém textu.</w:t>
      </w:r>
    </w:p>
    <w:p w:rsidR="00AC4F81" w:rsidRDefault="00C842C8">
      <w:pPr>
        <w:numPr>
          <w:ilvl w:val="0"/>
          <w:numId w:val="6"/>
        </w:numPr>
        <w:ind w:right="14" w:hanging="353"/>
      </w:pPr>
      <w:r>
        <w:t>K návrhu dodatků ke smlouvě se smluvní strany zavazují vyjádřit písemně, ve lhůtě 15</w:t>
      </w:r>
      <w:r>
        <w:t xml:space="preserve"> dní od doručení návrhu dodatku druhé straně. Po tuto dobu je tímto návrhem vázána strana, která ho podala.</w:t>
      </w:r>
    </w:p>
    <w:p w:rsidR="00AC4F81" w:rsidRDefault="00C842C8">
      <w:pPr>
        <w:numPr>
          <w:ilvl w:val="0"/>
          <w:numId w:val="6"/>
        </w:numPr>
        <w:ind w:right="14" w:hanging="353"/>
      </w:pPr>
      <w:r>
        <w:t>Změna doby plnění předmětu smlouvy z titulu nepředvídaných podstatných překážek bude řešena vzájemnou dohodou bez uplatňování sankcí. Nejasnosti při</w:t>
      </w:r>
      <w:r>
        <w:t xml:space="preserve"> určení podstatných překážek budou řešeny statutárními zástupci obou smluvních stran.</w:t>
      </w:r>
    </w:p>
    <w:p w:rsidR="00AC4F81" w:rsidRDefault="00C842C8">
      <w:pPr>
        <w:numPr>
          <w:ilvl w:val="0"/>
          <w:numId w:val="6"/>
        </w:numPr>
        <w:ind w:right="14" w:hanging="353"/>
      </w:pPr>
      <w:r>
        <w:t>Pokud dojde ze strany objednatele k odstoupení od smlouvy z důvodů nezapříčiněných zhotovitelem, zavazuje se objednatel uhradit odstupné podle rozsahu rozpracovanosti díl</w:t>
      </w:r>
      <w:r>
        <w:t>a ke dni oznámení o odstoupení. Rozsah rozpracovanosti bude písemnou formou vzájemně odsouhlasen oprávněnými zástupci smluvních stran.</w:t>
      </w:r>
    </w:p>
    <w:p w:rsidR="00AC4F81" w:rsidRDefault="00C842C8">
      <w:pPr>
        <w:numPr>
          <w:ilvl w:val="0"/>
          <w:numId w:val="6"/>
        </w:numPr>
        <w:spacing w:after="256"/>
        <w:ind w:right="14" w:hanging="353"/>
      </w:pPr>
      <w:r>
        <w:t>Odstoupení od smlouvy musí být uskutečněno vždy písemnou formou a nabývá účinnosti dnem doručení takového písemného podán</w:t>
      </w:r>
      <w:r>
        <w:t>í druhé straně. Následky odstoupení od smlouvy se řídí ustanoveními obchodního zákoníku, v platném znění.</w:t>
      </w:r>
    </w:p>
    <w:p w:rsidR="00AC4F81" w:rsidRDefault="00C842C8">
      <w:pPr>
        <w:numPr>
          <w:ilvl w:val="0"/>
          <w:numId w:val="6"/>
        </w:numPr>
        <w:ind w:right="14" w:hanging="353"/>
      </w:pPr>
      <w:r>
        <w:t>Tuto smlouvu lze ukončit dohodou smluvních stran. Při ukončení smlouvy jsou smluvní strany povinny vzájemně vypořádat své závazky, zejména si vrátit v</w:t>
      </w:r>
      <w:r>
        <w:t>ěci předané k provedení díla, vyklidit prostory poskytnuté k provedení díla a místo provedení díla a uhradit veškeré splatné závazky podle smlouvy; zánikem smlouvy rovněž nezanikají práva na již vzniklé (splatné) majetkové pokuty podle smlouvy.</w:t>
      </w:r>
    </w:p>
    <w:p w:rsidR="00AC4F81" w:rsidRDefault="00C842C8">
      <w:pPr>
        <w:numPr>
          <w:ilvl w:val="0"/>
          <w:numId w:val="6"/>
        </w:numPr>
        <w:ind w:right="14" w:hanging="353"/>
      </w:pPr>
      <w:r>
        <w:t>Nestanoví-l</w:t>
      </w:r>
      <w:r>
        <w:t>i tato smlouva jinak, řídí se vztahy jí upravované občanským zákoníkem, v platném znění a souvisejícími právními předpisy.</w:t>
      </w:r>
    </w:p>
    <w:p w:rsidR="00AC4F81" w:rsidRDefault="00C842C8">
      <w:pPr>
        <w:numPr>
          <w:ilvl w:val="0"/>
          <w:numId w:val="6"/>
        </w:numPr>
        <w:spacing w:after="271"/>
        <w:ind w:right="14" w:hanging="353"/>
      </w:pPr>
      <w:r>
        <w:t>Tato smlouva je vyhotovena ve 4 stejnopisech každý s platností originálu. Každá ze smluvních stran obdrží po 2 oboustranně potvrzených výtiscích.</w:t>
      </w:r>
    </w:p>
    <w:p w:rsidR="00AC4F81" w:rsidRDefault="00C842C8">
      <w:pPr>
        <w:ind w:left="1274" w:right="14" w:firstLine="0"/>
      </w:pPr>
      <w:r>
        <w:t>IO. Tato smlouva má 6 stran textu a I přílohu — cenovou nabídku.</w:t>
      </w:r>
    </w:p>
    <w:p w:rsidR="00AC4F81" w:rsidRDefault="00C842C8">
      <w:pPr>
        <w:spacing w:after="809"/>
        <w:ind w:left="1630" w:right="79"/>
      </w:pPr>
      <w:r>
        <w:lastRenderedPageBreak/>
        <w:t>I l. Smluvní strany prohlašují, že toto je je</w:t>
      </w:r>
      <w:r>
        <w:t>jich svobodná, pravá a vážně míněná vůle uzavřít obchodní smlouvu a vyjadřují souhlas s celým jejím obsahem. Na důkaz toho připojují oprávnění zástupci smluvních stran své podpisy.</w:t>
      </w:r>
    </w:p>
    <w:p w:rsidR="00AC4F81" w:rsidRDefault="00C842C8">
      <w:pPr>
        <w:spacing w:after="611"/>
        <w:ind w:left="1274" w:right="14" w:firstLine="0"/>
      </w:pPr>
      <w:r>
        <w:t>12. Smlouva nabývá platnosti a účinnosti podpisem obou smluvních stran.</w:t>
      </w:r>
    </w:p>
    <w:p w:rsidR="00AC4F81" w:rsidRDefault="00C842C8">
      <w:pPr>
        <w:tabs>
          <w:tab w:val="center" w:pos="1588"/>
          <w:tab w:val="center" w:pos="2513"/>
          <w:tab w:val="center" w:pos="3344"/>
        </w:tabs>
        <w:spacing w:after="524" w:line="259" w:lineRule="auto"/>
        <w:ind w:left="0" w:firstLine="0"/>
        <w:jc w:val="left"/>
      </w:pPr>
      <w:r>
        <w:rPr>
          <w:sz w:val="20"/>
        </w:rPr>
        <w:tab/>
        <w:t>Da</w:t>
      </w:r>
      <w:r>
        <w:rPr>
          <w:sz w:val="20"/>
        </w:rPr>
        <w:t>tum:</w:t>
      </w:r>
      <w:r w:rsidR="00C402CF">
        <w:rPr>
          <w:sz w:val="20"/>
        </w:rPr>
        <w:t xml:space="preserve">  </w:t>
      </w:r>
      <w:r w:rsidR="00060981">
        <w:rPr>
          <w:sz w:val="20"/>
        </w:rPr>
        <w:t>23.8.2016</w:t>
      </w:r>
      <w:r>
        <w:rPr>
          <w:sz w:val="20"/>
        </w:rPr>
        <w:tab/>
      </w:r>
    </w:p>
    <w:sectPr w:rsidR="00AC4F81">
      <w:footerReference w:type="even" r:id="rId17"/>
      <w:footerReference w:type="default" r:id="rId18"/>
      <w:footerReference w:type="first" r:id="rId19"/>
      <w:pgSz w:w="11902" w:h="16834"/>
      <w:pgMar w:top="1704" w:right="1310" w:bottom="7" w:left="26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42C8">
      <w:pPr>
        <w:spacing w:after="0" w:line="240" w:lineRule="auto"/>
      </w:pPr>
      <w:r>
        <w:separator/>
      </w:r>
    </w:p>
  </w:endnote>
  <w:endnote w:type="continuationSeparator" w:id="0">
    <w:p w:rsidR="00000000" w:rsidRDefault="00C8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81" w:rsidRDefault="00C842C8">
    <w:pPr>
      <w:spacing w:after="0" w:line="259" w:lineRule="auto"/>
      <w:ind w:left="1123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0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81" w:rsidRDefault="00C842C8">
    <w:pPr>
      <w:spacing w:after="0" w:line="259" w:lineRule="auto"/>
      <w:ind w:left="1123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C842C8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0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 w:rsidRPr="00C842C8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81" w:rsidRDefault="00AC4F8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42C8">
      <w:pPr>
        <w:spacing w:after="0" w:line="240" w:lineRule="auto"/>
      </w:pPr>
      <w:r>
        <w:separator/>
      </w:r>
    </w:p>
  </w:footnote>
  <w:footnote w:type="continuationSeparator" w:id="0">
    <w:p w:rsidR="00000000" w:rsidRDefault="00C8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2759" o:spid="_x0000_i1026" style="width:3pt;height:3pt" coordsize="" o:spt="100" o:bullet="t" adj="0,,0" path="" stroked="f">
        <v:stroke joinstyle="miter"/>
        <v:imagedata r:id="rId1" o:title="image21"/>
        <v:formulas/>
        <v:path o:connecttype="segments"/>
      </v:shape>
    </w:pict>
  </w:numPicBullet>
  <w:abstractNum w:abstractNumId="0" w15:restartNumberingAfterBreak="0">
    <w:nsid w:val="08A37955"/>
    <w:multiLevelType w:val="hybridMultilevel"/>
    <w:tmpl w:val="2EE20B70"/>
    <w:lvl w:ilvl="0" w:tplc="26D40C88">
      <w:start w:val="2"/>
      <w:numFmt w:val="decimal"/>
      <w:lvlText w:val="%1.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6CF38">
      <w:start w:val="1"/>
      <w:numFmt w:val="lowerLetter"/>
      <w:lvlText w:val="%2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6530A">
      <w:start w:val="1"/>
      <w:numFmt w:val="lowerRoman"/>
      <w:lvlText w:val="%3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2DFEE">
      <w:start w:val="1"/>
      <w:numFmt w:val="decimal"/>
      <w:lvlText w:val="%4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D2FA">
      <w:start w:val="1"/>
      <w:numFmt w:val="lowerLetter"/>
      <w:lvlText w:val="%5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8D9E4">
      <w:start w:val="1"/>
      <w:numFmt w:val="lowerRoman"/>
      <w:lvlText w:val="%6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697AC">
      <w:start w:val="1"/>
      <w:numFmt w:val="decimal"/>
      <w:lvlText w:val="%7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0C2AA">
      <w:start w:val="1"/>
      <w:numFmt w:val="lowerLetter"/>
      <w:lvlText w:val="%8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4DE26">
      <w:start w:val="1"/>
      <w:numFmt w:val="lowerRoman"/>
      <w:lvlText w:val="%9"/>
      <w:lvlJc w:val="left"/>
      <w:pPr>
        <w:ind w:left="7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A61DD"/>
    <w:multiLevelType w:val="hybridMultilevel"/>
    <w:tmpl w:val="320EAB42"/>
    <w:lvl w:ilvl="0" w:tplc="89669C86">
      <w:start w:val="2"/>
      <w:numFmt w:val="decimal"/>
      <w:lvlText w:val="%1.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42BDA">
      <w:start w:val="1"/>
      <w:numFmt w:val="lowerLetter"/>
      <w:lvlText w:val="%2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C1DFE">
      <w:start w:val="1"/>
      <w:numFmt w:val="lowerRoman"/>
      <w:lvlText w:val="%3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0CC97E">
      <w:start w:val="1"/>
      <w:numFmt w:val="decimal"/>
      <w:lvlText w:val="%4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AA4F4">
      <w:start w:val="1"/>
      <w:numFmt w:val="lowerLetter"/>
      <w:lvlText w:val="%5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CD79C">
      <w:start w:val="1"/>
      <w:numFmt w:val="lowerRoman"/>
      <w:lvlText w:val="%6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087C0">
      <w:start w:val="1"/>
      <w:numFmt w:val="decimal"/>
      <w:lvlText w:val="%7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386090">
      <w:start w:val="1"/>
      <w:numFmt w:val="lowerLetter"/>
      <w:lvlText w:val="%8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EAF9A">
      <w:start w:val="1"/>
      <w:numFmt w:val="lowerRoman"/>
      <w:lvlText w:val="%9"/>
      <w:lvlJc w:val="left"/>
      <w:pPr>
        <w:ind w:left="7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D34BE"/>
    <w:multiLevelType w:val="hybridMultilevel"/>
    <w:tmpl w:val="44FE35DC"/>
    <w:lvl w:ilvl="0" w:tplc="7F8E0B22">
      <w:start w:val="2"/>
      <w:numFmt w:val="decimal"/>
      <w:lvlText w:val="%1.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1AA84A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349176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4CB6A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420E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021018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FC181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6BF2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ACAD4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5C61C3"/>
    <w:multiLevelType w:val="hybridMultilevel"/>
    <w:tmpl w:val="7332AA34"/>
    <w:lvl w:ilvl="0" w:tplc="0C9E7D00">
      <w:start w:val="2"/>
      <w:numFmt w:val="decimal"/>
      <w:lvlText w:val="%1.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1C27B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98462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07C7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E311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07DC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A502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9CF0C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4183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2F5D04"/>
    <w:multiLevelType w:val="hybridMultilevel"/>
    <w:tmpl w:val="3C6E9AC4"/>
    <w:lvl w:ilvl="0" w:tplc="B5E4959E">
      <w:start w:val="1"/>
      <w:numFmt w:val="bullet"/>
      <w:lvlText w:val="•"/>
      <w:lvlPicBulletId w:val="0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AC866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309928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261C34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A05C2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4C4B10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889F4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680FA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88C62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752BCB"/>
    <w:multiLevelType w:val="hybridMultilevel"/>
    <w:tmpl w:val="A5E257C2"/>
    <w:lvl w:ilvl="0" w:tplc="2AC2B450">
      <w:start w:val="2"/>
      <w:numFmt w:val="decimal"/>
      <w:lvlText w:val="%1.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4D2A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E437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A5EB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23F0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4234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A973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6583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6539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81"/>
    <w:rsid w:val="00060981"/>
    <w:rsid w:val="00AC4F81"/>
    <w:rsid w:val="00C402CF"/>
    <w:rsid w:val="00C8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196301"/>
  <w15:docId w15:val="{7338269E-B517-4523-88AC-3750422C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04" w:line="260" w:lineRule="auto"/>
      <w:ind w:left="1573" w:hanging="3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1527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4</cp:revision>
  <dcterms:created xsi:type="dcterms:W3CDTF">2016-11-09T05:57:00Z</dcterms:created>
  <dcterms:modified xsi:type="dcterms:W3CDTF">2016-11-09T05:58:00Z</dcterms:modified>
</cp:coreProperties>
</file>