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EE" w:rsidRDefault="00D712EE" w:rsidP="00D712EE">
      <w:pPr>
        <w:tabs>
          <w:tab w:val="left" w:pos="2016"/>
          <w:tab w:val="left" w:pos="3168"/>
          <w:tab w:val="left" w:pos="4320"/>
          <w:tab w:val="left" w:pos="5472"/>
          <w:tab w:val="left" w:pos="6624"/>
          <w:tab w:val="left" w:pos="7776"/>
          <w:tab w:val="left" w:pos="8928"/>
        </w:tabs>
        <w:jc w:val="center"/>
        <w:rPr>
          <w:b/>
          <w:bCs/>
          <w:sz w:val="28"/>
          <w:szCs w:val="28"/>
        </w:rPr>
      </w:pPr>
      <w:bookmarkStart w:id="0" w:name="_GoBack"/>
      <w:bookmarkEnd w:id="0"/>
      <w:r>
        <w:rPr>
          <w:b/>
          <w:bCs/>
          <w:sz w:val="28"/>
          <w:szCs w:val="28"/>
        </w:rPr>
        <w:t xml:space="preserve">Smlouva o poskytnutí dotace </w:t>
      </w:r>
    </w:p>
    <w:p w:rsidR="00D712EE" w:rsidRDefault="00D712EE" w:rsidP="00D712EE">
      <w:pPr>
        <w:widowControl/>
        <w:tabs>
          <w:tab w:val="left" w:pos="8928"/>
        </w:tabs>
        <w:spacing w:before="120" w:after="120" w:line="252" w:lineRule="auto"/>
        <w:jc w:val="center"/>
        <w:rPr>
          <w:i/>
          <w:iCs/>
          <w:sz w:val="20"/>
          <w:szCs w:val="20"/>
        </w:rPr>
      </w:pPr>
      <w:r>
        <w:rPr>
          <w:b/>
          <w:bCs/>
          <w:sz w:val="22"/>
          <w:szCs w:val="22"/>
        </w:rPr>
        <w:t>č</w:t>
      </w:r>
      <w:r w:rsidRPr="00503696">
        <w:rPr>
          <w:b/>
          <w:bCs/>
          <w:sz w:val="22"/>
          <w:szCs w:val="22"/>
        </w:rPr>
        <w:t>. D/2120/2018/ŽPZE</w:t>
      </w:r>
    </w:p>
    <w:p w:rsidR="00D712EE" w:rsidRDefault="00D712EE" w:rsidP="00D712EE">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D712EE" w:rsidRDefault="00D712EE" w:rsidP="00D712EE">
      <w:pPr>
        <w:widowControl/>
        <w:tabs>
          <w:tab w:val="left" w:pos="8928"/>
        </w:tabs>
        <w:spacing w:before="144" w:after="60" w:line="252" w:lineRule="auto"/>
        <w:jc w:val="both"/>
        <w:rPr>
          <w:sz w:val="20"/>
          <w:szCs w:val="20"/>
        </w:rPr>
      </w:pPr>
    </w:p>
    <w:p w:rsidR="00D712EE" w:rsidRDefault="00D712EE" w:rsidP="00D712EE">
      <w:pPr>
        <w:tabs>
          <w:tab w:val="left" w:pos="426"/>
          <w:tab w:val="left" w:pos="2552"/>
          <w:tab w:val="left" w:pos="3168"/>
          <w:tab w:val="left" w:pos="4320"/>
          <w:tab w:val="left" w:pos="5472"/>
          <w:tab w:val="left" w:pos="6624"/>
          <w:tab w:val="left" w:pos="7776"/>
          <w:tab w:val="left" w:pos="8928"/>
        </w:tabs>
        <w:spacing w:before="60"/>
        <w:jc w:val="both"/>
        <w:rPr>
          <w:b/>
          <w:bCs/>
          <w:sz w:val="20"/>
          <w:szCs w:val="20"/>
        </w:rPr>
      </w:pPr>
      <w:r>
        <w:rPr>
          <w:sz w:val="20"/>
          <w:szCs w:val="20"/>
        </w:rPr>
        <w:t>Poskytovatel dotace:</w:t>
      </w:r>
      <w:r>
        <w:rPr>
          <w:sz w:val="20"/>
          <w:szCs w:val="20"/>
        </w:rPr>
        <w:tab/>
      </w:r>
      <w:r>
        <w:rPr>
          <w:b/>
          <w:bCs/>
          <w:sz w:val="20"/>
          <w:szCs w:val="20"/>
        </w:rPr>
        <w:t xml:space="preserve">Zlínský kraj </w:t>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se sídlem ve Zlíně, tř. T. Bati 21, PSČ 761 90</w:t>
      </w:r>
    </w:p>
    <w:p w:rsidR="00D712EE" w:rsidRDefault="00D712EE" w:rsidP="00D712EE">
      <w:pPr>
        <w:tabs>
          <w:tab w:val="left" w:pos="2016"/>
          <w:tab w:val="left" w:pos="3168"/>
          <w:tab w:val="left" w:pos="4320"/>
          <w:tab w:val="left" w:pos="5472"/>
          <w:tab w:val="right" w:pos="9072"/>
        </w:tabs>
        <w:spacing w:before="60"/>
        <w:ind w:left="2552"/>
        <w:jc w:val="both"/>
        <w:rPr>
          <w:sz w:val="20"/>
          <w:szCs w:val="20"/>
        </w:rPr>
      </w:pPr>
      <w:r>
        <w:rPr>
          <w:sz w:val="20"/>
          <w:szCs w:val="20"/>
        </w:rPr>
        <w:t>zastupuje: Jiří Čunek, hejtman</w:t>
      </w:r>
      <w:r>
        <w:rPr>
          <w:sz w:val="20"/>
          <w:szCs w:val="20"/>
        </w:rPr>
        <w:tab/>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IČ: 70891320</w:t>
      </w:r>
    </w:p>
    <w:p w:rsidR="00D712EE" w:rsidRDefault="00D712EE" w:rsidP="00D712EE">
      <w:pPr>
        <w:widowControl/>
        <w:tabs>
          <w:tab w:val="left" w:pos="8928"/>
        </w:tabs>
        <w:spacing w:before="60" w:line="252" w:lineRule="auto"/>
        <w:ind w:left="2520"/>
        <w:rPr>
          <w:sz w:val="20"/>
          <w:szCs w:val="20"/>
        </w:rPr>
      </w:pPr>
      <w:r>
        <w:rPr>
          <w:sz w:val="20"/>
          <w:szCs w:val="20"/>
        </w:rPr>
        <w:t>bankovní spojení: Česká spořitelna, a.s.</w:t>
      </w:r>
    </w:p>
    <w:p w:rsidR="00D712EE" w:rsidRDefault="00D712EE" w:rsidP="00D712EE">
      <w:pPr>
        <w:widowControl/>
        <w:tabs>
          <w:tab w:val="left" w:pos="8928"/>
        </w:tabs>
        <w:spacing w:before="60" w:line="252" w:lineRule="auto"/>
        <w:ind w:left="2520"/>
        <w:rPr>
          <w:i/>
          <w:iCs/>
          <w:color w:val="0070C0"/>
          <w:sz w:val="16"/>
          <w:szCs w:val="16"/>
        </w:rPr>
      </w:pPr>
      <w:r>
        <w:rPr>
          <w:sz w:val="20"/>
          <w:szCs w:val="20"/>
        </w:rPr>
        <w:t>č. ú. 1827552/0800</w:t>
      </w:r>
    </w:p>
    <w:p w:rsidR="00D712EE" w:rsidRDefault="00D712EE" w:rsidP="00D712EE">
      <w:pPr>
        <w:widowControl/>
        <w:tabs>
          <w:tab w:val="left" w:pos="8928"/>
        </w:tabs>
        <w:spacing w:before="60" w:line="252" w:lineRule="auto"/>
        <w:ind w:left="2520"/>
        <w:rPr>
          <w:sz w:val="20"/>
          <w:szCs w:val="20"/>
        </w:rPr>
      </w:pPr>
      <w:r>
        <w:rPr>
          <w:sz w:val="20"/>
          <w:szCs w:val="20"/>
        </w:rPr>
        <w:t>(dále jen „</w:t>
      </w:r>
      <w:r>
        <w:rPr>
          <w:b/>
          <w:bCs/>
          <w:sz w:val="20"/>
          <w:szCs w:val="20"/>
        </w:rPr>
        <w:t>poskytovatel“</w:t>
      </w:r>
      <w:r>
        <w:rPr>
          <w:sz w:val="20"/>
          <w:szCs w:val="20"/>
        </w:rPr>
        <w:t>)</w:t>
      </w:r>
    </w:p>
    <w:p w:rsidR="00D712EE" w:rsidRDefault="00D712EE" w:rsidP="00D712EE">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D712EE" w:rsidRDefault="00D712EE" w:rsidP="00D712EE">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C52FF5" w:rsidRDefault="00C52FF5" w:rsidP="00D712EE">
      <w:pPr>
        <w:tabs>
          <w:tab w:val="left" w:pos="2552"/>
          <w:tab w:val="left" w:pos="8928"/>
        </w:tabs>
        <w:spacing w:before="60" w:line="259" w:lineRule="atLeast"/>
        <w:rPr>
          <w:sz w:val="20"/>
          <w:szCs w:val="20"/>
        </w:rPr>
      </w:pPr>
    </w:p>
    <w:p w:rsidR="00D712EE" w:rsidRPr="005D2A5B" w:rsidRDefault="00D712EE" w:rsidP="00D712EE">
      <w:pPr>
        <w:tabs>
          <w:tab w:val="left" w:pos="2552"/>
          <w:tab w:val="left" w:pos="8928"/>
        </w:tabs>
        <w:spacing w:before="60" w:line="259" w:lineRule="atLeast"/>
        <w:rPr>
          <w:rFonts w:ascii="Calibri" w:hAnsi="Calibri" w:cs="Calibri"/>
          <w:i/>
          <w:iCs/>
          <w:color w:val="0070C0"/>
          <w:sz w:val="16"/>
          <w:szCs w:val="16"/>
        </w:rPr>
      </w:pPr>
      <w:r>
        <w:rPr>
          <w:sz w:val="20"/>
          <w:szCs w:val="20"/>
        </w:rPr>
        <w:t>Příjemce dotace:</w:t>
      </w:r>
      <w:r>
        <w:rPr>
          <w:sz w:val="20"/>
          <w:szCs w:val="20"/>
        </w:rPr>
        <w:tab/>
      </w:r>
      <w:r w:rsidRPr="005D2A5B">
        <w:rPr>
          <w:b/>
          <w:bCs/>
          <w:sz w:val="20"/>
          <w:szCs w:val="20"/>
        </w:rPr>
        <w:t xml:space="preserve">Lesy augustiniánského opatství, s.r.o. </w:t>
      </w:r>
    </w:p>
    <w:p w:rsidR="00D712EE" w:rsidRPr="005D2A5B" w:rsidRDefault="005D2A5B" w:rsidP="00D712EE">
      <w:pPr>
        <w:tabs>
          <w:tab w:val="left" w:pos="8928"/>
        </w:tabs>
        <w:spacing w:before="60" w:line="259" w:lineRule="atLeast"/>
        <w:ind w:left="2520"/>
        <w:rPr>
          <w:rFonts w:ascii="Calibri" w:hAnsi="Calibri" w:cs="Calibri"/>
          <w:sz w:val="20"/>
          <w:szCs w:val="20"/>
        </w:rPr>
      </w:pPr>
      <w:r w:rsidRPr="005D2A5B">
        <w:rPr>
          <w:sz w:val="20"/>
          <w:szCs w:val="20"/>
        </w:rPr>
        <w:t>sídlo</w:t>
      </w:r>
      <w:r w:rsidR="00D712EE" w:rsidRPr="005D2A5B">
        <w:rPr>
          <w:sz w:val="20"/>
          <w:szCs w:val="20"/>
        </w:rPr>
        <w:t>: Mendlovo náměstí 157/1, 60300 Brno</w:t>
      </w:r>
    </w:p>
    <w:p w:rsidR="00D712EE" w:rsidRPr="005D2A5B" w:rsidRDefault="00D712EE" w:rsidP="00D712EE">
      <w:pPr>
        <w:tabs>
          <w:tab w:val="left" w:pos="8928"/>
        </w:tabs>
        <w:spacing w:before="60" w:line="259" w:lineRule="atLeast"/>
        <w:ind w:left="2520"/>
        <w:rPr>
          <w:sz w:val="20"/>
          <w:szCs w:val="20"/>
        </w:rPr>
      </w:pPr>
      <w:r w:rsidRPr="005D2A5B">
        <w:rPr>
          <w:sz w:val="20"/>
          <w:szCs w:val="20"/>
        </w:rPr>
        <w:t>IČ: 26264447</w:t>
      </w:r>
    </w:p>
    <w:p w:rsidR="00D712EE" w:rsidRPr="005D2A5B" w:rsidRDefault="00D712EE" w:rsidP="00D712EE">
      <w:pPr>
        <w:tabs>
          <w:tab w:val="left" w:pos="8928"/>
        </w:tabs>
        <w:spacing w:before="60" w:line="259" w:lineRule="atLeast"/>
        <w:ind w:left="2520"/>
        <w:jc w:val="both"/>
        <w:rPr>
          <w:rFonts w:ascii="Calibri" w:hAnsi="Calibri" w:cs="Calibri"/>
          <w:i/>
          <w:iCs/>
          <w:color w:val="0070C0"/>
          <w:sz w:val="16"/>
          <w:szCs w:val="16"/>
        </w:rPr>
      </w:pPr>
      <w:r w:rsidRPr="005D2A5B">
        <w:rPr>
          <w:sz w:val="20"/>
          <w:szCs w:val="20"/>
        </w:rPr>
        <w:t xml:space="preserve">typ příjemce: PRÁVNICKÁ OSOBA - </w:t>
      </w:r>
      <w:r w:rsidR="0000712D">
        <w:rPr>
          <w:sz w:val="20"/>
          <w:szCs w:val="20"/>
        </w:rPr>
        <w:t>s</w:t>
      </w:r>
      <w:r w:rsidRPr="005D2A5B">
        <w:rPr>
          <w:sz w:val="20"/>
          <w:szCs w:val="20"/>
        </w:rPr>
        <w:t>polečnost s ručením omezeným</w:t>
      </w:r>
    </w:p>
    <w:p w:rsidR="00D712EE" w:rsidRPr="005D2A5B" w:rsidRDefault="00D712EE" w:rsidP="00D712EE">
      <w:pPr>
        <w:tabs>
          <w:tab w:val="left" w:pos="8928"/>
        </w:tabs>
        <w:spacing w:before="60" w:line="259" w:lineRule="atLeast"/>
        <w:ind w:left="2520"/>
        <w:jc w:val="both"/>
        <w:rPr>
          <w:rFonts w:ascii="Calibri" w:hAnsi="Calibri" w:cs="Calibri"/>
          <w:i/>
          <w:iCs/>
          <w:color w:val="0070C0"/>
          <w:sz w:val="16"/>
          <w:szCs w:val="16"/>
        </w:rPr>
      </w:pPr>
      <w:r w:rsidRPr="005D2A5B">
        <w:rPr>
          <w:sz w:val="20"/>
          <w:szCs w:val="20"/>
        </w:rPr>
        <w:t>zastupuje: Mgr.</w:t>
      </w:r>
      <w:r w:rsidR="0000712D">
        <w:rPr>
          <w:sz w:val="20"/>
          <w:szCs w:val="20"/>
        </w:rPr>
        <w:t xml:space="preserve"> </w:t>
      </w:r>
      <w:r w:rsidRPr="005D2A5B">
        <w:rPr>
          <w:sz w:val="20"/>
          <w:szCs w:val="20"/>
        </w:rPr>
        <w:t xml:space="preserve">Juan Ignacio Provecho Lopez, </w:t>
      </w:r>
      <w:r w:rsidR="0000712D">
        <w:rPr>
          <w:sz w:val="20"/>
          <w:szCs w:val="20"/>
        </w:rPr>
        <w:t>j</w:t>
      </w:r>
      <w:r w:rsidRPr="005D2A5B">
        <w:rPr>
          <w:sz w:val="20"/>
          <w:szCs w:val="20"/>
        </w:rPr>
        <w:t>ednatel</w:t>
      </w:r>
    </w:p>
    <w:p w:rsidR="00D712EE" w:rsidRPr="005D2A5B" w:rsidRDefault="00D712EE" w:rsidP="00D712EE">
      <w:pPr>
        <w:tabs>
          <w:tab w:val="left" w:pos="8928"/>
        </w:tabs>
        <w:spacing w:before="60" w:line="259" w:lineRule="atLeast"/>
        <w:ind w:left="2520"/>
        <w:rPr>
          <w:rFonts w:ascii="Calibri" w:hAnsi="Calibri" w:cs="Calibri"/>
          <w:sz w:val="20"/>
          <w:szCs w:val="20"/>
        </w:rPr>
      </w:pPr>
      <w:r w:rsidRPr="005D2A5B">
        <w:rPr>
          <w:sz w:val="20"/>
          <w:szCs w:val="20"/>
        </w:rPr>
        <w:t>bankovní spojení: Česká spořitelna, a.s., č.ú.: 3977600329/0800</w:t>
      </w:r>
    </w:p>
    <w:p w:rsidR="00D712EE" w:rsidRPr="005D2A5B"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5D2A5B">
        <w:rPr>
          <w:sz w:val="20"/>
          <w:szCs w:val="20"/>
        </w:rPr>
        <w:t>zapsaný u:</w:t>
      </w:r>
      <w:r w:rsidR="0000712D">
        <w:rPr>
          <w:sz w:val="20"/>
          <w:szCs w:val="20"/>
        </w:rPr>
        <w:t xml:space="preserve"> KS v</w:t>
      </w:r>
      <w:r w:rsidRPr="005D2A5B">
        <w:rPr>
          <w:sz w:val="20"/>
          <w:szCs w:val="20"/>
        </w:rPr>
        <w:t xml:space="preserve"> Brně, oddíl C, vložka 39830</w:t>
      </w:r>
    </w:p>
    <w:p w:rsidR="00D712EE"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5D2A5B">
        <w:rPr>
          <w:sz w:val="20"/>
          <w:szCs w:val="20"/>
        </w:rPr>
        <w:t>(dále jen „</w:t>
      </w:r>
      <w:r w:rsidRPr="005D2A5B">
        <w:rPr>
          <w:b/>
          <w:bCs/>
          <w:sz w:val="20"/>
          <w:szCs w:val="20"/>
        </w:rPr>
        <w:t>příjemce“</w:t>
      </w:r>
      <w:r w:rsidRPr="005D2A5B">
        <w:rPr>
          <w:sz w:val="20"/>
          <w:szCs w:val="20"/>
        </w:rPr>
        <w:t>)</w:t>
      </w: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8354C0">
      <w:pPr>
        <w:keepNext/>
        <w:tabs>
          <w:tab w:val="left" w:pos="708"/>
          <w:tab w:val="left" w:pos="8928"/>
        </w:tabs>
        <w:spacing w:before="60" w:line="252" w:lineRule="auto"/>
        <w:jc w:val="center"/>
        <w:rPr>
          <w:b/>
          <w:bCs/>
          <w:sz w:val="20"/>
          <w:szCs w:val="20"/>
        </w:rPr>
      </w:pPr>
      <w:r>
        <w:rPr>
          <w:b/>
          <w:bCs/>
          <w:sz w:val="20"/>
          <w:szCs w:val="20"/>
        </w:rPr>
        <w:t>I.</w:t>
      </w:r>
    </w:p>
    <w:p w:rsidR="00D712EE" w:rsidRDefault="00D712EE" w:rsidP="008354C0">
      <w:pPr>
        <w:keepNext/>
        <w:widowControl/>
        <w:tabs>
          <w:tab w:val="left" w:pos="8928"/>
        </w:tabs>
        <w:spacing w:after="60"/>
        <w:jc w:val="center"/>
        <w:rPr>
          <w:b/>
          <w:bCs/>
          <w:sz w:val="20"/>
          <w:szCs w:val="20"/>
        </w:rPr>
      </w:pPr>
      <w:r>
        <w:rPr>
          <w:b/>
          <w:bCs/>
          <w:sz w:val="20"/>
          <w:szCs w:val="20"/>
        </w:rPr>
        <w:t>Předmět smlouvy</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1.1</w:t>
      </w:r>
      <w:r>
        <w:rPr>
          <w:sz w:val="20"/>
          <w:szCs w:val="20"/>
        </w:rPr>
        <w:tab/>
        <w:t xml:space="preserve">Poskytovatel se zavazuje poskytnout příjemci </w:t>
      </w:r>
      <w:r w:rsidRPr="00996918">
        <w:rPr>
          <w:b/>
          <w:sz w:val="20"/>
          <w:szCs w:val="20"/>
        </w:rPr>
        <w:t>INVESTIČNÍ</w:t>
      </w:r>
      <w:r>
        <w:rPr>
          <w:b/>
          <w:bCs/>
          <w:sz w:val="20"/>
          <w:szCs w:val="20"/>
        </w:rPr>
        <w:t xml:space="preserve"> dotaci</w:t>
      </w:r>
      <w:r>
        <w:rPr>
          <w:sz w:val="20"/>
          <w:szCs w:val="20"/>
        </w:rPr>
        <w:t xml:space="preserve"> z Fondu Zlínského kraje (dále jen „dotace“) do výše </w:t>
      </w:r>
      <w:r>
        <w:rPr>
          <w:b/>
          <w:bCs/>
          <w:sz w:val="20"/>
          <w:szCs w:val="20"/>
        </w:rPr>
        <w:t xml:space="preserve">281400,00 Kč </w:t>
      </w:r>
      <w:r>
        <w:rPr>
          <w:sz w:val="20"/>
          <w:szCs w:val="20"/>
        </w:rPr>
        <w:t xml:space="preserve">(slovy: dvěstaosmdesátjedentisícčtyřistakorunčeských), současně však </w:t>
      </w:r>
      <w:r>
        <w:rPr>
          <w:b/>
          <w:bCs/>
          <w:sz w:val="20"/>
          <w:szCs w:val="20"/>
        </w:rPr>
        <w:t xml:space="preserve">maximálně 70,00 % celkových způsobilých výdajů </w:t>
      </w:r>
      <w:r>
        <w:rPr>
          <w:sz w:val="20"/>
          <w:szCs w:val="20"/>
        </w:rPr>
        <w:t xml:space="preserve">projektu na realizaci projektu: </w:t>
      </w:r>
      <w:r w:rsidRPr="003B2108">
        <w:rPr>
          <w:b/>
          <w:sz w:val="20"/>
          <w:szCs w:val="20"/>
        </w:rPr>
        <w:t>„Podpora usměrňování odtoku a vsakování vody v rámci lesních cest “</w:t>
      </w:r>
      <w:r>
        <w:rPr>
          <w:sz w:val="20"/>
          <w:szCs w:val="20"/>
        </w:rPr>
        <w:t xml:space="preserve"> (dále jen „projekt“), evidovaného pod registračním číslem žádosti o poskytnutí dotace </w:t>
      </w:r>
      <w:r w:rsidRPr="003B2108">
        <w:rPr>
          <w:b/>
          <w:sz w:val="20"/>
          <w:szCs w:val="20"/>
        </w:rPr>
        <w:t>RP17-18/091</w:t>
      </w:r>
      <w:r>
        <w:rPr>
          <w:sz w:val="20"/>
          <w:szCs w:val="20"/>
        </w:rPr>
        <w:t>, který je blíže popsán v žádosti o poskytnutí dotace.</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1.2</w:t>
      </w:r>
      <w:r>
        <w:rPr>
          <w:sz w:val="20"/>
          <w:szCs w:val="20"/>
        </w:rPr>
        <w:tab/>
        <w:t>Dotace je poskytována na základě programu RP17-18 Podpora zmírnění následků sucha v lesích, schváleného Radou Zlínského kraje dne 11. 12. 2017 usnesením č. 1070/R30/17 (dále jen „program“).</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8354C0">
      <w:pPr>
        <w:keepNext/>
        <w:tabs>
          <w:tab w:val="left" w:pos="708"/>
          <w:tab w:val="left" w:pos="8928"/>
        </w:tabs>
        <w:spacing w:before="60" w:line="252" w:lineRule="auto"/>
        <w:jc w:val="center"/>
        <w:rPr>
          <w:b/>
          <w:bCs/>
          <w:sz w:val="20"/>
          <w:szCs w:val="20"/>
        </w:rPr>
      </w:pPr>
      <w:r>
        <w:rPr>
          <w:b/>
          <w:bCs/>
          <w:sz w:val="20"/>
          <w:szCs w:val="20"/>
        </w:rPr>
        <w:t>II.</w:t>
      </w:r>
    </w:p>
    <w:p w:rsidR="00D712EE" w:rsidRDefault="00D712EE" w:rsidP="008354C0">
      <w:pPr>
        <w:keepNext/>
        <w:widowControl/>
        <w:tabs>
          <w:tab w:val="left" w:pos="8928"/>
        </w:tabs>
        <w:spacing w:after="60"/>
        <w:jc w:val="center"/>
        <w:rPr>
          <w:b/>
          <w:bCs/>
          <w:sz w:val="20"/>
          <w:szCs w:val="20"/>
        </w:rPr>
      </w:pPr>
      <w:r>
        <w:rPr>
          <w:b/>
          <w:bCs/>
          <w:sz w:val="20"/>
          <w:szCs w:val="20"/>
        </w:rPr>
        <w:t>Doba realizace</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2.1</w:t>
      </w:r>
      <w:r>
        <w:rPr>
          <w:sz w:val="20"/>
          <w:szCs w:val="20"/>
        </w:rPr>
        <w:tab/>
        <w:t>Realizaci projektu lze zahájit nejdříve od 1. 1. 2018</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2.2</w:t>
      </w:r>
      <w:r>
        <w:rPr>
          <w:sz w:val="20"/>
          <w:szCs w:val="20"/>
        </w:rPr>
        <w:tab/>
        <w:t xml:space="preserve">Realizace projektu musí být ukončena nejpozději k datu 31. 10. 2018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2.3</w:t>
      </w:r>
      <w:r>
        <w:rPr>
          <w:sz w:val="20"/>
          <w:szCs w:val="20"/>
        </w:rPr>
        <w:tab/>
        <w:t>V době realizace projektu musí příjemci způsobilé výdaje vzniknout a být jím současně i uhrazeny.</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8354C0">
      <w:pPr>
        <w:keepNext/>
        <w:tabs>
          <w:tab w:val="left" w:pos="708"/>
          <w:tab w:val="left" w:pos="8928"/>
        </w:tabs>
        <w:spacing w:before="60" w:line="252" w:lineRule="auto"/>
        <w:jc w:val="center"/>
        <w:rPr>
          <w:b/>
          <w:bCs/>
          <w:sz w:val="20"/>
          <w:szCs w:val="20"/>
        </w:rPr>
      </w:pPr>
      <w:r>
        <w:rPr>
          <w:b/>
          <w:bCs/>
          <w:sz w:val="20"/>
          <w:szCs w:val="20"/>
        </w:rPr>
        <w:t>III.</w:t>
      </w:r>
    </w:p>
    <w:p w:rsidR="00D712EE" w:rsidRDefault="00D712EE" w:rsidP="008354C0">
      <w:pPr>
        <w:keepNext/>
        <w:widowControl/>
        <w:tabs>
          <w:tab w:val="left" w:pos="8928"/>
        </w:tabs>
        <w:spacing w:after="60"/>
        <w:jc w:val="center"/>
        <w:rPr>
          <w:b/>
          <w:bCs/>
          <w:sz w:val="20"/>
          <w:szCs w:val="20"/>
        </w:rPr>
      </w:pPr>
      <w:r>
        <w:rPr>
          <w:b/>
          <w:bCs/>
          <w:sz w:val="20"/>
          <w:szCs w:val="20"/>
        </w:rPr>
        <w:t xml:space="preserve">Monitorovací indikátory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3.1</w:t>
      </w:r>
      <w:r>
        <w:rPr>
          <w:sz w:val="20"/>
          <w:szCs w:val="20"/>
        </w:rPr>
        <w:tab/>
        <w:t xml:space="preserve">Během realizace projektu se příjemce zavazuje dodržet </w:t>
      </w:r>
      <w:r>
        <w:rPr>
          <w:b/>
          <w:bCs/>
          <w:sz w:val="20"/>
          <w:szCs w:val="20"/>
        </w:rPr>
        <w:t>monitorovací indikátory projektu</w:t>
      </w:r>
      <w:r>
        <w:rPr>
          <w:sz w:val="20"/>
          <w:szCs w:val="20"/>
        </w:rPr>
        <w:t>, jejichž minimální závazné hodnoty jsou uvedeny v následující tabulce, a to nejpozději k datu ukončení realizace projektu:</w:t>
      </w:r>
    </w:p>
    <w:tbl>
      <w:tblPr>
        <w:tblW w:w="4541"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2256"/>
        <w:gridCol w:w="2719"/>
        <w:gridCol w:w="10"/>
      </w:tblGrid>
      <w:tr w:rsidR="00D712EE" w:rsidRPr="0030580C" w:rsidTr="00071D79">
        <w:trPr>
          <w:trHeight w:val="426"/>
        </w:trPr>
        <w:tc>
          <w:tcPr>
            <w:tcW w:w="5000" w:type="pct"/>
            <w:gridSpan w:val="4"/>
            <w:shd w:val="clear" w:color="auto" w:fill="D9D9D9"/>
            <w:vAlign w:val="center"/>
          </w:tcPr>
          <w:p w:rsidR="00D712EE" w:rsidRPr="0030580C" w:rsidRDefault="00D712EE" w:rsidP="00C5080D">
            <w:pPr>
              <w:tabs>
                <w:tab w:val="left" w:pos="360"/>
              </w:tabs>
              <w:jc w:val="center"/>
              <w:rPr>
                <w:rFonts w:eastAsia="Times New Roman"/>
                <w:b/>
                <w:snapToGrid w:val="0"/>
                <w:sz w:val="16"/>
                <w:szCs w:val="16"/>
              </w:rPr>
            </w:pPr>
            <w:r w:rsidRPr="0030580C">
              <w:rPr>
                <w:rFonts w:eastAsia="Times New Roman"/>
                <w:b/>
                <w:snapToGrid w:val="0"/>
                <w:sz w:val="16"/>
                <w:szCs w:val="16"/>
              </w:rPr>
              <w:t>MONITOROVACÍ INDIKÁTORY - VÝSTUPY PROJEKTU</w:t>
            </w:r>
          </w:p>
        </w:tc>
      </w:tr>
      <w:tr w:rsidR="00D712EE" w:rsidRPr="0030580C" w:rsidTr="00071D79">
        <w:tblPrEx>
          <w:tblCellMar>
            <w:left w:w="108" w:type="dxa"/>
            <w:right w:w="108" w:type="dxa"/>
          </w:tblCellMar>
        </w:tblPrEx>
        <w:trPr>
          <w:gridAfter w:val="1"/>
          <w:wAfter w:w="6" w:type="pct"/>
          <w:trHeight w:val="206"/>
        </w:trPr>
        <w:tc>
          <w:tcPr>
            <w:tcW w:w="2125"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Výstup</w:t>
            </w:r>
          </w:p>
        </w:tc>
        <w:tc>
          <w:tcPr>
            <w:tcW w:w="1301"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měrná jednotka</w:t>
            </w:r>
          </w:p>
        </w:tc>
        <w:tc>
          <w:tcPr>
            <w:tcW w:w="1568" w:type="pct"/>
            <w:shd w:val="clear" w:color="auto" w:fill="C0C0C0"/>
            <w:vAlign w:val="center"/>
          </w:tcPr>
          <w:p w:rsidR="00D712EE" w:rsidRPr="0030580C" w:rsidRDefault="00D712EE" w:rsidP="00C5080D">
            <w:pPr>
              <w:jc w:val="center"/>
              <w:rPr>
                <w:rFonts w:eastAsia="Times New Roman"/>
                <w:i/>
                <w:snapToGrid w:val="0"/>
                <w:sz w:val="20"/>
                <w:szCs w:val="20"/>
              </w:rPr>
            </w:pPr>
            <w:r w:rsidRPr="0030580C">
              <w:rPr>
                <w:rFonts w:eastAsia="Times New Roman"/>
                <w:snapToGrid w:val="0"/>
                <w:sz w:val="20"/>
                <w:szCs w:val="20"/>
              </w:rPr>
              <w:t>minimální závazná hodnota</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Počet nově zřízených ostatních částí stavby – rigol, drenáž, zához, rovnanina, opěrná a zárubní zeď, úpravy zářezových i násypových svahů včetně jejich protierozní ochrany</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21,00</w:t>
            </w:r>
          </w:p>
        </w:tc>
      </w:tr>
    </w:tbl>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3.2</w:t>
      </w:r>
      <w:r>
        <w:rPr>
          <w:sz w:val="20"/>
          <w:szCs w:val="20"/>
        </w:rPr>
        <w:tab/>
        <w:t xml:space="preserve">Částečné nenaplnění kteréhokoliv monitorovacího indikátoru uvedeného v tabulce v předchozím </w:t>
      </w:r>
      <w:r w:rsidRPr="00C55F81">
        <w:rPr>
          <w:sz w:val="20"/>
          <w:szCs w:val="20"/>
        </w:rPr>
        <w:t xml:space="preserve">odstavci, maximálně však </w:t>
      </w:r>
      <w:r w:rsidRPr="00C55F81">
        <w:rPr>
          <w:b/>
          <w:bCs/>
          <w:sz w:val="20"/>
          <w:szCs w:val="20"/>
        </w:rPr>
        <w:t>o 5 %</w:t>
      </w:r>
      <w:r w:rsidRPr="00C55F81">
        <w:rPr>
          <w:sz w:val="20"/>
          <w:szCs w:val="20"/>
        </w:rPr>
        <w:t>,</w:t>
      </w:r>
      <w:r w:rsidRPr="00C55F81">
        <w:rPr>
          <w:color w:val="7030A0"/>
          <w:sz w:val="20"/>
          <w:szCs w:val="20"/>
        </w:rPr>
        <w:t xml:space="preserve"> </w:t>
      </w:r>
      <w:r w:rsidRPr="00C55F81">
        <w:rPr>
          <w:sz w:val="20"/>
          <w:szCs w:val="20"/>
        </w:rPr>
        <w:t>zůstane</w:t>
      </w:r>
      <w:r>
        <w:rPr>
          <w:sz w:val="20"/>
          <w:szCs w:val="20"/>
        </w:rPr>
        <w:t>-li zachován účel a smysl projektu, nebude považováno za porušení podmínek smlouvy. V opačném případě se bude jednat o závažné porušení smlouvy poskytovatel je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IV.</w:t>
      </w:r>
    </w:p>
    <w:p w:rsidR="00674276" w:rsidRDefault="00674276" w:rsidP="008354C0">
      <w:pPr>
        <w:keepNext/>
        <w:widowControl/>
        <w:tabs>
          <w:tab w:val="left" w:pos="8928"/>
        </w:tabs>
        <w:spacing w:after="60"/>
        <w:jc w:val="center"/>
        <w:rPr>
          <w:sz w:val="20"/>
          <w:szCs w:val="20"/>
        </w:rPr>
      </w:pPr>
      <w:r>
        <w:rPr>
          <w:b/>
          <w:bCs/>
          <w:sz w:val="20"/>
          <w:szCs w:val="20"/>
        </w:rPr>
        <w:t>Financování projektu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4.1</w:t>
      </w:r>
      <w:r>
        <w:rPr>
          <w:sz w:val="20"/>
          <w:szCs w:val="20"/>
        </w:rPr>
        <w:tab/>
        <w:t xml:space="preserve">Dotace bude příjemci poskytnuta na účet uvedený v záhlaví této smlouvy následujícím způsobem: </w:t>
      </w:r>
    </w:p>
    <w:p w:rsidR="00674276" w:rsidRDefault="00674276" w:rsidP="00071D79">
      <w:pPr>
        <w:tabs>
          <w:tab w:val="left" w:pos="2016"/>
          <w:tab w:val="left" w:pos="3168"/>
          <w:tab w:val="left" w:pos="4320"/>
          <w:tab w:val="left" w:pos="5472"/>
          <w:tab w:val="left" w:pos="6624"/>
          <w:tab w:val="left" w:pos="7560"/>
          <w:tab w:val="left" w:pos="8928"/>
        </w:tabs>
        <w:spacing w:before="48" w:after="120"/>
        <w:ind w:left="993" w:hanging="360"/>
        <w:jc w:val="both"/>
        <w:rPr>
          <w:sz w:val="20"/>
          <w:szCs w:val="20"/>
        </w:rPr>
      </w:pPr>
      <w:r>
        <w:rPr>
          <w:sz w:val="20"/>
          <w:szCs w:val="20"/>
        </w:rPr>
        <w:t>-</w:t>
      </w:r>
      <w:r>
        <w:rPr>
          <w:sz w:val="20"/>
          <w:szCs w:val="20"/>
        </w:rPr>
        <w:tab/>
      </w:r>
      <w:r>
        <w:rPr>
          <w:b/>
          <w:bCs/>
          <w:sz w:val="20"/>
          <w:szCs w:val="20"/>
        </w:rPr>
        <w:t>do 30 pracovních dnů po schválení Závěrečné zprávy s vyúčtováním dotace</w:t>
      </w:r>
      <w:r>
        <w:rPr>
          <w:sz w:val="20"/>
          <w:szCs w:val="20"/>
        </w:rPr>
        <w:t xml:space="preserve"> předložené příjemcem dle odst. 4.3 tohoto článku.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4.2</w:t>
      </w:r>
      <w:r w:rsidRPr="00071D79">
        <w:rPr>
          <w:bCs/>
          <w:sz w:val="20"/>
          <w:szCs w:val="20"/>
        </w:rPr>
        <w:tab/>
      </w:r>
      <w:r>
        <w:rPr>
          <w:b/>
          <w:bCs/>
          <w:sz w:val="20"/>
          <w:szCs w:val="20"/>
        </w:rPr>
        <w:t>Předpokládané celkové způsobilé výdaje</w:t>
      </w:r>
      <w:r>
        <w:rPr>
          <w:sz w:val="20"/>
          <w:szCs w:val="20"/>
        </w:rPr>
        <w:t xml:space="preserve"> projektu činí </w:t>
      </w:r>
      <w:r w:rsidR="00071D79" w:rsidRPr="0030580C">
        <w:rPr>
          <w:sz w:val="20"/>
          <w:szCs w:val="20"/>
        </w:rPr>
        <w:t xml:space="preserve">402000,00 </w:t>
      </w:r>
      <w:r w:rsidR="00071D79">
        <w:rPr>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4.3</w:t>
      </w:r>
      <w:r>
        <w:rPr>
          <w:sz w:val="20"/>
          <w:szCs w:val="20"/>
        </w:rPr>
        <w:tab/>
        <w:t xml:space="preserve">Po skončení skutečné realizace projektu je příjemce povinen předložit Odboru životního prostředí a zemědělství Krajského úřadu Zlínského kraje Závěrečnou zprávu s vyúčtováním dotace, a to nejpozději do </w:t>
      </w:r>
      <w:r>
        <w:rPr>
          <w:b/>
          <w:bCs/>
          <w:sz w:val="20"/>
          <w:szCs w:val="20"/>
        </w:rPr>
        <w:t>2. 11. 2018.</w:t>
      </w:r>
      <w:r>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4.4</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předložení účetních dokladů</w:t>
      </w:r>
      <w:r>
        <w:rPr>
          <w:sz w:val="20"/>
          <w:szCs w:val="20"/>
        </w:rPr>
        <w:t xml:space="preserve"> (tj.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celkových způsobilých výdajů projektu</w:t>
      </w:r>
      <w:r>
        <w:rPr>
          <w:sz w:val="20"/>
          <w:szCs w:val="20"/>
        </w:rPr>
        <w:t xml:space="preserve"> a </w:t>
      </w:r>
      <w:r>
        <w:rPr>
          <w:sz w:val="20"/>
          <w:szCs w:val="20"/>
          <w:u w:val="single"/>
        </w:rPr>
        <w:t>dokladů prokazujících jejich úhradu</w:t>
      </w:r>
      <w:r>
        <w:rPr>
          <w:sz w:val="20"/>
          <w:szCs w:val="20"/>
        </w:rPr>
        <w:t xml:space="preserve"> (tj. výpisy z bankovního účtu, výdajové a příjmové pokladní doklady).</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Formulář Závěrečné zprávy s vyúčtováním bude příjemci zaslán kontaktní osobou poskytovatele nejpozději do 30 dnů od podpisu smlouvy druhou stranou.</w:t>
      </w:r>
    </w:p>
    <w:p w:rsidR="00674276" w:rsidRPr="00A5088D"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Příjemce je povinen společně se závěrečnou zprávou s vyúčtováním dotace předložit následující </w:t>
      </w:r>
      <w:r w:rsidR="00674276" w:rsidRPr="00A5088D">
        <w:rPr>
          <w:sz w:val="20"/>
          <w:szCs w:val="20"/>
        </w:rPr>
        <w:t xml:space="preserve">přílohy, které jsou nedílnou součástí závěrečné zprávy: </w:t>
      </w:r>
    </w:p>
    <w:p w:rsidR="00674276" w:rsidRDefault="00A5088D" w:rsidP="00A5088D">
      <w:pPr>
        <w:tabs>
          <w:tab w:val="left" w:pos="567"/>
          <w:tab w:val="left" w:pos="851"/>
          <w:tab w:val="left" w:pos="4320"/>
          <w:tab w:val="left" w:pos="5472"/>
          <w:tab w:val="left" w:pos="6624"/>
          <w:tab w:val="left" w:pos="7776"/>
          <w:tab w:val="left" w:pos="8928"/>
        </w:tabs>
        <w:spacing w:before="120"/>
        <w:ind w:left="567" w:hanging="567"/>
        <w:jc w:val="both"/>
        <w:rPr>
          <w:sz w:val="20"/>
          <w:szCs w:val="20"/>
        </w:rPr>
      </w:pPr>
      <w:r w:rsidRPr="00A5088D">
        <w:rPr>
          <w:sz w:val="20"/>
          <w:szCs w:val="20"/>
        </w:rPr>
        <w:tab/>
      </w:r>
      <w:r w:rsidR="00674276" w:rsidRPr="00A5088D">
        <w:rPr>
          <w:sz w:val="20"/>
          <w:szCs w:val="20"/>
        </w:rPr>
        <w:t>-</w:t>
      </w:r>
      <w:r w:rsidR="00674276" w:rsidRPr="00A5088D">
        <w:rPr>
          <w:sz w:val="20"/>
          <w:szCs w:val="20"/>
        </w:rPr>
        <w:tab/>
        <w:t>fotodokumentaci předmětných aktivit.</w:t>
      </w:r>
      <w:r w:rsidR="00674276">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4.5</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w:t>
      </w:r>
      <w:r>
        <w:rPr>
          <w:sz w:val="20"/>
          <w:szCs w:val="20"/>
        </w:rPr>
        <w:lastRenderedPageBreak/>
        <w:t xml:space="preserve">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V případě nedodržení účelu dotace či nedoložení prokazatelné úhrady výdajů, je poskytovatel oprávněn vypovědět tuto smlouvu.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4.6</w:t>
      </w:r>
      <w:r>
        <w:rPr>
          <w:sz w:val="20"/>
          <w:szCs w:val="20"/>
        </w:rPr>
        <w:tab/>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Pokud příjemce Závěrečnou zprávu nepředloží ani v dodatečné lhůtě, je poskytovatel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pPr>
        <w:keepNext/>
        <w:tabs>
          <w:tab w:val="left" w:pos="708"/>
          <w:tab w:val="left" w:pos="8928"/>
        </w:tabs>
        <w:spacing w:before="60" w:line="252" w:lineRule="auto"/>
        <w:jc w:val="center"/>
        <w:rPr>
          <w:b/>
          <w:bCs/>
          <w:sz w:val="20"/>
          <w:szCs w:val="20"/>
        </w:rPr>
      </w:pPr>
      <w:r>
        <w:rPr>
          <w:b/>
          <w:bCs/>
          <w:sz w:val="20"/>
          <w:szCs w:val="20"/>
        </w:rPr>
        <w:t>V.</w:t>
      </w:r>
    </w:p>
    <w:p w:rsidR="00674276" w:rsidRDefault="00674276" w:rsidP="008354C0">
      <w:pPr>
        <w:keepNext/>
        <w:widowControl/>
        <w:tabs>
          <w:tab w:val="left" w:pos="8928"/>
        </w:tabs>
        <w:spacing w:after="60"/>
        <w:jc w:val="center"/>
        <w:rPr>
          <w:b/>
          <w:bCs/>
          <w:sz w:val="20"/>
          <w:szCs w:val="20"/>
        </w:rPr>
      </w:pPr>
      <w:r>
        <w:rPr>
          <w:b/>
          <w:bCs/>
          <w:sz w:val="20"/>
          <w:szCs w:val="20"/>
        </w:rPr>
        <w:t>Podmínky použití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5.1</w:t>
      </w:r>
      <w:r>
        <w:rPr>
          <w:sz w:val="20"/>
          <w:szCs w:val="20"/>
        </w:rPr>
        <w:tab/>
        <w:t>Příjemce je oprávněn použít dotaci pouze k účelu uvedenému v článku I.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6"/>
          <w:szCs w:val="6"/>
        </w:rPr>
      </w:pPr>
      <w:r w:rsidRPr="00071D79">
        <w:rPr>
          <w:bCs/>
          <w:sz w:val="20"/>
          <w:szCs w:val="20"/>
        </w:rPr>
        <w:t>5.2</w:t>
      </w:r>
      <w:r w:rsidRPr="00071D79">
        <w:rPr>
          <w:bCs/>
          <w:sz w:val="20"/>
          <w:szCs w:val="20"/>
        </w:rPr>
        <w:tab/>
      </w:r>
      <w:r>
        <w:rPr>
          <w:b/>
          <w:bCs/>
          <w:sz w:val="20"/>
          <w:szCs w:val="20"/>
        </w:rPr>
        <w:t>Způsobilými výdaji</w:t>
      </w:r>
      <w:r>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Způsobilými výdaji jsou</w:t>
      </w:r>
      <w:r w:rsidR="00A5088D">
        <w:rPr>
          <w:sz w:val="20"/>
          <w:szCs w:val="20"/>
        </w:rPr>
        <w:t>:</w:t>
      </w:r>
    </w:p>
    <w:p w:rsidR="00674276" w:rsidRPr="00A5088D" w:rsidRDefault="00A5088D" w:rsidP="00A5088D">
      <w:pPr>
        <w:widowControl/>
        <w:ind w:left="993" w:hanging="360"/>
        <w:jc w:val="both"/>
        <w:rPr>
          <w:sz w:val="20"/>
          <w:szCs w:val="20"/>
        </w:rPr>
      </w:pPr>
      <w:r>
        <w:rPr>
          <w:sz w:val="20"/>
          <w:szCs w:val="20"/>
        </w:rPr>
        <w:t>-</w:t>
      </w:r>
      <w:r w:rsidR="00674276" w:rsidRPr="00A5088D">
        <w:rPr>
          <w:sz w:val="20"/>
          <w:szCs w:val="20"/>
        </w:rPr>
        <w:tab/>
        <w:t>Nákup stavebních prací a služeb souvisejících s rekonstrukcí a doplněním objektů podélného a příčného odvodnění cesty nebo se zřízením ostatních částí stavby nutných pro zajištění stability tělesa cesty uvedených v projektu</w:t>
      </w:r>
    </w:p>
    <w:p w:rsidR="00674276" w:rsidRPr="00A5088D" w:rsidRDefault="00A5088D" w:rsidP="00A5088D">
      <w:pPr>
        <w:widowControl/>
        <w:ind w:left="993" w:hanging="360"/>
        <w:jc w:val="both"/>
        <w:rPr>
          <w:sz w:val="20"/>
          <w:szCs w:val="20"/>
        </w:rPr>
      </w:pPr>
      <w:r>
        <w:rPr>
          <w:sz w:val="20"/>
          <w:szCs w:val="20"/>
        </w:rPr>
        <w:t>-</w:t>
      </w:r>
      <w:r w:rsidR="00674276" w:rsidRPr="00A5088D">
        <w:rPr>
          <w:sz w:val="20"/>
          <w:szCs w:val="20"/>
        </w:rPr>
        <w:tab/>
        <w:t>Nákup materiálu a technických prvků pro rekonstrukce a doplnění objektů podélného a příčného odvodnění cesty nebo na zřízení ostatních částí stavby nutných pro zajištění stability tělesa cesty nebo zachování případně zlepšení kvality vody uvedených v projektu</w:t>
      </w:r>
    </w:p>
    <w:p w:rsidR="00674276" w:rsidRPr="00A5088D" w:rsidRDefault="00A5088D" w:rsidP="00A5088D">
      <w:pPr>
        <w:widowControl/>
        <w:ind w:left="993" w:hanging="360"/>
        <w:jc w:val="both"/>
        <w:rPr>
          <w:sz w:val="20"/>
          <w:szCs w:val="20"/>
        </w:rPr>
      </w:pPr>
      <w:r>
        <w:rPr>
          <w:sz w:val="20"/>
          <w:szCs w:val="20"/>
        </w:rPr>
        <w:t>-</w:t>
      </w:r>
      <w:r w:rsidR="00674276" w:rsidRPr="00A5088D">
        <w:rPr>
          <w:sz w:val="20"/>
          <w:szCs w:val="20"/>
        </w:rPr>
        <w:tab/>
        <w:t>Mzdy a odměny z dohod náklady pracovníků přímo se podílejících na  stavebních pracích (rekonstrukce, doplnění objektů, zřízení ostatních částí stavby), podložené výrobně technickými doklady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A5088D">
        <w:rPr>
          <w:bCs/>
          <w:sz w:val="20"/>
          <w:szCs w:val="20"/>
        </w:rPr>
        <w:t>5.3</w:t>
      </w:r>
      <w:r w:rsidRPr="00A5088D">
        <w:rPr>
          <w:bCs/>
          <w:sz w:val="20"/>
          <w:szCs w:val="20"/>
        </w:rPr>
        <w:tab/>
      </w:r>
      <w:r>
        <w:rPr>
          <w:b/>
          <w:bCs/>
          <w:sz w:val="20"/>
          <w:szCs w:val="20"/>
        </w:rPr>
        <w:t xml:space="preserve">Nezpůsobilými výdaji </w:t>
      </w:r>
      <w:r>
        <w:rPr>
          <w:sz w:val="20"/>
          <w:szCs w:val="20"/>
        </w:rPr>
        <w:t xml:space="preserve">jsou zejména: </w:t>
      </w:r>
    </w:p>
    <w:p w:rsidR="00674276" w:rsidRDefault="00674276" w:rsidP="00071D79">
      <w:pPr>
        <w:widowControl/>
        <w:ind w:left="993" w:hanging="360"/>
        <w:jc w:val="both"/>
        <w:rPr>
          <w:sz w:val="20"/>
          <w:szCs w:val="20"/>
        </w:rPr>
      </w:pPr>
      <w:r>
        <w:rPr>
          <w:sz w:val="20"/>
          <w:szCs w:val="20"/>
        </w:rPr>
        <w:t>-</w:t>
      </w:r>
      <w:r>
        <w:rPr>
          <w:sz w:val="20"/>
          <w:szCs w:val="20"/>
        </w:rPr>
        <w:tab/>
        <w:t>výdaje neuvedené v odst. 5.2.</w:t>
      </w:r>
    </w:p>
    <w:p w:rsidR="00674276" w:rsidRDefault="00674276" w:rsidP="00071D79">
      <w:pPr>
        <w:widowControl/>
        <w:ind w:left="993" w:hanging="360"/>
        <w:jc w:val="both"/>
        <w:rPr>
          <w:sz w:val="20"/>
          <w:szCs w:val="20"/>
        </w:rPr>
      </w:pPr>
      <w:r>
        <w:rPr>
          <w:sz w:val="20"/>
          <w:szCs w:val="20"/>
        </w:rPr>
        <w:t>-</w:t>
      </w:r>
      <w:r>
        <w:rPr>
          <w:sz w:val="20"/>
          <w:szCs w:val="20"/>
        </w:rPr>
        <w:tab/>
        <w:t xml:space="preserve">v čase a místě neobvyklé mzdové či platové výdaje odvody na sociální a zdravotní pojištění zaměstnanců příjemce </w:t>
      </w:r>
    </w:p>
    <w:p w:rsidR="00674276" w:rsidRDefault="00674276" w:rsidP="00071D79">
      <w:pPr>
        <w:widowControl/>
        <w:ind w:left="993" w:hanging="360"/>
        <w:jc w:val="both"/>
        <w:rPr>
          <w:sz w:val="20"/>
          <w:szCs w:val="20"/>
        </w:rPr>
      </w:pPr>
      <w:r>
        <w:rPr>
          <w:sz w:val="20"/>
          <w:szCs w:val="20"/>
        </w:rPr>
        <w:t>-</w:t>
      </w:r>
      <w:r>
        <w:rPr>
          <w:sz w:val="20"/>
          <w:szCs w:val="20"/>
        </w:rPr>
        <w:tab/>
        <w:t xml:space="preserve">výdaje na zaměstnance, ke kterým nejsou zaměstnavatelé povinni dle zvláštních právních předpisů (příspěvky na penzijní/životní pojištění, příspěvky na rekreaci, stravenky apod.) </w:t>
      </w:r>
    </w:p>
    <w:p w:rsidR="00674276" w:rsidRDefault="00674276" w:rsidP="00071D79">
      <w:pPr>
        <w:widowControl/>
        <w:ind w:left="993" w:hanging="360"/>
        <w:jc w:val="both"/>
        <w:rPr>
          <w:sz w:val="20"/>
          <w:szCs w:val="20"/>
        </w:rPr>
      </w:pPr>
      <w:r>
        <w:rPr>
          <w:sz w:val="20"/>
          <w:szCs w:val="20"/>
        </w:rPr>
        <w:t>-</w:t>
      </w:r>
      <w:r>
        <w:rPr>
          <w:sz w:val="20"/>
          <w:szCs w:val="20"/>
        </w:rPr>
        <w:tab/>
        <w:t xml:space="preserve">výdaje na pořádání workshopů, teambuildingů, výjezdních zasedání apod. </w:t>
      </w:r>
    </w:p>
    <w:p w:rsidR="00674276" w:rsidRDefault="00674276" w:rsidP="00071D79">
      <w:pPr>
        <w:widowControl/>
        <w:ind w:left="993" w:hanging="360"/>
        <w:jc w:val="both"/>
        <w:rPr>
          <w:sz w:val="20"/>
          <w:szCs w:val="20"/>
        </w:rPr>
      </w:pPr>
      <w:r>
        <w:rPr>
          <w:sz w:val="20"/>
          <w:szCs w:val="20"/>
        </w:rPr>
        <w:t>-</w:t>
      </w:r>
      <w:r>
        <w:rPr>
          <w:sz w:val="20"/>
          <w:szCs w:val="20"/>
        </w:rPr>
        <w:tab/>
        <w:t>výdaje na školení a kurzy, které nesouvisí s účelem, na který je dotace poskytována</w:t>
      </w:r>
    </w:p>
    <w:p w:rsidR="00674276" w:rsidRDefault="00674276" w:rsidP="00071D79">
      <w:pPr>
        <w:widowControl/>
        <w:ind w:left="993" w:hanging="360"/>
        <w:jc w:val="both"/>
        <w:rPr>
          <w:sz w:val="20"/>
          <w:szCs w:val="20"/>
        </w:rPr>
      </w:pPr>
      <w:r>
        <w:rPr>
          <w:sz w:val="20"/>
          <w:szCs w:val="20"/>
        </w:rPr>
        <w:t>-</w:t>
      </w:r>
      <w:r>
        <w:rPr>
          <w:sz w:val="20"/>
          <w:szCs w:val="20"/>
        </w:rPr>
        <w:tab/>
        <w:t>dlužný úrok, pokuty a finanční sankce</w:t>
      </w:r>
    </w:p>
    <w:p w:rsidR="00674276" w:rsidRDefault="00674276" w:rsidP="00071D79">
      <w:pPr>
        <w:widowControl/>
        <w:ind w:left="993" w:hanging="360"/>
        <w:jc w:val="both"/>
        <w:rPr>
          <w:sz w:val="20"/>
          <w:szCs w:val="20"/>
        </w:rPr>
      </w:pPr>
      <w:r>
        <w:rPr>
          <w:sz w:val="20"/>
          <w:szCs w:val="20"/>
        </w:rPr>
        <w:t>-</w:t>
      </w:r>
      <w:r>
        <w:rPr>
          <w:sz w:val="20"/>
          <w:szCs w:val="20"/>
        </w:rPr>
        <w:tab/>
        <w:t xml:space="preserve">výdaje na přípravné studie nebo jiné přípravné činnosti včetně zpracování Žádosti </w:t>
      </w:r>
    </w:p>
    <w:p w:rsidR="00674276" w:rsidRDefault="00674276" w:rsidP="00071D79">
      <w:pPr>
        <w:widowControl/>
        <w:ind w:left="993" w:hanging="360"/>
        <w:jc w:val="both"/>
        <w:rPr>
          <w:sz w:val="20"/>
          <w:szCs w:val="20"/>
        </w:rPr>
      </w:pPr>
      <w:r>
        <w:rPr>
          <w:sz w:val="20"/>
          <w:szCs w:val="20"/>
        </w:rPr>
        <w:t>-</w:t>
      </w:r>
      <w:r>
        <w:rPr>
          <w:sz w:val="20"/>
          <w:szCs w:val="20"/>
        </w:rPr>
        <w:tab/>
        <w:t xml:space="preserve">nákupy pozemků nebo budov </w:t>
      </w:r>
    </w:p>
    <w:p w:rsidR="00674276" w:rsidRDefault="00674276" w:rsidP="00071D79">
      <w:pPr>
        <w:widowControl/>
        <w:ind w:left="993" w:hanging="360"/>
        <w:jc w:val="both"/>
        <w:rPr>
          <w:sz w:val="20"/>
          <w:szCs w:val="20"/>
        </w:rPr>
      </w:pPr>
      <w:r>
        <w:rPr>
          <w:sz w:val="20"/>
          <w:szCs w:val="20"/>
        </w:rPr>
        <w:t>-</w:t>
      </w:r>
      <w:r>
        <w:rPr>
          <w:sz w:val="20"/>
          <w:szCs w:val="20"/>
        </w:rPr>
        <w:tab/>
        <w:t>výdaje na propagaci a marketing příjemce</w:t>
      </w:r>
    </w:p>
    <w:p w:rsidR="00674276" w:rsidRDefault="00674276" w:rsidP="00071D79">
      <w:pPr>
        <w:widowControl/>
        <w:ind w:left="993" w:hanging="360"/>
        <w:jc w:val="both"/>
        <w:rPr>
          <w:sz w:val="20"/>
          <w:szCs w:val="20"/>
        </w:rPr>
      </w:pPr>
      <w:r>
        <w:rPr>
          <w:sz w:val="20"/>
          <w:szCs w:val="20"/>
        </w:rPr>
        <w:t>-</w:t>
      </w:r>
      <w:r>
        <w:rPr>
          <w:sz w:val="20"/>
          <w:szCs w:val="20"/>
        </w:rPr>
        <w:tab/>
        <w:t>výdaje na publicitu Zlínského kraje</w:t>
      </w:r>
    </w:p>
    <w:p w:rsidR="00674276" w:rsidRDefault="00674276" w:rsidP="00071D79">
      <w:pPr>
        <w:widowControl/>
        <w:ind w:left="993" w:hanging="360"/>
        <w:jc w:val="both"/>
        <w:rPr>
          <w:sz w:val="20"/>
          <w:szCs w:val="20"/>
        </w:rPr>
      </w:pPr>
      <w:r>
        <w:rPr>
          <w:sz w:val="20"/>
          <w:szCs w:val="20"/>
        </w:rPr>
        <w:t>-</w:t>
      </w:r>
      <w:r>
        <w:rPr>
          <w:sz w:val="20"/>
          <w:szCs w:val="20"/>
        </w:rPr>
        <w:tab/>
        <w:t>účetně nedoložitelné výdaje</w:t>
      </w:r>
    </w:p>
    <w:p w:rsidR="00674276" w:rsidRDefault="00674276" w:rsidP="00071D79">
      <w:pPr>
        <w:widowControl/>
        <w:ind w:left="993" w:hanging="360"/>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674276" w:rsidRDefault="00674276" w:rsidP="00071D79">
      <w:pPr>
        <w:widowControl/>
        <w:ind w:left="993" w:hanging="360"/>
        <w:jc w:val="both"/>
        <w:rPr>
          <w:i/>
          <w:iCs/>
          <w:color w:val="0070C0"/>
          <w:sz w:val="16"/>
          <w:szCs w:val="16"/>
        </w:rPr>
      </w:pPr>
      <w:r>
        <w:rPr>
          <w:sz w:val="20"/>
          <w:szCs w:val="20"/>
        </w:rPr>
        <w:t>-</w:t>
      </w:r>
      <w:r>
        <w:rPr>
          <w:sz w:val="20"/>
          <w:szCs w:val="20"/>
        </w:rPr>
        <w:tab/>
        <w:t>výdaje na pohoštění</w:t>
      </w:r>
      <w:r>
        <w:rPr>
          <w:i/>
          <w:iCs/>
          <w:color w:val="0070C0"/>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5.4</w:t>
      </w:r>
      <w:r>
        <w:rPr>
          <w:sz w:val="20"/>
          <w:szCs w:val="20"/>
        </w:rPr>
        <w:tab/>
        <w:t xml:space="preserve">Příjemce je povinen vést o projektu oddělenou účetní evidenci a výkaznictví, a to od zahájení realizace projektu. Musí být jednoznačně prokazatelné, zda konkrétní výdaj nebo příjem je </w:t>
      </w:r>
      <w:r>
        <w:rPr>
          <w:sz w:val="20"/>
          <w:szCs w:val="20"/>
        </w:rPr>
        <w:lastRenderedPageBreak/>
        <w:t>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5.5</w:t>
      </w:r>
      <w:r>
        <w:rPr>
          <w:sz w:val="20"/>
          <w:szCs w:val="20"/>
        </w:rPr>
        <w:tab/>
        <w:t>Ustanovení o dani z přidané hodnoty dle zákona č. 235/2004 Sb., o dani z přidané hodnoty, v platném znění:</w:t>
      </w:r>
    </w:p>
    <w:p w:rsidR="00674276" w:rsidRDefault="00674276" w:rsidP="00071D79">
      <w:pPr>
        <w:widowControl/>
        <w:tabs>
          <w:tab w:val="left" w:pos="8928"/>
        </w:tabs>
        <w:spacing w:before="60"/>
        <w:ind w:left="993"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674276" w:rsidRDefault="00674276" w:rsidP="00071D79">
      <w:pPr>
        <w:widowControl/>
        <w:tabs>
          <w:tab w:val="left" w:pos="8928"/>
        </w:tabs>
        <w:spacing w:before="60"/>
        <w:ind w:left="993"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674276" w:rsidRDefault="00674276" w:rsidP="00071D79">
      <w:pPr>
        <w:widowControl/>
        <w:tabs>
          <w:tab w:val="left" w:pos="8928"/>
        </w:tabs>
        <w:spacing w:before="60"/>
        <w:ind w:left="993"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674276" w:rsidRDefault="00674276" w:rsidP="00071D79">
      <w:pPr>
        <w:widowControl/>
        <w:tabs>
          <w:tab w:val="left" w:pos="8928"/>
        </w:tabs>
        <w:spacing w:before="60"/>
        <w:ind w:left="993"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674276" w:rsidRDefault="00674276" w:rsidP="00071D79">
      <w:pPr>
        <w:widowControl/>
        <w:tabs>
          <w:tab w:val="left" w:pos="8928"/>
        </w:tabs>
        <w:spacing w:before="60"/>
        <w:ind w:left="993"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74276" w:rsidRDefault="00674276" w:rsidP="00071D79">
      <w:pPr>
        <w:widowControl/>
        <w:tabs>
          <w:tab w:val="left" w:pos="8928"/>
        </w:tabs>
        <w:spacing w:before="60"/>
        <w:ind w:left="993"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674276" w:rsidRDefault="00674276" w:rsidP="00071D79">
      <w:pPr>
        <w:widowControl/>
        <w:tabs>
          <w:tab w:val="left" w:pos="8928"/>
        </w:tabs>
        <w:spacing w:before="60"/>
        <w:ind w:left="993"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674276" w:rsidRDefault="00674276">
      <w:pPr>
        <w:tabs>
          <w:tab w:val="left" w:pos="2016"/>
          <w:tab w:val="left" w:pos="3168"/>
          <w:tab w:val="left" w:pos="4320"/>
          <w:tab w:val="left" w:pos="5472"/>
          <w:tab w:val="left" w:pos="6624"/>
          <w:tab w:val="left" w:pos="7776"/>
          <w:tab w:val="left" w:pos="8928"/>
        </w:tabs>
        <w:spacing w:before="60"/>
        <w:ind w:left="1134" w:right="144"/>
        <w:jc w:val="both"/>
        <w:rPr>
          <w:sz w:val="20"/>
          <w:szCs w:val="20"/>
        </w:rPr>
      </w:pPr>
      <w:r>
        <w:rPr>
          <w:sz w:val="20"/>
          <w:szCs w:val="20"/>
        </w:rPr>
        <w:t xml:space="preserve">- vnitřním účetním dokladem s vyčíslením částky DPH,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5.8</w:t>
      </w:r>
      <w:r>
        <w:rPr>
          <w:sz w:val="20"/>
          <w:szCs w:val="20"/>
        </w:rPr>
        <w:tab/>
        <w:t>Příjemce je dále povinen:</w:t>
      </w:r>
    </w:p>
    <w:p w:rsidR="00674276" w:rsidRDefault="00674276">
      <w:pPr>
        <w:widowControl/>
        <w:tabs>
          <w:tab w:val="left" w:pos="8928"/>
        </w:tabs>
        <w:spacing w:before="60"/>
        <w:ind w:left="717" w:hanging="360"/>
        <w:jc w:val="both"/>
        <w:rPr>
          <w:sz w:val="20"/>
          <w:szCs w:val="20"/>
        </w:rPr>
      </w:pPr>
      <w:r>
        <w:rPr>
          <w:sz w:val="20"/>
          <w:szCs w:val="20"/>
        </w:rPr>
        <w:t>a)</w:t>
      </w:r>
      <w:r>
        <w:rPr>
          <w:sz w:val="20"/>
          <w:szCs w:val="20"/>
        </w:rPr>
        <w:tab/>
        <w:t>zajistit, aby všechny údaje, které uvádí poskytovateli, byly vždy úplné a pravdivé,</w:t>
      </w:r>
    </w:p>
    <w:p w:rsidR="00674276" w:rsidRDefault="00674276">
      <w:pPr>
        <w:widowControl/>
        <w:tabs>
          <w:tab w:val="left" w:pos="8928"/>
        </w:tabs>
        <w:spacing w:before="60"/>
        <w:ind w:left="714" w:hanging="357"/>
        <w:jc w:val="both"/>
        <w:rPr>
          <w:sz w:val="20"/>
          <w:szCs w:val="20"/>
        </w:rPr>
      </w:pPr>
      <w:r>
        <w:rPr>
          <w:sz w:val="20"/>
          <w:szCs w:val="20"/>
        </w:rPr>
        <w:lastRenderedPageBreak/>
        <w:t>b)</w:t>
      </w:r>
      <w:r>
        <w:rPr>
          <w:sz w:val="20"/>
          <w:szCs w:val="20"/>
        </w:rPr>
        <w:tab/>
        <w:t>zabezpečit archivaci veškeré dokumentace k projektu, včetně účetnictví o projektu po dobu 10 let ode dne skončení realizace programu,</w:t>
      </w:r>
    </w:p>
    <w:p w:rsidR="00674276" w:rsidRDefault="00674276">
      <w:pPr>
        <w:widowControl/>
        <w:tabs>
          <w:tab w:val="left" w:pos="8928"/>
        </w:tabs>
        <w:spacing w:before="60"/>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674276" w:rsidRDefault="00674276">
      <w:pPr>
        <w:widowControl/>
        <w:tabs>
          <w:tab w:val="left" w:pos="8928"/>
        </w:tabs>
        <w:spacing w:before="72"/>
        <w:ind w:left="717" w:hanging="360"/>
        <w:jc w:val="both"/>
        <w:rPr>
          <w:i/>
          <w:iCs/>
          <w:color w:val="0070C0"/>
          <w:sz w:val="16"/>
          <w:szCs w:val="16"/>
        </w:rPr>
      </w:pPr>
      <w:r>
        <w:rPr>
          <w:sz w:val="20"/>
          <w:szCs w:val="20"/>
        </w:rPr>
        <w:t>d)</w:t>
      </w:r>
      <w:r>
        <w:rPr>
          <w:sz w:val="20"/>
          <w:szCs w:val="20"/>
        </w:rPr>
        <w:tab/>
        <w:t>nezcizit majetek pořízený//opravený na základě této dotace (movité i nemovité věci) nejméně po dobu tří let ode dne jeho pořízení//opravy,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w:t>
      </w:r>
    </w:p>
    <w:p w:rsidR="00674276" w:rsidRPr="005D2A5B" w:rsidRDefault="00674276" w:rsidP="00A5088D">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5D2A5B">
        <w:rPr>
          <w:sz w:val="20"/>
          <w:szCs w:val="20"/>
        </w:rPr>
        <w:t>5.9</w:t>
      </w:r>
      <w:r w:rsidRPr="005D2A5B">
        <w:rPr>
          <w:sz w:val="20"/>
          <w:szCs w:val="20"/>
        </w:rPr>
        <w:tab/>
        <w:t>Příjemce bere na vědomí, že dotace poskytnutá dle této smlouvy je:</w:t>
      </w:r>
    </w:p>
    <w:p w:rsidR="00674276" w:rsidRPr="005D2A5B" w:rsidRDefault="00674276">
      <w:pPr>
        <w:widowControl/>
        <w:tabs>
          <w:tab w:val="left" w:pos="8928"/>
        </w:tabs>
        <w:spacing w:after="120"/>
        <w:ind w:left="757" w:hanging="360"/>
        <w:jc w:val="both"/>
        <w:rPr>
          <w:sz w:val="20"/>
          <w:szCs w:val="20"/>
        </w:rPr>
      </w:pPr>
      <w:r w:rsidRPr="005D2A5B">
        <w:rPr>
          <w:sz w:val="20"/>
          <w:szCs w:val="20"/>
        </w:rPr>
        <w:t>-</w:t>
      </w:r>
      <w:r w:rsidRPr="005D2A5B">
        <w:rPr>
          <w:sz w:val="20"/>
          <w:szCs w:val="20"/>
        </w:rPr>
        <w:tab/>
      </w:r>
      <w:r w:rsidRPr="005D2A5B">
        <w:rPr>
          <w:b/>
          <w:bCs/>
          <w:sz w:val="20"/>
          <w:szCs w:val="20"/>
        </w:rPr>
        <w:t>podporou de minimis</w:t>
      </w:r>
      <w:r w:rsidRPr="005D2A5B">
        <w:rPr>
          <w:sz w:val="20"/>
          <w:szCs w:val="20"/>
        </w:rPr>
        <w:t xml:space="preserve"> ve smyslu Nařízení Komise (EU) č. 1407/2013 ze dne 18.12.2013, o použití článků 107 a 108 Smlouvy o fungování Evropské unie na podporu de minimis (zveřejněno v Úředním věstníku L 352/1 dne 24. 12. 2013);</w:t>
      </w:r>
    </w:p>
    <w:p w:rsidR="00674276" w:rsidRPr="005D2A5B" w:rsidRDefault="00674276" w:rsidP="00A5088D">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5D2A5B">
        <w:rPr>
          <w:sz w:val="20"/>
          <w:szCs w:val="20"/>
        </w:rPr>
        <w:t>5.10</w:t>
      </w:r>
      <w:r w:rsidRPr="005D2A5B">
        <w:rPr>
          <w:sz w:val="20"/>
          <w:szCs w:val="20"/>
        </w:rPr>
        <w:tab/>
        <w:t xml:space="preserve">Příjemce prohlašuje, že on ani subjekty s ním propojené nejsou tzv. podnikem v obtížích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674276" w:rsidRDefault="00A5088D" w:rsidP="00A5088D">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5D2A5B">
        <w:rPr>
          <w:sz w:val="20"/>
          <w:szCs w:val="20"/>
        </w:rPr>
        <w:tab/>
      </w:r>
      <w:r w:rsidR="00674276" w:rsidRPr="005D2A5B">
        <w:rPr>
          <w:sz w:val="20"/>
          <w:szCs w:val="20"/>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VI.</w:t>
      </w:r>
    </w:p>
    <w:p w:rsidR="00674276" w:rsidRDefault="00674276" w:rsidP="008354C0">
      <w:pPr>
        <w:keepNext/>
        <w:widowControl/>
        <w:tabs>
          <w:tab w:val="left" w:pos="8928"/>
        </w:tabs>
        <w:spacing w:after="60"/>
        <w:jc w:val="center"/>
        <w:rPr>
          <w:b/>
          <w:bCs/>
          <w:sz w:val="20"/>
          <w:szCs w:val="20"/>
        </w:rPr>
      </w:pPr>
      <w:r>
        <w:rPr>
          <w:b/>
          <w:bCs/>
          <w:sz w:val="20"/>
          <w:szCs w:val="20"/>
        </w:rPr>
        <w:t>Povinnosti příjemce při zajišťování publicity poskytovatele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6.2</w:t>
      </w:r>
      <w:r>
        <w:rPr>
          <w:sz w:val="20"/>
          <w:szCs w:val="20"/>
        </w:rPr>
        <w:tab/>
        <w:t>Přijetím finančních prostředků z rozpočtu Zlínského kraje dává příjemce souhlas se zveřejněním údajů o aktivitě financované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6.3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6.4</w:t>
      </w:r>
      <w:r>
        <w:rPr>
          <w:sz w:val="20"/>
          <w:szCs w:val="20"/>
        </w:rPr>
        <w:tab/>
        <w:t xml:space="preserve">Konkrétní povinnosti příjemce: </w:t>
      </w:r>
    </w:p>
    <w:p w:rsidR="00674276" w:rsidRDefault="00674276">
      <w:pPr>
        <w:tabs>
          <w:tab w:val="left" w:pos="2016"/>
          <w:tab w:val="left" w:pos="3168"/>
          <w:tab w:val="left" w:pos="4320"/>
          <w:tab w:val="left" w:pos="5472"/>
          <w:tab w:val="left" w:pos="6624"/>
          <w:tab w:val="left" w:pos="7776"/>
          <w:tab w:val="left" w:pos="8928"/>
        </w:tabs>
        <w:ind w:left="814"/>
        <w:jc w:val="both"/>
        <w:rPr>
          <w:sz w:val="20"/>
          <w:szCs w:val="20"/>
        </w:rPr>
      </w:pP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674276" w:rsidRDefault="00674276">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674276" w:rsidRDefault="00674276">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674276" w:rsidRDefault="00674276">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 xml:space="preserve">(doloží se originálem či kopií příslušného článku a informací, kdy byl </w:t>
      </w:r>
      <w:r>
        <w:rPr>
          <w:color w:val="000000"/>
          <w:sz w:val="20"/>
          <w:szCs w:val="20"/>
        </w:rPr>
        <w:lastRenderedPageBreak/>
        <w:t>publikován)</w:t>
      </w:r>
    </w:p>
    <w:p w:rsidR="00674276" w:rsidRDefault="00674276">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674276" w:rsidRDefault="00674276">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674276" w:rsidRDefault="00674276">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674276" w:rsidRDefault="00674276">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674276" w:rsidRDefault="00674276">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674276" w:rsidRDefault="00674276">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674276" w:rsidRDefault="00674276">
      <w:pPr>
        <w:keepNext/>
        <w:tabs>
          <w:tab w:val="left" w:pos="708"/>
          <w:tab w:val="left" w:pos="8928"/>
        </w:tabs>
        <w:spacing w:before="60" w:line="252" w:lineRule="auto"/>
        <w:jc w:val="center"/>
        <w:rPr>
          <w:b/>
          <w:bCs/>
          <w:sz w:val="20"/>
          <w:szCs w:val="20"/>
        </w:rPr>
      </w:pPr>
      <w:r>
        <w:rPr>
          <w:b/>
          <w:bCs/>
          <w:sz w:val="20"/>
          <w:szCs w:val="20"/>
        </w:rPr>
        <w:t>VII.</w:t>
      </w:r>
    </w:p>
    <w:p w:rsidR="00674276" w:rsidRDefault="00674276" w:rsidP="008354C0">
      <w:pPr>
        <w:keepNext/>
        <w:widowControl/>
        <w:tabs>
          <w:tab w:val="left" w:pos="8928"/>
        </w:tabs>
        <w:spacing w:after="60"/>
        <w:jc w:val="center"/>
        <w:rPr>
          <w:b/>
          <w:bCs/>
          <w:sz w:val="20"/>
          <w:szCs w:val="20"/>
        </w:rPr>
      </w:pPr>
      <w:r>
        <w:rPr>
          <w:b/>
          <w:bCs/>
          <w:sz w:val="20"/>
          <w:szCs w:val="20"/>
        </w:rPr>
        <w:t>Sankce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7.1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b/>
          <w:bCs/>
          <w:i/>
          <w:iCs/>
          <w:color w:val="0070C0"/>
          <w:sz w:val="16"/>
          <w:szCs w:val="16"/>
        </w:rPr>
      </w:pPr>
      <w:r>
        <w:rPr>
          <w:sz w:val="20"/>
          <w:szCs w:val="20"/>
        </w:rPr>
        <w:t>7.2</w:t>
      </w:r>
      <w:r>
        <w:rPr>
          <w:sz w:val="20"/>
          <w:szCs w:val="20"/>
        </w:rPr>
        <w:tab/>
        <w:t xml:space="preserve">Porušení povinností uvedených v článku VI.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 poskytnuté dotace.</w:t>
      </w:r>
      <w:r>
        <w:rPr>
          <w:sz w:val="16"/>
          <w:szCs w:val="16"/>
        </w:rPr>
        <w:t xml:space="preserve">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VIII.</w:t>
      </w:r>
    </w:p>
    <w:p w:rsidR="00674276" w:rsidRDefault="00674276" w:rsidP="008354C0">
      <w:pPr>
        <w:keepNext/>
        <w:widowControl/>
        <w:tabs>
          <w:tab w:val="left" w:pos="8928"/>
        </w:tabs>
        <w:spacing w:after="60"/>
        <w:jc w:val="center"/>
        <w:rPr>
          <w:b/>
          <w:bCs/>
          <w:sz w:val="20"/>
          <w:szCs w:val="20"/>
        </w:rPr>
      </w:pPr>
      <w:r>
        <w:rPr>
          <w:b/>
          <w:bCs/>
          <w:sz w:val="20"/>
          <w:szCs w:val="20"/>
        </w:rPr>
        <w:t>Změny podmínek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8.1</w:t>
      </w:r>
      <w:r>
        <w:rPr>
          <w:sz w:val="20"/>
          <w:szCs w:val="20"/>
        </w:rPr>
        <w:tab/>
        <w:t>Příjemci je dána možnost změnit projekt bez předchozího souhlasu poskytovatele za předpokladu, že změny nejsou podstatného charakteru, tj.:</w:t>
      </w:r>
    </w:p>
    <w:p w:rsidR="00674276" w:rsidRDefault="00674276" w:rsidP="00071D79">
      <w:pPr>
        <w:tabs>
          <w:tab w:val="left" w:pos="3338"/>
          <w:tab w:val="left" w:pos="8928"/>
        </w:tabs>
        <w:ind w:left="993" w:hanging="360"/>
        <w:jc w:val="both"/>
        <w:rPr>
          <w:sz w:val="20"/>
          <w:szCs w:val="20"/>
        </w:rPr>
      </w:pPr>
      <w:r>
        <w:rPr>
          <w:sz w:val="20"/>
          <w:szCs w:val="20"/>
        </w:rPr>
        <w:t>a)</w:t>
      </w:r>
      <w:r>
        <w:rPr>
          <w:sz w:val="20"/>
          <w:szCs w:val="20"/>
        </w:rPr>
        <w:tab/>
        <w:t xml:space="preserve">změna banky/bankovního účtu, </w:t>
      </w:r>
    </w:p>
    <w:p w:rsidR="00674276" w:rsidRDefault="00674276" w:rsidP="00071D79">
      <w:pPr>
        <w:tabs>
          <w:tab w:val="left" w:pos="3338"/>
          <w:tab w:val="left" w:pos="8928"/>
        </w:tabs>
        <w:ind w:left="993" w:hanging="360"/>
        <w:jc w:val="both"/>
        <w:rPr>
          <w:sz w:val="20"/>
          <w:szCs w:val="20"/>
        </w:rPr>
      </w:pPr>
      <w:r>
        <w:rPr>
          <w:sz w:val="20"/>
          <w:szCs w:val="20"/>
        </w:rPr>
        <w:t>b)</w:t>
      </w:r>
      <w:r>
        <w:rPr>
          <w:sz w:val="20"/>
          <w:szCs w:val="20"/>
        </w:rPr>
        <w:tab/>
        <w:t xml:space="preserve">změna adresy/sídla příjemce/zřizovatele,  </w:t>
      </w:r>
    </w:p>
    <w:p w:rsidR="00674276" w:rsidRDefault="00674276" w:rsidP="00071D79">
      <w:pPr>
        <w:tabs>
          <w:tab w:val="left" w:pos="3338"/>
          <w:tab w:val="left" w:pos="8928"/>
        </w:tabs>
        <w:ind w:left="993" w:hanging="360"/>
        <w:jc w:val="both"/>
        <w:rPr>
          <w:sz w:val="20"/>
          <w:szCs w:val="20"/>
        </w:rPr>
      </w:pPr>
      <w:r>
        <w:rPr>
          <w:sz w:val="20"/>
          <w:szCs w:val="20"/>
        </w:rPr>
        <w:t>c)</w:t>
      </w:r>
      <w:r>
        <w:rPr>
          <w:sz w:val="20"/>
          <w:szCs w:val="20"/>
        </w:rPr>
        <w:tab/>
        <w:t xml:space="preserve">změna statutárního orgánu/kontaktní osoby, </w:t>
      </w:r>
    </w:p>
    <w:p w:rsidR="00674276" w:rsidRDefault="00674276" w:rsidP="00071D79">
      <w:pPr>
        <w:tabs>
          <w:tab w:val="left" w:pos="3338"/>
          <w:tab w:val="left" w:pos="8928"/>
        </w:tabs>
        <w:ind w:left="993" w:hanging="360"/>
        <w:jc w:val="both"/>
        <w:rPr>
          <w:sz w:val="20"/>
          <w:szCs w:val="20"/>
        </w:rPr>
      </w:pPr>
      <w:r>
        <w:rPr>
          <w:sz w:val="20"/>
          <w:szCs w:val="20"/>
        </w:rPr>
        <w:t>d)</w:t>
      </w:r>
      <w:r>
        <w:rPr>
          <w:sz w:val="20"/>
          <w:szCs w:val="20"/>
        </w:rPr>
        <w:tab/>
        <w:t xml:space="preserve">změna názvu příjemce/zřizovatele, </w:t>
      </w:r>
    </w:p>
    <w:p w:rsidR="00674276" w:rsidRDefault="00674276" w:rsidP="00071D79">
      <w:pPr>
        <w:tabs>
          <w:tab w:val="left" w:pos="3338"/>
          <w:tab w:val="left" w:pos="8928"/>
        </w:tabs>
        <w:ind w:left="993" w:hanging="360"/>
        <w:jc w:val="both"/>
        <w:rPr>
          <w:sz w:val="20"/>
          <w:szCs w:val="20"/>
        </w:rPr>
      </w:pPr>
      <w:r>
        <w:rPr>
          <w:sz w:val="20"/>
          <w:szCs w:val="20"/>
        </w:rPr>
        <w:t>e)</w:t>
      </w:r>
      <w:r>
        <w:rPr>
          <w:sz w:val="20"/>
          <w:szCs w:val="20"/>
        </w:rPr>
        <w:tab/>
        <w:t xml:space="preserve">částečné nenaplnění monitorovacích indikátorů; maximální snížení jednotlivého monitorovacího indikátoru o 5 % u projektů s dotací nad 50 tis. Kč a maximální snížení jednotlivého monitorovacího indikátoru o 30 % u projektů s dotací do 50 tis. Kč, </w:t>
      </w:r>
    </w:p>
    <w:p w:rsidR="00674276" w:rsidRDefault="00674276" w:rsidP="00071D79">
      <w:pPr>
        <w:tabs>
          <w:tab w:val="left" w:pos="3338"/>
          <w:tab w:val="left" w:pos="8928"/>
        </w:tabs>
        <w:ind w:left="993" w:hanging="360"/>
        <w:jc w:val="both"/>
        <w:rPr>
          <w:sz w:val="20"/>
          <w:szCs w:val="20"/>
        </w:rPr>
      </w:pPr>
      <w:r>
        <w:rPr>
          <w:sz w:val="20"/>
          <w:szCs w:val="20"/>
        </w:rPr>
        <w:t>f)</w:t>
      </w:r>
      <w:r>
        <w:rPr>
          <w:sz w:val="20"/>
          <w:szCs w:val="20"/>
        </w:rPr>
        <w:tab/>
        <w:t>změna zdrojů nebo výše podílů těchto zdrojů na financování projektu (s výjimkou dotace od Zlínského kraje),</w:t>
      </w:r>
    </w:p>
    <w:p w:rsidR="00674276" w:rsidRDefault="00674276" w:rsidP="00071D79">
      <w:pPr>
        <w:tabs>
          <w:tab w:val="left" w:pos="3338"/>
          <w:tab w:val="left" w:pos="8928"/>
        </w:tabs>
        <w:ind w:left="993" w:hanging="360"/>
        <w:jc w:val="both"/>
        <w:rPr>
          <w:sz w:val="20"/>
          <w:szCs w:val="20"/>
        </w:rPr>
      </w:pPr>
      <w:r>
        <w:rPr>
          <w:sz w:val="20"/>
          <w:szCs w:val="20"/>
        </w:rPr>
        <w:t>g)</w:t>
      </w:r>
      <w:r>
        <w:rPr>
          <w:sz w:val="20"/>
          <w:szCs w:val="20"/>
        </w:rPr>
        <w:tab/>
        <w:t>změna formy publicity, pokud je v souladu s programem,</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V. odst. 5.7).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lastRenderedPageBreak/>
        <w:t>IX.</w:t>
      </w:r>
    </w:p>
    <w:p w:rsidR="00674276" w:rsidRDefault="00674276" w:rsidP="008354C0">
      <w:pPr>
        <w:keepNext/>
        <w:widowControl/>
        <w:tabs>
          <w:tab w:val="left" w:pos="8928"/>
        </w:tabs>
        <w:spacing w:after="60"/>
        <w:jc w:val="center"/>
        <w:rPr>
          <w:b/>
          <w:bCs/>
          <w:sz w:val="20"/>
          <w:szCs w:val="20"/>
        </w:rPr>
      </w:pPr>
      <w:r>
        <w:rPr>
          <w:b/>
          <w:bCs/>
          <w:sz w:val="20"/>
          <w:szCs w:val="20"/>
        </w:rPr>
        <w:t>Ukončení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w:t>
      </w:r>
      <w:r>
        <w:rPr>
          <w:sz w:val="20"/>
          <w:szCs w:val="20"/>
        </w:rPr>
        <w:tab/>
        <w:t xml:space="preserve">Smlouvu lze ukončit na základě písemné dohody obou smluvních stran nebo písemnou výpovědí smlouvy, a to za podmínek dále stanovených. </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9.2</w:t>
      </w:r>
      <w:r>
        <w:rPr>
          <w:sz w:val="20"/>
          <w:szCs w:val="20"/>
        </w:rPr>
        <w:tab/>
        <w:t>Poskytovatel může smlouvu vypovědět jak před proplacením, tak i po proplacení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9.3</w:t>
      </w:r>
      <w:r>
        <w:rPr>
          <w:sz w:val="20"/>
          <w:szCs w:val="20"/>
        </w:rPr>
        <w:tab/>
        <w:t xml:space="preserve">Výpovědním důvodem je porušení povinností příjemcem stanovených touto smlouvou nebo obecně závaznými právními předpisy, kterého se příjemce dopustí zejména pokud: </w:t>
      </w:r>
    </w:p>
    <w:p w:rsidR="00674276" w:rsidRDefault="00674276" w:rsidP="00071D79">
      <w:pPr>
        <w:widowControl/>
        <w:tabs>
          <w:tab w:val="left" w:pos="8928"/>
        </w:tabs>
        <w:ind w:left="993" w:hanging="360"/>
        <w:jc w:val="both"/>
        <w:rPr>
          <w:sz w:val="20"/>
          <w:szCs w:val="20"/>
        </w:rPr>
      </w:pPr>
      <w:r>
        <w:rPr>
          <w:sz w:val="20"/>
          <w:szCs w:val="20"/>
        </w:rPr>
        <w:t>a)</w:t>
      </w:r>
      <w:r>
        <w:rPr>
          <w:sz w:val="20"/>
          <w:szCs w:val="20"/>
        </w:rPr>
        <w:tab/>
        <w:t xml:space="preserve">svým jednáním poruší rozpočtovou kázeň dle zákona č. 250/2000 Sb., </w:t>
      </w:r>
    </w:p>
    <w:p w:rsidR="00674276" w:rsidRDefault="00674276" w:rsidP="00071D79">
      <w:pPr>
        <w:widowControl/>
        <w:tabs>
          <w:tab w:val="left" w:pos="8928"/>
        </w:tabs>
        <w:ind w:left="993" w:hanging="357"/>
        <w:jc w:val="both"/>
        <w:rPr>
          <w:sz w:val="20"/>
          <w:szCs w:val="20"/>
        </w:rPr>
      </w:pPr>
      <w:r>
        <w:rPr>
          <w:sz w:val="20"/>
          <w:szCs w:val="20"/>
        </w:rPr>
        <w:t>b)</w:t>
      </w:r>
      <w:r>
        <w:rPr>
          <w:sz w:val="20"/>
          <w:szCs w:val="20"/>
        </w:rPr>
        <w:tab/>
        <w:t>poruší pravidla veřejné podpory,</w:t>
      </w:r>
    </w:p>
    <w:p w:rsidR="00674276" w:rsidRDefault="00674276" w:rsidP="00071D79">
      <w:pPr>
        <w:widowControl/>
        <w:tabs>
          <w:tab w:val="left" w:pos="8928"/>
        </w:tabs>
        <w:ind w:left="993"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674276" w:rsidRDefault="00674276" w:rsidP="00071D79">
      <w:pPr>
        <w:widowControl/>
        <w:tabs>
          <w:tab w:val="left" w:pos="8928"/>
        </w:tabs>
        <w:ind w:left="993"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674276" w:rsidRDefault="00674276" w:rsidP="00071D79">
      <w:pPr>
        <w:widowControl/>
        <w:tabs>
          <w:tab w:val="left" w:pos="8928"/>
        </w:tabs>
        <w:ind w:left="993" w:hanging="357"/>
        <w:jc w:val="both"/>
        <w:rPr>
          <w:sz w:val="20"/>
          <w:szCs w:val="20"/>
        </w:rPr>
      </w:pPr>
      <w:r>
        <w:rPr>
          <w:sz w:val="20"/>
          <w:szCs w:val="20"/>
        </w:rPr>
        <w:t>e)</w:t>
      </w:r>
      <w:r>
        <w:rPr>
          <w:sz w:val="20"/>
          <w:szCs w:val="20"/>
        </w:rPr>
        <w:tab/>
        <w:t>uvedl nepravdivé, neúplné nebo zkreslené údaje, na které se váže uzavření této smlouvy,</w:t>
      </w:r>
    </w:p>
    <w:p w:rsidR="00674276" w:rsidRDefault="00674276" w:rsidP="00071D79">
      <w:pPr>
        <w:widowControl/>
        <w:tabs>
          <w:tab w:val="left" w:pos="8928"/>
        </w:tabs>
        <w:ind w:left="993" w:hanging="357"/>
        <w:jc w:val="both"/>
        <w:rPr>
          <w:sz w:val="20"/>
          <w:szCs w:val="20"/>
        </w:rPr>
      </w:pPr>
      <w:r>
        <w:rPr>
          <w:sz w:val="20"/>
          <w:szCs w:val="20"/>
        </w:rPr>
        <w:t>f)</w:t>
      </w:r>
      <w:r>
        <w:rPr>
          <w:sz w:val="20"/>
          <w:szCs w:val="20"/>
        </w:rPr>
        <w:tab/>
        <w:t xml:space="preserve">je v likvidaci, </w:t>
      </w:r>
    </w:p>
    <w:p w:rsidR="00674276" w:rsidRDefault="00674276" w:rsidP="00071D79">
      <w:pPr>
        <w:widowControl/>
        <w:tabs>
          <w:tab w:val="left" w:pos="8928"/>
        </w:tabs>
        <w:ind w:left="993"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674276" w:rsidRDefault="00674276" w:rsidP="00071D79">
      <w:pPr>
        <w:widowControl/>
        <w:tabs>
          <w:tab w:val="left" w:pos="8928"/>
        </w:tabs>
        <w:ind w:left="993" w:hanging="357"/>
        <w:jc w:val="both"/>
        <w:rPr>
          <w:sz w:val="20"/>
          <w:szCs w:val="20"/>
        </w:rPr>
      </w:pPr>
      <w:r>
        <w:rPr>
          <w:sz w:val="20"/>
          <w:szCs w:val="20"/>
        </w:rPr>
        <w:t>h)</w:t>
      </w:r>
      <w:r>
        <w:rPr>
          <w:sz w:val="20"/>
          <w:szCs w:val="20"/>
        </w:rPr>
        <w:tab/>
        <w:t>opakovaně neplní povinnosti stanovené smlouvou, i když byl k jejich nápravě vyzván poskytovatelem,</w:t>
      </w:r>
    </w:p>
    <w:p w:rsidR="00674276" w:rsidRDefault="00674276" w:rsidP="00071D79">
      <w:pPr>
        <w:widowControl/>
        <w:tabs>
          <w:tab w:val="left" w:pos="8928"/>
        </w:tabs>
        <w:ind w:left="993" w:hanging="357"/>
        <w:jc w:val="both"/>
        <w:rPr>
          <w:sz w:val="20"/>
          <w:szCs w:val="20"/>
        </w:rPr>
      </w:pPr>
      <w:r>
        <w:rPr>
          <w:sz w:val="20"/>
          <w:szCs w:val="20"/>
        </w:rPr>
        <w:t>i)</w:t>
      </w:r>
      <w:r>
        <w:rPr>
          <w:sz w:val="20"/>
          <w:szCs w:val="20"/>
        </w:rPr>
        <w:tab/>
        <w:t>nenaplní jednotlivý monitorovací indikátor o více než 5 % v případě projektů s dotací nad 50 tis. Kč nebo o více než 30 % v případě projektů s dotací do 50 tis. Kč,</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9.6</w:t>
      </w:r>
      <w:r>
        <w:rPr>
          <w:sz w:val="20"/>
          <w:szCs w:val="20"/>
        </w:rPr>
        <w:tab/>
        <w:t>Výpověď smlouvy musí být učiněna písemně a musí v ní být uvedeny důvody jejího udělení.</w:t>
      </w:r>
      <w:r w:rsidRPr="00071D79">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9.9</w:t>
      </w:r>
      <w:r>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9.11</w:t>
      </w:r>
      <w:r>
        <w:rPr>
          <w:sz w:val="20"/>
          <w:szCs w:val="20"/>
        </w:rPr>
        <w:tab/>
        <w:t>Dohoda o ukončení smlouvy nabývá účinnosti dnem připsání vrácených peněžních prostředků na účet poskytovatele, nedohodnou-li se smluvní strany jinak.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9.12</w:t>
      </w:r>
      <w:r>
        <w:rPr>
          <w:sz w:val="20"/>
          <w:szCs w:val="20"/>
        </w:rPr>
        <w:tab/>
        <w:t xml:space="preserve">Smlouva zaniká také z důvodů uvedených v § 167 odst. 1 písm. b) až e) zákona č. 500/2004 Sb., správní řád, ve znění pozdějších předpisů. Návrh na zrušení smlouvy musí být učiněn písemně a </w:t>
      </w:r>
      <w:r>
        <w:rPr>
          <w:sz w:val="20"/>
          <w:szCs w:val="20"/>
        </w:rPr>
        <w:lastRenderedPageBreak/>
        <w:t>musí v něm být uvedeny důvody, které vedou k zániku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X.</w:t>
      </w:r>
    </w:p>
    <w:p w:rsidR="00674276" w:rsidRDefault="00674276" w:rsidP="008354C0">
      <w:pPr>
        <w:keepNext/>
        <w:widowControl/>
        <w:tabs>
          <w:tab w:val="left" w:pos="8928"/>
        </w:tabs>
        <w:spacing w:after="60"/>
        <w:jc w:val="center"/>
        <w:rPr>
          <w:b/>
          <w:bCs/>
          <w:sz w:val="20"/>
          <w:szCs w:val="20"/>
        </w:rPr>
      </w:pPr>
      <w:r>
        <w:rPr>
          <w:b/>
          <w:bCs/>
          <w:sz w:val="20"/>
          <w:szCs w:val="20"/>
        </w:rPr>
        <w:t>Závěrečná ustanovení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10.1</w:t>
      </w:r>
      <w:r>
        <w:rPr>
          <w:sz w:val="20"/>
          <w:szCs w:val="20"/>
        </w:rPr>
        <w:tab/>
        <w:t>Jako kontaktní místo poskytovatele se pro účely této smlouvy stanovuje: Krajský úřad Zlínského kraje, životního prostředí a zemědělství, Ing. Marcela Strakošová, tel.: 577 043 369, e-mail: marcela.strakosova@kr-zlinsky.cz.</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10.2</w:t>
      </w:r>
      <w:r>
        <w:rPr>
          <w:sz w:val="20"/>
          <w:szCs w:val="20"/>
        </w:rPr>
        <w:tab/>
        <w:t>V případě rozporu mezi skutečnostmi uvedenými v programu a ustanoveními této smlouvy, se přednostně aplikují ustanovení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10.4</w:t>
      </w:r>
      <w:r>
        <w:rPr>
          <w:sz w:val="20"/>
          <w:szCs w:val="20"/>
        </w:rPr>
        <w:tab/>
        <w:t>Tato smlouva byla uzavřena na základě svobodné vůle, nebyla uzavřena v tísni za nápadně nevýhodných podmínek.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10.5</w:t>
      </w:r>
      <w:r>
        <w:rPr>
          <w:sz w:val="20"/>
          <w:szCs w:val="20"/>
        </w:rPr>
        <w:tab/>
        <w:t>Smlouva je vyhotovena ve třech stejnopisech, z nichž každý má platnost originálu. Dvě vyhotovení obdrží poskytovatel a jedno vyhotovení obdrží příjemce.</w:t>
      </w:r>
    </w:p>
    <w:p w:rsidR="00C55F81" w:rsidRPr="00C55F81"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C55F81">
        <w:rPr>
          <w:sz w:val="20"/>
          <w:szCs w:val="20"/>
        </w:rPr>
        <w:t>10.6</w:t>
      </w:r>
      <w:r w:rsidRPr="00C55F81">
        <w:rPr>
          <w:sz w:val="20"/>
          <w:szCs w:val="20"/>
        </w:rPr>
        <w:tab/>
        <w:t xml:space="preserve">Smlouva podléhá zveřejnění v registru smluv v souladu se zákonem č. 340/2015 Sb., zákon o registru smluv. </w:t>
      </w:r>
    </w:p>
    <w:p w:rsidR="005D2A5B" w:rsidRPr="00C55F81" w:rsidRDefault="00674276" w:rsidP="005D2A5B">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C55F81">
        <w:rPr>
          <w:sz w:val="20"/>
          <w:szCs w:val="20"/>
        </w:rPr>
        <w:t>10.7</w:t>
      </w:r>
      <w:r w:rsidRPr="00C55F81">
        <w:rPr>
          <w:sz w:val="20"/>
          <w:szCs w:val="20"/>
        </w:rPr>
        <w:tab/>
        <w:t xml:space="preserve">Tato smlouva nabývá účinnosti dnem zveřejnění v registru smluv. </w:t>
      </w:r>
    </w:p>
    <w:p w:rsidR="00C55F81" w:rsidRPr="00C55F81" w:rsidRDefault="00C55F81" w:rsidP="005D2A5B">
      <w:pPr>
        <w:tabs>
          <w:tab w:val="left" w:pos="567"/>
          <w:tab w:val="left" w:pos="3168"/>
          <w:tab w:val="left" w:pos="4320"/>
          <w:tab w:val="left" w:pos="5472"/>
          <w:tab w:val="left" w:pos="6624"/>
          <w:tab w:val="left" w:pos="7776"/>
          <w:tab w:val="left" w:pos="8928"/>
        </w:tabs>
        <w:spacing w:before="120"/>
        <w:ind w:left="567" w:hanging="567"/>
        <w:jc w:val="both"/>
        <w:rPr>
          <w:i/>
          <w:iCs/>
          <w:color w:val="7030A0"/>
          <w:sz w:val="16"/>
          <w:szCs w:val="16"/>
        </w:rPr>
      </w:pPr>
    </w:p>
    <w:p w:rsidR="005D2A5B" w:rsidRDefault="005D2A5B" w:rsidP="005D2A5B">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5D2A5B" w:rsidRDefault="005D2A5B" w:rsidP="005D2A5B">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Schváleno orgánem kraje: </w:t>
      </w:r>
      <w:r>
        <w:rPr>
          <w:sz w:val="20"/>
          <w:szCs w:val="20"/>
        </w:rPr>
        <w:tab/>
        <w:t>Zastupitelstvo Zlínského kraje</w:t>
      </w:r>
    </w:p>
    <w:p w:rsidR="005D2A5B" w:rsidRDefault="005D2A5B" w:rsidP="005D2A5B">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Datum jednání a číslo usnesení: </w:t>
      </w:r>
      <w:r>
        <w:rPr>
          <w:sz w:val="20"/>
          <w:szCs w:val="20"/>
        </w:rPr>
        <w:tab/>
        <w:t>23.04.2018, č. usnesení 0330/Z12/18</w:t>
      </w:r>
    </w:p>
    <w:p w:rsidR="005D2A5B" w:rsidRDefault="005D2A5B" w:rsidP="005D2A5B">
      <w:pPr>
        <w:tabs>
          <w:tab w:val="left" w:pos="708"/>
          <w:tab w:val="left" w:pos="8928"/>
        </w:tabs>
        <w:spacing w:line="252" w:lineRule="auto"/>
        <w:jc w:val="both"/>
        <w:rPr>
          <w:sz w:val="20"/>
          <w:szCs w:val="20"/>
        </w:rPr>
      </w:pPr>
    </w:p>
    <w:p w:rsidR="00681DC5" w:rsidRDefault="00681DC5" w:rsidP="00681DC5">
      <w:pPr>
        <w:tabs>
          <w:tab w:val="left" w:pos="4820"/>
        </w:tabs>
        <w:spacing w:before="120"/>
        <w:jc w:val="both"/>
        <w:rPr>
          <w:sz w:val="20"/>
          <w:szCs w:val="20"/>
        </w:rPr>
      </w:pPr>
    </w:p>
    <w:p w:rsidR="00681DC5" w:rsidRDefault="00681DC5" w:rsidP="00681DC5">
      <w:pPr>
        <w:tabs>
          <w:tab w:val="left" w:pos="4820"/>
        </w:tabs>
        <w:spacing w:before="120"/>
        <w:jc w:val="both"/>
        <w:rPr>
          <w:sz w:val="20"/>
          <w:szCs w:val="20"/>
        </w:rPr>
      </w:pPr>
      <w:r>
        <w:rPr>
          <w:sz w:val="20"/>
          <w:szCs w:val="20"/>
        </w:rPr>
        <w:t xml:space="preserve">Zlín, dne </w:t>
      </w:r>
      <w:r w:rsidR="0065466D">
        <w:rPr>
          <w:sz w:val="20"/>
          <w:szCs w:val="20"/>
        </w:rPr>
        <w:t>5.6.2018</w:t>
      </w:r>
      <w:r>
        <w:rPr>
          <w:sz w:val="20"/>
          <w:szCs w:val="20"/>
        </w:rPr>
        <w:tab/>
        <w:t xml:space="preserve">Brno, dne </w:t>
      </w:r>
      <w:r w:rsidR="0065466D">
        <w:rPr>
          <w:sz w:val="20"/>
          <w:szCs w:val="20"/>
        </w:rPr>
        <w:t>17.5.2018</w:t>
      </w:r>
    </w:p>
    <w:p w:rsidR="00681DC5" w:rsidRDefault="00681DC5" w:rsidP="00681DC5">
      <w:pPr>
        <w:tabs>
          <w:tab w:val="left" w:pos="4820"/>
          <w:tab w:val="left" w:pos="5812"/>
          <w:tab w:val="left" w:pos="8928"/>
        </w:tabs>
        <w:spacing w:before="144"/>
        <w:rPr>
          <w:sz w:val="20"/>
          <w:szCs w:val="20"/>
        </w:rPr>
      </w:pPr>
      <w:r>
        <w:rPr>
          <w:sz w:val="20"/>
          <w:szCs w:val="20"/>
        </w:rPr>
        <w:t>za poskytovatele</w:t>
      </w:r>
      <w:r>
        <w:rPr>
          <w:sz w:val="20"/>
          <w:szCs w:val="20"/>
        </w:rPr>
        <w:tab/>
        <w:t>za příjemce</w:t>
      </w: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65466D" w:rsidP="0065466D">
      <w:pPr>
        <w:spacing w:before="144"/>
        <w:ind w:left="360" w:hanging="360"/>
        <w:rPr>
          <w:sz w:val="20"/>
          <w:szCs w:val="20"/>
        </w:rPr>
      </w:pPr>
      <w:r>
        <w:rPr>
          <w:sz w:val="20"/>
          <w:szCs w:val="20"/>
        </w:rPr>
        <w:t>xxxxxxxxxxxxxxxxxx</w:t>
      </w:r>
      <w:r>
        <w:rPr>
          <w:sz w:val="20"/>
          <w:szCs w:val="20"/>
        </w:rPr>
        <w:tab/>
        <w:t xml:space="preserve">                                   xxxxxxxxxxxxxxxxxxxxxxx</w:t>
      </w:r>
    </w:p>
    <w:p w:rsidR="00681DC5" w:rsidRDefault="00681DC5" w:rsidP="00681DC5">
      <w:pPr>
        <w:tabs>
          <w:tab w:val="left" w:pos="4820"/>
          <w:tab w:val="left" w:pos="5670"/>
          <w:tab w:val="left" w:pos="8928"/>
        </w:tabs>
        <w:spacing w:after="60" w:line="252" w:lineRule="auto"/>
        <w:rPr>
          <w:sz w:val="20"/>
          <w:szCs w:val="20"/>
        </w:rPr>
      </w:pPr>
      <w:r>
        <w:rPr>
          <w:sz w:val="20"/>
          <w:szCs w:val="20"/>
        </w:rPr>
        <w:t>......................................</w:t>
      </w:r>
      <w:r>
        <w:rPr>
          <w:sz w:val="20"/>
          <w:szCs w:val="20"/>
        </w:rPr>
        <w:tab/>
        <w:t>.........................................</w:t>
      </w:r>
    </w:p>
    <w:p w:rsidR="00681DC5" w:rsidRDefault="00681DC5" w:rsidP="00681DC5">
      <w:pPr>
        <w:tabs>
          <w:tab w:val="left" w:pos="4820"/>
          <w:tab w:val="left" w:pos="5387"/>
          <w:tab w:val="left" w:pos="8928"/>
        </w:tabs>
        <w:spacing w:after="60" w:line="252" w:lineRule="auto"/>
        <w:rPr>
          <w:sz w:val="20"/>
          <w:szCs w:val="20"/>
        </w:rPr>
      </w:pPr>
      <w:r>
        <w:rPr>
          <w:sz w:val="20"/>
          <w:szCs w:val="20"/>
        </w:rPr>
        <w:t>Jiří Čunek</w:t>
      </w:r>
      <w:r>
        <w:rPr>
          <w:sz w:val="20"/>
          <w:szCs w:val="20"/>
        </w:rPr>
        <w:tab/>
        <w:t>Mgr.  Juan Ignacio Provecho Lopez</w:t>
      </w:r>
    </w:p>
    <w:p w:rsidR="00674276" w:rsidRDefault="00681DC5" w:rsidP="00681DC5">
      <w:pPr>
        <w:tabs>
          <w:tab w:val="left" w:pos="4820"/>
          <w:tab w:val="left" w:pos="5387"/>
          <w:tab w:val="left" w:pos="8928"/>
        </w:tabs>
        <w:spacing w:after="60" w:line="252" w:lineRule="auto"/>
        <w:rPr>
          <w:i/>
          <w:iCs/>
          <w:color w:val="0070C0"/>
          <w:sz w:val="20"/>
          <w:szCs w:val="20"/>
        </w:rPr>
      </w:pPr>
      <w:r>
        <w:rPr>
          <w:sz w:val="20"/>
          <w:szCs w:val="20"/>
        </w:rPr>
        <w:t>hejtman Zlínského kraje</w:t>
      </w:r>
      <w:r>
        <w:rPr>
          <w:sz w:val="20"/>
          <w:szCs w:val="20"/>
        </w:rPr>
        <w:tab/>
      </w:r>
      <w:r w:rsidR="00C61C6C">
        <w:rPr>
          <w:sz w:val="20"/>
          <w:szCs w:val="20"/>
        </w:rPr>
        <w:t>j</w:t>
      </w:r>
      <w:r>
        <w:rPr>
          <w:sz w:val="20"/>
          <w:szCs w:val="20"/>
        </w:rPr>
        <w:t>ednatel</w:t>
      </w:r>
    </w:p>
    <w:sectPr w:rsidR="00674276">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14F" w:rsidRDefault="0054514F">
      <w:r>
        <w:separator/>
      </w:r>
    </w:p>
  </w:endnote>
  <w:endnote w:type="continuationSeparator" w:id="0">
    <w:p w:rsidR="0054514F" w:rsidRDefault="005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A8" w:rsidRDefault="00DE2EA8" w:rsidP="00DE2EA8">
    <w:pPr>
      <w:pStyle w:val="Zpat"/>
      <w:jc w:val="center"/>
    </w:pPr>
    <w:r w:rsidRPr="00DE2EA8">
      <w:rPr>
        <w:sz w:val="16"/>
        <w:szCs w:val="16"/>
      </w:rPr>
      <w:fldChar w:fldCharType="begin"/>
    </w:r>
    <w:r w:rsidRPr="00DE2EA8">
      <w:rPr>
        <w:sz w:val="16"/>
        <w:szCs w:val="16"/>
      </w:rPr>
      <w:instrText>PAGE   \* MERGEFORMAT</w:instrText>
    </w:r>
    <w:r w:rsidRPr="00DE2EA8">
      <w:rPr>
        <w:sz w:val="16"/>
        <w:szCs w:val="16"/>
      </w:rPr>
      <w:fldChar w:fldCharType="separate"/>
    </w:r>
    <w:r w:rsidR="00FA2137">
      <w:rPr>
        <w:noProof/>
        <w:sz w:val="16"/>
        <w:szCs w:val="16"/>
      </w:rPr>
      <w:t>1</w:t>
    </w:r>
    <w:r w:rsidRPr="00DE2EA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14F" w:rsidRDefault="0054514F">
      <w:r>
        <w:separator/>
      </w:r>
    </w:p>
  </w:footnote>
  <w:footnote w:type="continuationSeparator" w:id="0">
    <w:p w:rsidR="0054514F" w:rsidRDefault="0054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E"/>
    <w:rsid w:val="0000712D"/>
    <w:rsid w:val="00071D79"/>
    <w:rsid w:val="00250306"/>
    <w:rsid w:val="0030580C"/>
    <w:rsid w:val="00371A1B"/>
    <w:rsid w:val="003B2108"/>
    <w:rsid w:val="00503696"/>
    <w:rsid w:val="0054514F"/>
    <w:rsid w:val="005D2A5B"/>
    <w:rsid w:val="0065466D"/>
    <w:rsid w:val="00674276"/>
    <w:rsid w:val="00681DC5"/>
    <w:rsid w:val="006C145C"/>
    <w:rsid w:val="00727EAC"/>
    <w:rsid w:val="00813BE7"/>
    <w:rsid w:val="008354C0"/>
    <w:rsid w:val="00996918"/>
    <w:rsid w:val="00A5088D"/>
    <w:rsid w:val="00B964C1"/>
    <w:rsid w:val="00C5080D"/>
    <w:rsid w:val="00C52FF5"/>
    <w:rsid w:val="00C55F81"/>
    <w:rsid w:val="00C61C6C"/>
    <w:rsid w:val="00D0732F"/>
    <w:rsid w:val="00D712EE"/>
    <w:rsid w:val="00DE2EA8"/>
    <w:rsid w:val="00ED183A"/>
    <w:rsid w:val="00FA2137"/>
  </w:rsids>
  <m:mathPr>
    <m:mathFont m:val="Cambria Math"/>
    <m:brkBin m:val="before"/>
    <m:brkBinSub m:val="--"/>
    <m:smallFrac/>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0CCFC6-EE0E-4A85-8443-CCED2B37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color w:val="2E74B5" w:themeColor="accent1" w:themeShade="BF"/>
      <w:sz w:val="32"/>
      <w:szCs w:val="32"/>
    </w:rPr>
  </w:style>
  <w:style w:type="paragraph" w:styleId="Zpat">
    <w:name w:val="footer"/>
    <w:basedOn w:val="Normln"/>
    <w:link w:val="ZpatChar"/>
    <w:uiPriority w:val="99"/>
    <w:unhideWhenUsed/>
    <w:rsid w:val="00681DC5"/>
    <w:pPr>
      <w:tabs>
        <w:tab w:val="center" w:pos="4536"/>
        <w:tab w:val="right" w:pos="9072"/>
      </w:tabs>
    </w:pPr>
  </w:style>
  <w:style w:type="character" w:customStyle="1" w:styleId="ZpatChar">
    <w:name w:val="Zápatí Char"/>
    <w:basedOn w:val="Standardnpsmoodstavce"/>
    <w:link w:val="Zpat"/>
    <w:uiPriority w:val="99"/>
    <w:locked/>
    <w:rsid w:val="00681DC5"/>
    <w:rPr>
      <w:rFonts w:ascii="Arial" w:hAnsi="Arial" w:cs="Arial"/>
      <w:sz w:val="24"/>
      <w:szCs w:val="24"/>
    </w:rPr>
  </w:style>
  <w:style w:type="paragraph" w:styleId="Textbubliny">
    <w:name w:val="Balloon Text"/>
    <w:basedOn w:val="Normln"/>
    <w:link w:val="TextbublinyChar"/>
    <w:uiPriority w:val="99"/>
    <w:semiHidden/>
    <w:unhideWhenUsed/>
    <w:rsid w:val="00C61C6C"/>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61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3489</Words>
  <Characters>20587</Characters>
  <Application>Microsoft Office Word</Application>
  <DocSecurity>0</DocSecurity>
  <Lines>171</Lines>
  <Paragraphs>48</Paragraphs>
  <ScaleCrop>false</ScaleCrop>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Neckařová Martina</cp:lastModifiedBy>
  <cp:revision>2</cp:revision>
  <cp:lastPrinted>2018-05-14T10:40:00Z</cp:lastPrinted>
  <dcterms:created xsi:type="dcterms:W3CDTF">2018-06-05T10:20:00Z</dcterms:created>
  <dcterms:modified xsi:type="dcterms:W3CDTF">2018-06-05T10:20:00Z</dcterms:modified>
</cp:coreProperties>
</file>