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D/2075/2018/ŽPZE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Arcibiskupské lesy a statky Olomouc s.r.o.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sídlo: Wurmova 562/9, 77900 Olomouc</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01559109</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typ příjemce: PRÁVNICKÁ OSOBA - Společnost s ručením omezeným</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zastupuje: Ing. Petr Skočdopole, </w:t>
      </w:r>
      <w:r w:rsidR="00576333">
        <w:rPr>
          <w:sz w:val="20"/>
          <w:szCs w:val="20"/>
        </w:rPr>
        <w:t>j</w:t>
      </w:r>
      <w:r w:rsidRPr="00E47C4B">
        <w:rPr>
          <w:sz w:val="20"/>
          <w:szCs w:val="20"/>
        </w:rPr>
        <w:t>ednatel</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bankovní spojení: UniCredit Bank Czech Republic, a.s., č.ú.: 2108737273/2700</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zapsaný u: V Ostravě, oddíl C, vložka 56130</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182000,00 Kč </w:t>
      </w:r>
      <w:r>
        <w:rPr>
          <w:sz w:val="20"/>
          <w:szCs w:val="20"/>
        </w:rPr>
        <w:t xml:space="preserve">(slovy: jednostoosmdesátdvatisícekorunčeských),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RP17-18/054</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lastRenderedPageBreak/>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570,00</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Množství ošetřeného dříví proti hmyzím škůdcům nejpozději na odvozním místě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m3</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2200,00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BB4B95">
        <w:rPr>
          <w:sz w:val="20"/>
          <w:szCs w:val="20"/>
        </w:rPr>
        <w:t xml:space="preserve">, maximálně však </w:t>
      </w:r>
      <w:r w:rsidRPr="00BB4B95">
        <w:rPr>
          <w:b/>
          <w:bCs/>
          <w:sz w:val="20"/>
          <w:szCs w:val="20"/>
        </w:rPr>
        <w:t>o 5 %</w:t>
      </w:r>
      <w:r w:rsidRPr="00BB4B95">
        <w:rPr>
          <w:sz w:val="20"/>
          <w:szCs w:val="20"/>
        </w:rPr>
        <w:t>,</w:t>
      </w:r>
      <w:r>
        <w:rPr>
          <w:color w:val="7030A0"/>
          <w:sz w:val="20"/>
          <w:szCs w:val="20"/>
        </w:rPr>
        <w:t xml:space="preserve"> </w:t>
      </w:r>
      <w:r>
        <w:rPr>
          <w:sz w:val="20"/>
          <w:szCs w:val="20"/>
        </w:rPr>
        <w:t>zůstane-li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182000,00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lastRenderedPageBreak/>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w:t>
      </w:r>
      <w:r>
        <w:rPr>
          <w:sz w:val="20"/>
          <w:szCs w:val="20"/>
        </w:rPr>
        <w:lastRenderedPageBreak/>
        <w:t xml:space="preserve">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8.2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w:t>
      </w:r>
      <w:r>
        <w:rPr>
          <w:sz w:val="20"/>
          <w:szCs w:val="20"/>
        </w:rPr>
        <w:lastRenderedPageBreak/>
        <w:t xml:space="preserve">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BB4B95" w:rsidRPr="00EA27C7"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EA27C7">
        <w:rPr>
          <w:sz w:val="20"/>
          <w:szCs w:val="20"/>
        </w:rPr>
        <w:t>10.6</w:t>
      </w:r>
      <w:r w:rsidRPr="00EA27C7">
        <w:rPr>
          <w:sz w:val="20"/>
          <w:szCs w:val="20"/>
        </w:rPr>
        <w:tab/>
        <w:t xml:space="preserve">Smlouva podléhá zveřejnění v registru smluv v souladu se zákonem č. 340/2015 Sb., zákon o registru smluv. </w:t>
      </w:r>
    </w:p>
    <w:p w:rsidR="00674276" w:rsidRPr="00EA27C7"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EA27C7">
        <w:rPr>
          <w:sz w:val="20"/>
          <w:szCs w:val="20"/>
        </w:rPr>
        <w:t>10.7</w:t>
      </w:r>
      <w:r w:rsidRPr="00EA27C7">
        <w:rPr>
          <w:sz w:val="20"/>
          <w:szCs w:val="20"/>
        </w:rPr>
        <w:tab/>
        <w:t xml:space="preserve">Tato smlouva nabývá účinnosti dnem zveřejnění v registru smluv. </w:t>
      </w:r>
    </w:p>
    <w:p w:rsidR="003F60E8" w:rsidRDefault="003F60E8"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highlight w:val="yellow"/>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6E5F39">
        <w:rPr>
          <w:sz w:val="20"/>
          <w:szCs w:val="20"/>
        </w:rPr>
        <w:t>5.6.2018</w:t>
      </w:r>
      <w:r>
        <w:rPr>
          <w:sz w:val="20"/>
          <w:szCs w:val="20"/>
        </w:rPr>
        <w:tab/>
        <w:t xml:space="preserve">Olomouc, dne </w:t>
      </w:r>
      <w:r w:rsidR="006E5F39">
        <w:rPr>
          <w:sz w:val="20"/>
          <w:szCs w:val="20"/>
        </w:rPr>
        <w:t>18.5.2018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E5F39" w:rsidP="006E5F39">
      <w:pPr>
        <w:tabs>
          <w:tab w:val="center" w:pos="4703"/>
        </w:tabs>
        <w:spacing w:before="144"/>
        <w:ind w:left="360" w:hanging="360"/>
        <w:rPr>
          <w:sz w:val="20"/>
          <w:szCs w:val="20"/>
        </w:rPr>
      </w:pPr>
      <w:r>
        <w:rPr>
          <w:sz w:val="20"/>
          <w:szCs w:val="20"/>
        </w:rPr>
        <w:t>xxxxxxxxxxxxxxxxxxxxxxxx</w:t>
      </w:r>
      <w:r>
        <w:rPr>
          <w:sz w:val="20"/>
          <w:szCs w:val="20"/>
        </w:rPr>
        <w:tab/>
        <w:t xml:space="preserve">                              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Ing. Petr Skočdopole</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r>
      <w:r w:rsidR="00576333">
        <w:rPr>
          <w:sz w:val="20"/>
          <w:szCs w:val="20"/>
        </w:rPr>
        <w:t>j</w:t>
      </w:r>
      <w:r>
        <w:rPr>
          <w:sz w:val="20"/>
          <w:szCs w:val="20"/>
        </w:rPr>
        <w:t>ednatel</w:t>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E8" w:rsidRDefault="006E07E8">
      <w:r>
        <w:separator/>
      </w:r>
    </w:p>
  </w:endnote>
  <w:endnote w:type="continuationSeparator" w:id="0">
    <w:p w:rsidR="006E07E8" w:rsidRDefault="006E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E10104">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E8" w:rsidRDefault="006E07E8">
      <w:r>
        <w:separator/>
      </w:r>
    </w:p>
  </w:footnote>
  <w:footnote w:type="continuationSeparator" w:id="0">
    <w:p w:rsidR="006E07E8" w:rsidRDefault="006E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71D79"/>
    <w:rsid w:val="00177177"/>
    <w:rsid w:val="00196F94"/>
    <w:rsid w:val="0030580C"/>
    <w:rsid w:val="003B2108"/>
    <w:rsid w:val="003F60E8"/>
    <w:rsid w:val="00422A62"/>
    <w:rsid w:val="00503696"/>
    <w:rsid w:val="00576333"/>
    <w:rsid w:val="00674276"/>
    <w:rsid w:val="00681DC5"/>
    <w:rsid w:val="006A60AE"/>
    <w:rsid w:val="006E07E8"/>
    <w:rsid w:val="006E5F39"/>
    <w:rsid w:val="007A18F6"/>
    <w:rsid w:val="00860DA8"/>
    <w:rsid w:val="00996918"/>
    <w:rsid w:val="00AE6561"/>
    <w:rsid w:val="00BB4B95"/>
    <w:rsid w:val="00C5080D"/>
    <w:rsid w:val="00D712EE"/>
    <w:rsid w:val="00DE2EA8"/>
    <w:rsid w:val="00E10104"/>
    <w:rsid w:val="00E47C4B"/>
    <w:rsid w:val="00EA27C7"/>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54E4E5-4484-49EC-AE3D-FEA3DC2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57633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576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3681</Words>
  <Characters>21723</Characters>
  <Application>Microsoft Office Word</Application>
  <DocSecurity>0</DocSecurity>
  <Lines>181</Lines>
  <Paragraphs>50</Paragraphs>
  <ScaleCrop>false</ScaleCrop>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2018-05-10T08:22:00Z</cp:lastPrinted>
  <dcterms:created xsi:type="dcterms:W3CDTF">2018-06-05T10:21:00Z</dcterms:created>
  <dcterms:modified xsi:type="dcterms:W3CDTF">2018-06-05T10:21:00Z</dcterms:modified>
</cp:coreProperties>
</file>