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EE" w:rsidRDefault="00D712EE" w:rsidP="00D712EE">
      <w:pPr>
        <w:tabs>
          <w:tab w:val="left" w:pos="2016"/>
          <w:tab w:val="left" w:pos="3168"/>
          <w:tab w:val="left" w:pos="4320"/>
          <w:tab w:val="left" w:pos="5472"/>
          <w:tab w:val="left" w:pos="6624"/>
          <w:tab w:val="left" w:pos="7776"/>
          <w:tab w:val="left" w:pos="8928"/>
        </w:tabs>
        <w:jc w:val="center"/>
        <w:rPr>
          <w:b/>
          <w:bCs/>
          <w:sz w:val="28"/>
          <w:szCs w:val="28"/>
        </w:rPr>
      </w:pPr>
      <w:bookmarkStart w:id="0" w:name="_GoBack"/>
      <w:bookmarkEnd w:id="0"/>
      <w:r>
        <w:rPr>
          <w:b/>
          <w:bCs/>
          <w:sz w:val="28"/>
          <w:szCs w:val="28"/>
        </w:rPr>
        <w:t xml:space="preserve">Smlouva o poskytnutí dotace </w:t>
      </w:r>
    </w:p>
    <w:p w:rsidR="00D712EE" w:rsidRDefault="00D712EE" w:rsidP="00D712EE">
      <w:pPr>
        <w:widowControl/>
        <w:tabs>
          <w:tab w:val="left" w:pos="8928"/>
        </w:tabs>
        <w:spacing w:before="120" w:after="120" w:line="252" w:lineRule="auto"/>
        <w:jc w:val="center"/>
        <w:rPr>
          <w:i/>
          <w:iCs/>
          <w:sz w:val="20"/>
          <w:szCs w:val="20"/>
        </w:rPr>
      </w:pPr>
      <w:r>
        <w:rPr>
          <w:b/>
          <w:bCs/>
          <w:sz w:val="22"/>
          <w:szCs w:val="22"/>
        </w:rPr>
        <w:t>č</w:t>
      </w:r>
      <w:r w:rsidRPr="00503696">
        <w:rPr>
          <w:b/>
          <w:bCs/>
          <w:sz w:val="22"/>
          <w:szCs w:val="22"/>
        </w:rPr>
        <w:t>. D/2047/2018/ŽPZE</w:t>
      </w:r>
    </w:p>
    <w:p w:rsidR="00D712EE" w:rsidRDefault="00D712EE" w:rsidP="00D712EE">
      <w:pPr>
        <w:widowControl/>
        <w:tabs>
          <w:tab w:val="left" w:pos="8928"/>
        </w:tabs>
        <w:spacing w:before="72" w:after="120" w:line="252" w:lineRule="auto"/>
        <w:jc w:val="center"/>
      </w:pPr>
      <w:r>
        <w:rPr>
          <w:sz w:val="20"/>
          <w:szCs w:val="20"/>
        </w:rPr>
        <w:t>(uzavřená dle § 159 a násl. zákona č. 500/2004 Sb., správní řád, ve znění pozdějších předpisů)</w:t>
      </w:r>
    </w:p>
    <w:p w:rsidR="00D712EE" w:rsidRDefault="00D712EE" w:rsidP="00D712EE">
      <w:pPr>
        <w:widowControl/>
        <w:tabs>
          <w:tab w:val="left" w:pos="8928"/>
        </w:tabs>
        <w:spacing w:before="144" w:after="60" w:line="252" w:lineRule="auto"/>
        <w:jc w:val="both"/>
        <w:rPr>
          <w:sz w:val="20"/>
          <w:szCs w:val="20"/>
        </w:rPr>
      </w:pPr>
    </w:p>
    <w:p w:rsidR="00D712EE" w:rsidRDefault="00D712EE" w:rsidP="00D712EE">
      <w:pPr>
        <w:tabs>
          <w:tab w:val="left" w:pos="426"/>
          <w:tab w:val="left" w:pos="2552"/>
          <w:tab w:val="left" w:pos="3168"/>
          <w:tab w:val="left" w:pos="4320"/>
          <w:tab w:val="left" w:pos="5472"/>
          <w:tab w:val="left" w:pos="6624"/>
          <w:tab w:val="left" w:pos="7776"/>
          <w:tab w:val="left" w:pos="8928"/>
        </w:tabs>
        <w:spacing w:before="60"/>
        <w:jc w:val="both"/>
        <w:rPr>
          <w:b/>
          <w:bCs/>
          <w:sz w:val="20"/>
          <w:szCs w:val="20"/>
        </w:rPr>
      </w:pPr>
      <w:r>
        <w:rPr>
          <w:sz w:val="20"/>
          <w:szCs w:val="20"/>
        </w:rPr>
        <w:t>Poskytovatel dotace:</w:t>
      </w:r>
      <w:r>
        <w:rPr>
          <w:sz w:val="20"/>
          <w:szCs w:val="20"/>
        </w:rPr>
        <w:tab/>
      </w:r>
      <w:r>
        <w:rPr>
          <w:b/>
          <w:bCs/>
          <w:sz w:val="20"/>
          <w:szCs w:val="20"/>
        </w:rPr>
        <w:t xml:space="preserve">Zlínský kraj </w:t>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se sídlem ve Zlíně, tř. T. Bati 21, PSČ 761 90</w:t>
      </w:r>
    </w:p>
    <w:p w:rsidR="00D712EE" w:rsidRDefault="00D712EE" w:rsidP="00D712EE">
      <w:pPr>
        <w:tabs>
          <w:tab w:val="left" w:pos="2016"/>
          <w:tab w:val="left" w:pos="3168"/>
          <w:tab w:val="left" w:pos="4320"/>
          <w:tab w:val="left" w:pos="5472"/>
          <w:tab w:val="right" w:pos="9072"/>
        </w:tabs>
        <w:spacing w:before="60"/>
        <w:ind w:left="2552"/>
        <w:jc w:val="both"/>
        <w:rPr>
          <w:sz w:val="20"/>
          <w:szCs w:val="20"/>
        </w:rPr>
      </w:pPr>
      <w:r>
        <w:rPr>
          <w:sz w:val="20"/>
          <w:szCs w:val="20"/>
        </w:rPr>
        <w:t>zastupuje: Jiří Čunek, hejtman</w:t>
      </w:r>
      <w:r>
        <w:rPr>
          <w:sz w:val="20"/>
          <w:szCs w:val="20"/>
        </w:rPr>
        <w:tab/>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IČ: 70891320</w:t>
      </w:r>
    </w:p>
    <w:p w:rsidR="00D712EE" w:rsidRDefault="00D712EE" w:rsidP="00D712EE">
      <w:pPr>
        <w:widowControl/>
        <w:tabs>
          <w:tab w:val="left" w:pos="8928"/>
        </w:tabs>
        <w:spacing w:before="60" w:line="252" w:lineRule="auto"/>
        <w:ind w:left="2520"/>
        <w:rPr>
          <w:sz w:val="20"/>
          <w:szCs w:val="20"/>
        </w:rPr>
      </w:pPr>
      <w:r>
        <w:rPr>
          <w:sz w:val="20"/>
          <w:szCs w:val="20"/>
        </w:rPr>
        <w:t>bankovní spojení: Česká spořitelna, a.s.</w:t>
      </w:r>
    </w:p>
    <w:p w:rsidR="00D712EE" w:rsidRDefault="00D712EE" w:rsidP="00D712EE">
      <w:pPr>
        <w:widowControl/>
        <w:tabs>
          <w:tab w:val="left" w:pos="8928"/>
        </w:tabs>
        <w:spacing w:before="60" w:line="252" w:lineRule="auto"/>
        <w:ind w:left="2520"/>
        <w:rPr>
          <w:i/>
          <w:iCs/>
          <w:color w:val="0070C0"/>
          <w:sz w:val="16"/>
          <w:szCs w:val="16"/>
        </w:rPr>
      </w:pPr>
      <w:r>
        <w:rPr>
          <w:sz w:val="20"/>
          <w:szCs w:val="20"/>
        </w:rPr>
        <w:t>č. ú. 1827552/0800</w:t>
      </w:r>
    </w:p>
    <w:p w:rsidR="00D712EE" w:rsidRDefault="00D712EE" w:rsidP="00D712EE">
      <w:pPr>
        <w:widowControl/>
        <w:tabs>
          <w:tab w:val="left" w:pos="8928"/>
        </w:tabs>
        <w:spacing w:before="60" w:line="252" w:lineRule="auto"/>
        <w:ind w:left="2520"/>
        <w:rPr>
          <w:sz w:val="20"/>
          <w:szCs w:val="20"/>
        </w:rPr>
      </w:pPr>
      <w:r>
        <w:rPr>
          <w:sz w:val="20"/>
          <w:szCs w:val="20"/>
        </w:rPr>
        <w:t>(dále jen „</w:t>
      </w:r>
      <w:r>
        <w:rPr>
          <w:b/>
          <w:bCs/>
          <w:sz w:val="20"/>
          <w:szCs w:val="20"/>
        </w:rPr>
        <w:t>poskytovatel“</w:t>
      </w:r>
      <w:r>
        <w:rPr>
          <w:sz w:val="20"/>
          <w:szCs w:val="20"/>
        </w:rPr>
        <w:t>)</w:t>
      </w:r>
    </w:p>
    <w:p w:rsidR="00D712EE" w:rsidRDefault="00D712EE" w:rsidP="00D712EE">
      <w:pPr>
        <w:tabs>
          <w:tab w:val="left" w:pos="2016"/>
          <w:tab w:val="left" w:pos="3168"/>
          <w:tab w:val="left" w:pos="4320"/>
          <w:tab w:val="left" w:pos="5472"/>
          <w:tab w:val="left" w:pos="6624"/>
          <w:tab w:val="left" w:pos="7776"/>
          <w:tab w:val="left" w:pos="8928"/>
        </w:tabs>
        <w:ind w:left="2552"/>
        <w:jc w:val="both"/>
        <w:rPr>
          <w:rFonts w:ascii="Courier New" w:hAnsi="Courier New" w:cs="Courier New"/>
          <w:sz w:val="22"/>
          <w:szCs w:val="22"/>
        </w:rPr>
      </w:pPr>
    </w:p>
    <w:p w:rsidR="00D712EE" w:rsidRDefault="00D712EE" w:rsidP="00D712EE">
      <w:pPr>
        <w:tabs>
          <w:tab w:val="left" w:pos="2016"/>
          <w:tab w:val="left" w:pos="3168"/>
          <w:tab w:val="left" w:pos="4320"/>
          <w:tab w:val="left" w:pos="5472"/>
          <w:tab w:val="left" w:pos="6624"/>
          <w:tab w:val="left" w:pos="7776"/>
          <w:tab w:val="left" w:pos="8928"/>
        </w:tabs>
        <w:ind w:firstLine="2552"/>
        <w:jc w:val="both"/>
        <w:rPr>
          <w:sz w:val="20"/>
          <w:szCs w:val="20"/>
        </w:rPr>
      </w:pPr>
      <w:r>
        <w:rPr>
          <w:sz w:val="20"/>
          <w:szCs w:val="20"/>
        </w:rPr>
        <w:t>a</w:t>
      </w:r>
    </w:p>
    <w:p w:rsidR="00177177" w:rsidRDefault="00177177" w:rsidP="00D712EE">
      <w:pPr>
        <w:tabs>
          <w:tab w:val="left" w:pos="2552"/>
          <w:tab w:val="left" w:pos="8928"/>
        </w:tabs>
        <w:spacing w:before="60" w:line="259" w:lineRule="atLeast"/>
        <w:rPr>
          <w:sz w:val="20"/>
          <w:szCs w:val="20"/>
        </w:rPr>
      </w:pPr>
    </w:p>
    <w:p w:rsidR="00D712EE" w:rsidRPr="00E47C4B" w:rsidRDefault="00D712EE" w:rsidP="00D712EE">
      <w:pPr>
        <w:tabs>
          <w:tab w:val="left" w:pos="2552"/>
          <w:tab w:val="left" w:pos="8928"/>
        </w:tabs>
        <w:spacing w:before="60" w:line="259" w:lineRule="atLeast"/>
        <w:rPr>
          <w:rFonts w:ascii="Calibri" w:hAnsi="Calibri" w:cs="Calibri"/>
          <w:i/>
          <w:iCs/>
          <w:color w:val="0070C0"/>
          <w:sz w:val="16"/>
          <w:szCs w:val="16"/>
        </w:rPr>
      </w:pPr>
      <w:r>
        <w:rPr>
          <w:sz w:val="20"/>
          <w:szCs w:val="20"/>
        </w:rPr>
        <w:t>Příjemce dotace:</w:t>
      </w:r>
      <w:r>
        <w:rPr>
          <w:sz w:val="20"/>
          <w:szCs w:val="20"/>
        </w:rPr>
        <w:tab/>
      </w:r>
      <w:r w:rsidRPr="00E47C4B">
        <w:rPr>
          <w:b/>
          <w:bCs/>
          <w:sz w:val="20"/>
          <w:szCs w:val="20"/>
        </w:rPr>
        <w:t xml:space="preserve">Lesy augustiniánského opatství, s.r.o. </w:t>
      </w:r>
    </w:p>
    <w:p w:rsidR="00D712EE" w:rsidRPr="00E47C4B" w:rsidRDefault="00D712EE" w:rsidP="00D712EE">
      <w:pPr>
        <w:tabs>
          <w:tab w:val="left" w:pos="8928"/>
        </w:tabs>
        <w:spacing w:before="60" w:line="259" w:lineRule="atLeast"/>
        <w:ind w:left="2520"/>
        <w:rPr>
          <w:rFonts w:ascii="Calibri" w:hAnsi="Calibri" w:cs="Calibri"/>
          <w:sz w:val="20"/>
          <w:szCs w:val="20"/>
        </w:rPr>
      </w:pPr>
      <w:r w:rsidRPr="00E47C4B">
        <w:rPr>
          <w:sz w:val="20"/>
          <w:szCs w:val="20"/>
        </w:rPr>
        <w:t>sídlo: Mendlovo náměstí 157/1, 60300 Brno</w:t>
      </w:r>
    </w:p>
    <w:p w:rsidR="00D712EE" w:rsidRPr="00E47C4B" w:rsidRDefault="00D712EE" w:rsidP="00D712EE">
      <w:pPr>
        <w:tabs>
          <w:tab w:val="left" w:pos="8928"/>
        </w:tabs>
        <w:spacing w:before="60" w:line="259" w:lineRule="atLeast"/>
        <w:ind w:left="2520"/>
        <w:rPr>
          <w:sz w:val="20"/>
          <w:szCs w:val="20"/>
        </w:rPr>
      </w:pPr>
      <w:r w:rsidRPr="00E47C4B">
        <w:rPr>
          <w:sz w:val="20"/>
          <w:szCs w:val="20"/>
        </w:rPr>
        <w:t>IČ: 26264447</w:t>
      </w:r>
    </w:p>
    <w:p w:rsidR="00D712EE" w:rsidRPr="00E47C4B" w:rsidRDefault="00D712EE" w:rsidP="00D712EE">
      <w:pPr>
        <w:tabs>
          <w:tab w:val="left" w:pos="8928"/>
        </w:tabs>
        <w:spacing w:before="60" w:line="259" w:lineRule="atLeast"/>
        <w:ind w:left="2520"/>
        <w:jc w:val="both"/>
        <w:rPr>
          <w:rFonts w:ascii="Calibri" w:hAnsi="Calibri" w:cs="Calibri"/>
          <w:i/>
          <w:iCs/>
          <w:color w:val="0070C0"/>
          <w:sz w:val="16"/>
          <w:szCs w:val="16"/>
        </w:rPr>
      </w:pPr>
      <w:r w:rsidRPr="00E47C4B">
        <w:rPr>
          <w:sz w:val="20"/>
          <w:szCs w:val="20"/>
        </w:rPr>
        <w:t>typ příjemce: PRÁVNICKÁ OSOBA - Společnost s ručením omezeným</w:t>
      </w:r>
    </w:p>
    <w:p w:rsidR="00D712EE" w:rsidRPr="00E47C4B" w:rsidRDefault="00D712EE" w:rsidP="00D712EE">
      <w:pPr>
        <w:tabs>
          <w:tab w:val="left" w:pos="8928"/>
        </w:tabs>
        <w:spacing w:before="60" w:line="259" w:lineRule="atLeast"/>
        <w:ind w:left="2520"/>
        <w:jc w:val="both"/>
        <w:rPr>
          <w:rFonts w:ascii="Calibri" w:hAnsi="Calibri" w:cs="Calibri"/>
          <w:i/>
          <w:iCs/>
          <w:color w:val="0070C0"/>
          <w:sz w:val="16"/>
          <w:szCs w:val="16"/>
        </w:rPr>
      </w:pPr>
      <w:r w:rsidRPr="00E47C4B">
        <w:rPr>
          <w:sz w:val="20"/>
          <w:szCs w:val="20"/>
        </w:rPr>
        <w:t xml:space="preserve">zastupuje: Mgr. Juan Ignacio Provecho Lopez, </w:t>
      </w:r>
      <w:r w:rsidR="005C3E8D">
        <w:rPr>
          <w:sz w:val="20"/>
          <w:szCs w:val="20"/>
        </w:rPr>
        <w:t>j</w:t>
      </w:r>
      <w:r w:rsidRPr="00E47C4B">
        <w:rPr>
          <w:sz w:val="20"/>
          <w:szCs w:val="20"/>
        </w:rPr>
        <w:t>ednatel</w:t>
      </w:r>
    </w:p>
    <w:p w:rsidR="00D712EE" w:rsidRPr="00E47C4B" w:rsidRDefault="00D712EE" w:rsidP="00D712EE">
      <w:pPr>
        <w:tabs>
          <w:tab w:val="left" w:pos="8928"/>
        </w:tabs>
        <w:spacing w:before="60" w:line="259" w:lineRule="atLeast"/>
        <w:ind w:left="2520"/>
        <w:rPr>
          <w:rFonts w:ascii="Calibri" w:hAnsi="Calibri" w:cs="Calibri"/>
          <w:sz w:val="20"/>
          <w:szCs w:val="20"/>
        </w:rPr>
      </w:pPr>
      <w:r w:rsidRPr="00E47C4B">
        <w:rPr>
          <w:sz w:val="20"/>
          <w:szCs w:val="20"/>
        </w:rPr>
        <w:t>bankovní spojení: Česká spořitelna, a.s., č.ú.: 3977600329/0800</w:t>
      </w:r>
    </w:p>
    <w:p w:rsidR="00D712EE" w:rsidRPr="00E47C4B"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E47C4B">
        <w:rPr>
          <w:sz w:val="20"/>
          <w:szCs w:val="20"/>
        </w:rPr>
        <w:t>zapsaný u: V Brně, oddíl C, vložka 39830</w:t>
      </w:r>
    </w:p>
    <w:p w:rsidR="00D712EE"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E47C4B">
        <w:rPr>
          <w:sz w:val="20"/>
          <w:szCs w:val="20"/>
        </w:rPr>
        <w:t>(dále jen „</w:t>
      </w:r>
      <w:r w:rsidRPr="00E47C4B">
        <w:rPr>
          <w:b/>
          <w:bCs/>
          <w:sz w:val="20"/>
          <w:szCs w:val="20"/>
        </w:rPr>
        <w:t>příjemce“</w:t>
      </w:r>
      <w:r w:rsidRPr="00E47C4B">
        <w:rPr>
          <w:sz w:val="20"/>
          <w:szCs w:val="20"/>
        </w:rPr>
        <w:t>)</w:t>
      </w: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D712EE">
      <w:pPr>
        <w:pStyle w:val="Nadpis1"/>
        <w:keepNext/>
        <w:keepLines/>
        <w:widowControl/>
        <w:tabs>
          <w:tab w:val="left" w:pos="8928"/>
        </w:tabs>
        <w:spacing w:line="252" w:lineRule="auto"/>
        <w:jc w:val="center"/>
        <w:rPr>
          <w:b/>
          <w:bCs/>
          <w:sz w:val="20"/>
          <w:szCs w:val="20"/>
        </w:rPr>
      </w:pPr>
      <w:r>
        <w:rPr>
          <w:b/>
          <w:bCs/>
          <w:sz w:val="20"/>
          <w:szCs w:val="20"/>
        </w:rPr>
        <w:t>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Předmět smlouvy</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1.1</w:t>
      </w:r>
      <w:r>
        <w:rPr>
          <w:sz w:val="20"/>
          <w:szCs w:val="20"/>
        </w:rPr>
        <w:tab/>
        <w:t xml:space="preserve">Poskytovatel se zavazuje poskytnout příjemci </w:t>
      </w:r>
      <w:r w:rsidRPr="00996918">
        <w:rPr>
          <w:b/>
          <w:sz w:val="20"/>
          <w:szCs w:val="20"/>
        </w:rPr>
        <w:t>NEINVESTIČNÍ</w:t>
      </w:r>
      <w:r>
        <w:rPr>
          <w:b/>
          <w:bCs/>
          <w:sz w:val="20"/>
          <w:szCs w:val="20"/>
        </w:rPr>
        <w:t xml:space="preserve"> dotaci</w:t>
      </w:r>
      <w:r>
        <w:rPr>
          <w:sz w:val="20"/>
          <w:szCs w:val="20"/>
        </w:rPr>
        <w:t xml:space="preserve"> z Fondu Zlínského kraje (dále jen „dotace“) do výše </w:t>
      </w:r>
      <w:r>
        <w:rPr>
          <w:b/>
          <w:bCs/>
          <w:sz w:val="20"/>
          <w:szCs w:val="20"/>
        </w:rPr>
        <w:t xml:space="preserve">100000,00 Kč </w:t>
      </w:r>
      <w:r>
        <w:rPr>
          <w:sz w:val="20"/>
          <w:szCs w:val="20"/>
        </w:rPr>
        <w:t xml:space="preserve">(slovy: jednostotisíckorunčeských), současně však </w:t>
      </w:r>
      <w:r>
        <w:rPr>
          <w:b/>
          <w:bCs/>
          <w:sz w:val="20"/>
          <w:szCs w:val="20"/>
        </w:rPr>
        <w:t xml:space="preserve">maximálně 100,00 % celkových způsobilých výdajů </w:t>
      </w:r>
      <w:r>
        <w:rPr>
          <w:sz w:val="20"/>
          <w:szCs w:val="20"/>
        </w:rPr>
        <w:t xml:space="preserve">projektu na realizaci projektu: </w:t>
      </w:r>
      <w:r w:rsidRPr="003B2108">
        <w:rPr>
          <w:b/>
          <w:sz w:val="20"/>
          <w:szCs w:val="20"/>
        </w:rPr>
        <w:t>„Podpora nákupu prostředků na hubení a monitoring lýkožrouta“</w:t>
      </w:r>
      <w:r>
        <w:rPr>
          <w:sz w:val="20"/>
          <w:szCs w:val="20"/>
        </w:rPr>
        <w:t xml:space="preserve"> (dále jen „projekt“), evidovaného pod registračním číslem žádosti o poskytnutí dotace </w:t>
      </w:r>
      <w:r w:rsidRPr="003B2108">
        <w:rPr>
          <w:b/>
          <w:sz w:val="20"/>
          <w:szCs w:val="20"/>
        </w:rPr>
        <w:t>RP17-18/073</w:t>
      </w:r>
      <w:r>
        <w:rPr>
          <w:sz w:val="20"/>
          <w:szCs w:val="20"/>
        </w:rPr>
        <w:t>, který je blíže popsán v žádosti o poskytnutí dotace.</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1.2</w:t>
      </w:r>
      <w:r>
        <w:rPr>
          <w:sz w:val="20"/>
          <w:szCs w:val="20"/>
        </w:rPr>
        <w:tab/>
        <w:t>Dotace je poskytována na základě programu RP17-18 Podpora zmírnění následků sucha v lesích, schváleného Radou Zlínského kraje dne 11. 12. 2017 usnesením č. 1070/R30/17 (dále jen „program“).</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1.3</w:t>
      </w:r>
      <w:r>
        <w:rPr>
          <w:sz w:val="20"/>
          <w:szCs w:val="20"/>
        </w:rPr>
        <w:tab/>
        <w:t>Příjemce se zavazuje zrealizovat projekt tak, jak je popsán v žádosti o poskytnutí dotace a v souladu se všemi podmínkami vyhlášeného programu.</w:t>
      </w:r>
    </w:p>
    <w:p w:rsidR="00D712EE" w:rsidRPr="00996918"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D712EE">
      <w:pPr>
        <w:pStyle w:val="Nadpis1"/>
        <w:keepNext/>
        <w:keepLines/>
        <w:widowControl/>
        <w:tabs>
          <w:tab w:val="left" w:pos="8928"/>
        </w:tabs>
        <w:spacing w:before="120" w:line="252" w:lineRule="auto"/>
        <w:jc w:val="center"/>
        <w:rPr>
          <w:b/>
          <w:bCs/>
          <w:sz w:val="20"/>
          <w:szCs w:val="20"/>
        </w:rPr>
      </w:pPr>
      <w:r>
        <w:rPr>
          <w:b/>
          <w:bCs/>
          <w:sz w:val="20"/>
          <w:szCs w:val="20"/>
        </w:rPr>
        <w:t>II.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Doba realizace</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i/>
          <w:iCs/>
          <w:color w:val="0070C0"/>
          <w:sz w:val="16"/>
          <w:szCs w:val="16"/>
        </w:rPr>
      </w:pPr>
      <w:r>
        <w:rPr>
          <w:sz w:val="20"/>
          <w:szCs w:val="20"/>
        </w:rPr>
        <w:t>2.1</w:t>
      </w:r>
      <w:r>
        <w:rPr>
          <w:sz w:val="20"/>
          <w:szCs w:val="20"/>
        </w:rPr>
        <w:tab/>
        <w:t>Realizaci projektu lze zahájit nejdříve od 1. 1. 2018</w:t>
      </w:r>
    </w:p>
    <w:p w:rsidR="00D712EE" w:rsidRPr="00996918"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2.2</w:t>
      </w:r>
      <w:r>
        <w:rPr>
          <w:sz w:val="20"/>
          <w:szCs w:val="20"/>
        </w:rPr>
        <w:tab/>
        <w:t xml:space="preserve">Realizace projektu musí být ukončena nejpozději k datu 31. 10. 2018 </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2.3</w:t>
      </w:r>
      <w:r>
        <w:rPr>
          <w:sz w:val="20"/>
          <w:szCs w:val="20"/>
        </w:rPr>
        <w:tab/>
        <w:t>V době realizace projektu musí příjemci způsobilé výdaje vzniknout a být jím současně i uhrazeny.</w:t>
      </w:r>
    </w:p>
    <w:p w:rsidR="003F60E8" w:rsidRDefault="003F60E8"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p>
    <w:p w:rsidR="00D712EE" w:rsidRDefault="00D712EE" w:rsidP="00D712EE">
      <w:pPr>
        <w:tabs>
          <w:tab w:val="left" w:pos="708"/>
          <w:tab w:val="left" w:pos="8928"/>
        </w:tabs>
        <w:spacing w:line="252" w:lineRule="auto"/>
        <w:jc w:val="center"/>
        <w:rPr>
          <w:b/>
          <w:bCs/>
          <w:sz w:val="20"/>
          <w:szCs w:val="20"/>
        </w:rPr>
      </w:pPr>
      <w:r>
        <w:rPr>
          <w:b/>
          <w:bCs/>
          <w:sz w:val="20"/>
          <w:szCs w:val="20"/>
        </w:rPr>
        <w:t>III.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 xml:space="preserve">Monitorovací indikátory </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3.1</w:t>
      </w:r>
      <w:r>
        <w:rPr>
          <w:sz w:val="20"/>
          <w:szCs w:val="20"/>
        </w:rPr>
        <w:tab/>
        <w:t xml:space="preserve">Během realizace projektu se příjemce zavazuje dodržet </w:t>
      </w:r>
      <w:r>
        <w:rPr>
          <w:b/>
          <w:bCs/>
          <w:sz w:val="20"/>
          <w:szCs w:val="20"/>
        </w:rPr>
        <w:t>monitorovací indikátory projektu</w:t>
      </w:r>
      <w:r>
        <w:rPr>
          <w:sz w:val="20"/>
          <w:szCs w:val="20"/>
        </w:rPr>
        <w:t>, jejichž minimální závazné hodnoty jsou uvedeny v následující tabulce, a to nejpozději k datu ukončení realizace projektu:</w:t>
      </w:r>
    </w:p>
    <w:tbl>
      <w:tblPr>
        <w:tblW w:w="4541"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2256"/>
        <w:gridCol w:w="2719"/>
        <w:gridCol w:w="10"/>
      </w:tblGrid>
      <w:tr w:rsidR="00D712EE" w:rsidRPr="0030580C" w:rsidTr="00071D79">
        <w:trPr>
          <w:trHeight w:val="426"/>
        </w:trPr>
        <w:tc>
          <w:tcPr>
            <w:tcW w:w="5000" w:type="pct"/>
            <w:gridSpan w:val="4"/>
            <w:shd w:val="clear" w:color="auto" w:fill="D9D9D9"/>
            <w:vAlign w:val="center"/>
          </w:tcPr>
          <w:p w:rsidR="00D712EE" w:rsidRPr="0030580C" w:rsidRDefault="00D712EE" w:rsidP="00C5080D">
            <w:pPr>
              <w:tabs>
                <w:tab w:val="left" w:pos="360"/>
              </w:tabs>
              <w:jc w:val="center"/>
              <w:rPr>
                <w:rFonts w:eastAsia="Times New Roman"/>
                <w:b/>
                <w:snapToGrid w:val="0"/>
                <w:sz w:val="16"/>
                <w:szCs w:val="16"/>
              </w:rPr>
            </w:pPr>
            <w:r w:rsidRPr="0030580C">
              <w:rPr>
                <w:rFonts w:eastAsia="Times New Roman"/>
                <w:b/>
                <w:snapToGrid w:val="0"/>
                <w:sz w:val="16"/>
                <w:szCs w:val="16"/>
              </w:rPr>
              <w:t>MONITOROVACÍ INDIKÁTORY - VÝSTUPY PROJEKTU</w:t>
            </w:r>
          </w:p>
        </w:tc>
      </w:tr>
      <w:tr w:rsidR="00D712EE" w:rsidRPr="0030580C" w:rsidTr="00071D79">
        <w:tblPrEx>
          <w:tblCellMar>
            <w:left w:w="108" w:type="dxa"/>
            <w:right w:w="108" w:type="dxa"/>
          </w:tblCellMar>
        </w:tblPrEx>
        <w:trPr>
          <w:gridAfter w:val="1"/>
          <w:wAfter w:w="6" w:type="pct"/>
          <w:trHeight w:val="206"/>
        </w:trPr>
        <w:tc>
          <w:tcPr>
            <w:tcW w:w="2125"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Výstup</w:t>
            </w:r>
          </w:p>
        </w:tc>
        <w:tc>
          <w:tcPr>
            <w:tcW w:w="1301"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měrná jednotka</w:t>
            </w:r>
          </w:p>
        </w:tc>
        <w:tc>
          <w:tcPr>
            <w:tcW w:w="1568" w:type="pct"/>
            <w:shd w:val="clear" w:color="auto" w:fill="C0C0C0"/>
            <w:vAlign w:val="center"/>
          </w:tcPr>
          <w:p w:rsidR="00D712EE" w:rsidRPr="0030580C" w:rsidRDefault="00D712EE" w:rsidP="00C5080D">
            <w:pPr>
              <w:jc w:val="center"/>
              <w:rPr>
                <w:rFonts w:eastAsia="Times New Roman"/>
                <w:i/>
                <w:snapToGrid w:val="0"/>
                <w:sz w:val="20"/>
                <w:szCs w:val="20"/>
              </w:rPr>
            </w:pPr>
            <w:r w:rsidRPr="0030580C">
              <w:rPr>
                <w:rFonts w:eastAsia="Times New Roman"/>
                <w:snapToGrid w:val="0"/>
                <w:sz w:val="20"/>
                <w:szCs w:val="20"/>
              </w:rPr>
              <w:t>minimální závazná hodnota</w:t>
            </w:r>
          </w:p>
        </w:tc>
      </w:tr>
      <w:tr w:rsidR="00D712EE" w:rsidRPr="0030580C" w:rsidTr="00071D79">
        <w:tblPrEx>
          <w:tblCellMar>
            <w:left w:w="108" w:type="dxa"/>
            <w:right w:w="108" w:type="dxa"/>
          </w:tblCellMar>
        </w:tblPrEx>
        <w:trPr>
          <w:gridAfter w:val="1"/>
          <w:wAfter w:w="6" w:type="pct"/>
        </w:trPr>
        <w:tc>
          <w:tcPr>
            <w:tcW w:w="2125"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Počet nakoupených prostředků na hubení a monitoring lýkožrouta (feromonové návnady, lapače, insekticidní sítě)</w:t>
            </w:r>
          </w:p>
        </w:tc>
        <w:tc>
          <w:tcPr>
            <w:tcW w:w="1301"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ks</w:t>
            </w:r>
          </w:p>
        </w:tc>
        <w:tc>
          <w:tcPr>
            <w:tcW w:w="1568" w:type="pct"/>
            <w:vAlign w:val="center"/>
          </w:tcPr>
          <w:p w:rsidR="00D712EE" w:rsidRPr="0030580C" w:rsidRDefault="00D712EE" w:rsidP="00C5080D">
            <w:pPr>
              <w:jc w:val="both"/>
              <w:rPr>
                <w:rFonts w:eastAsia="Times New Roman"/>
                <w:snapToGrid w:val="0"/>
                <w:sz w:val="20"/>
                <w:szCs w:val="20"/>
              </w:rPr>
            </w:pPr>
            <w:r w:rsidRPr="0030580C">
              <w:rPr>
                <w:rFonts w:eastAsia="Times New Roman"/>
                <w:b/>
                <w:snapToGrid w:val="0"/>
                <w:sz w:val="20"/>
                <w:szCs w:val="20"/>
              </w:rPr>
              <w:t>400,00</w:t>
            </w:r>
          </w:p>
        </w:tc>
      </w:tr>
      <w:tr w:rsidR="00D712EE" w:rsidRPr="0030580C" w:rsidTr="00071D79">
        <w:tblPrEx>
          <w:tblCellMar>
            <w:left w:w="108" w:type="dxa"/>
            <w:right w:w="108" w:type="dxa"/>
          </w:tblCellMar>
        </w:tblPrEx>
        <w:trPr>
          <w:gridAfter w:val="1"/>
          <w:wAfter w:w="6" w:type="pct"/>
        </w:trPr>
        <w:tc>
          <w:tcPr>
            <w:tcW w:w="2125"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Množství ošetřeného dříví proti hmyzím škůdcům nejpozději na odvozním místě</w:t>
            </w:r>
          </w:p>
        </w:tc>
        <w:tc>
          <w:tcPr>
            <w:tcW w:w="1301"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m3</w:t>
            </w:r>
          </w:p>
        </w:tc>
        <w:tc>
          <w:tcPr>
            <w:tcW w:w="1568" w:type="pct"/>
            <w:vAlign w:val="center"/>
          </w:tcPr>
          <w:p w:rsidR="00D712EE" w:rsidRPr="0030580C" w:rsidRDefault="00D712EE" w:rsidP="00C5080D">
            <w:pPr>
              <w:jc w:val="both"/>
              <w:rPr>
                <w:rFonts w:eastAsia="Times New Roman"/>
                <w:snapToGrid w:val="0"/>
                <w:sz w:val="20"/>
                <w:szCs w:val="20"/>
              </w:rPr>
            </w:pPr>
            <w:r w:rsidRPr="0030580C">
              <w:rPr>
                <w:rFonts w:eastAsia="Times New Roman"/>
                <w:b/>
                <w:snapToGrid w:val="0"/>
                <w:sz w:val="20"/>
                <w:szCs w:val="20"/>
              </w:rPr>
              <w:t>400,00</w:t>
            </w:r>
          </w:p>
        </w:tc>
      </w:tr>
    </w:tbl>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3.2</w:t>
      </w:r>
      <w:r>
        <w:rPr>
          <w:sz w:val="20"/>
          <w:szCs w:val="20"/>
        </w:rPr>
        <w:tab/>
        <w:t>Částečné nenaplnění kteréhokoliv monitorovacího indikátoru uvedeného v tabulce v předchozím odstavci</w:t>
      </w:r>
      <w:r w:rsidRPr="001B6AFD">
        <w:rPr>
          <w:sz w:val="20"/>
          <w:szCs w:val="20"/>
        </w:rPr>
        <w:t xml:space="preserve">, maximálně však </w:t>
      </w:r>
      <w:r w:rsidRPr="001B6AFD">
        <w:rPr>
          <w:b/>
          <w:bCs/>
          <w:sz w:val="20"/>
          <w:szCs w:val="20"/>
        </w:rPr>
        <w:t>o 5 %</w:t>
      </w:r>
      <w:r w:rsidRPr="001B6AFD">
        <w:rPr>
          <w:sz w:val="20"/>
          <w:szCs w:val="20"/>
        </w:rPr>
        <w:t>,</w:t>
      </w:r>
      <w:r>
        <w:rPr>
          <w:color w:val="7030A0"/>
          <w:sz w:val="20"/>
          <w:szCs w:val="20"/>
        </w:rPr>
        <w:t xml:space="preserve"> </w:t>
      </w:r>
      <w:r>
        <w:rPr>
          <w:sz w:val="20"/>
          <w:szCs w:val="20"/>
        </w:rPr>
        <w:t>zůstane-li zachován účel a smysl projektu, nebude považováno za porušení podmínek smlouvy. V opačném případě se bude jednat o závažné porušení smlouvy poskytovatel je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IV.</w:t>
      </w:r>
    </w:p>
    <w:p w:rsidR="00674276" w:rsidRDefault="00674276" w:rsidP="003F60E8">
      <w:pPr>
        <w:pStyle w:val="Nadpis1"/>
        <w:keepNext/>
        <w:keepLines/>
        <w:widowControl/>
        <w:tabs>
          <w:tab w:val="left" w:pos="8928"/>
        </w:tabs>
        <w:spacing w:after="60" w:line="252" w:lineRule="auto"/>
        <w:jc w:val="center"/>
        <w:rPr>
          <w:sz w:val="20"/>
          <w:szCs w:val="20"/>
        </w:rPr>
      </w:pPr>
      <w:r>
        <w:rPr>
          <w:b/>
          <w:bCs/>
          <w:sz w:val="20"/>
          <w:szCs w:val="20"/>
        </w:rPr>
        <w:t>Financování projektu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4.1</w:t>
      </w:r>
      <w:r>
        <w:rPr>
          <w:sz w:val="20"/>
          <w:szCs w:val="20"/>
        </w:rPr>
        <w:tab/>
        <w:t xml:space="preserve">Dotace bude příjemci poskytnuta na účet uvedený v záhlaví této smlouvy následujícím způsobem: </w:t>
      </w:r>
    </w:p>
    <w:p w:rsidR="00674276" w:rsidRDefault="00674276" w:rsidP="00071D79">
      <w:pPr>
        <w:tabs>
          <w:tab w:val="left" w:pos="2016"/>
          <w:tab w:val="left" w:pos="3168"/>
          <w:tab w:val="left" w:pos="4320"/>
          <w:tab w:val="left" w:pos="5472"/>
          <w:tab w:val="left" w:pos="6624"/>
          <w:tab w:val="left" w:pos="7560"/>
          <w:tab w:val="left" w:pos="8928"/>
        </w:tabs>
        <w:spacing w:before="48" w:after="120"/>
        <w:ind w:left="993" w:hanging="360"/>
        <w:jc w:val="both"/>
        <w:rPr>
          <w:sz w:val="20"/>
          <w:szCs w:val="20"/>
        </w:rPr>
      </w:pPr>
      <w:r>
        <w:rPr>
          <w:sz w:val="20"/>
          <w:szCs w:val="20"/>
        </w:rPr>
        <w:t>-</w:t>
      </w:r>
      <w:r>
        <w:rPr>
          <w:sz w:val="20"/>
          <w:szCs w:val="20"/>
        </w:rPr>
        <w:tab/>
      </w:r>
      <w:r>
        <w:rPr>
          <w:b/>
          <w:bCs/>
          <w:sz w:val="20"/>
          <w:szCs w:val="20"/>
        </w:rPr>
        <w:t>do 30 pracovních dnů po schválení Závěrečné zprávy s vyúčtováním dotace</w:t>
      </w:r>
      <w:r>
        <w:rPr>
          <w:sz w:val="20"/>
          <w:szCs w:val="20"/>
        </w:rPr>
        <w:t xml:space="preserve"> předložené příjemcem dle odst. 4.3 tohoto článku.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071D79">
        <w:rPr>
          <w:bCs/>
          <w:sz w:val="20"/>
          <w:szCs w:val="20"/>
        </w:rPr>
        <w:t>4.2</w:t>
      </w:r>
      <w:r w:rsidRPr="00071D79">
        <w:rPr>
          <w:bCs/>
          <w:sz w:val="20"/>
          <w:szCs w:val="20"/>
        </w:rPr>
        <w:tab/>
      </w:r>
      <w:r>
        <w:rPr>
          <w:b/>
          <w:bCs/>
          <w:sz w:val="20"/>
          <w:szCs w:val="20"/>
        </w:rPr>
        <w:t>Předpokládané celkové způsobilé výdaje</w:t>
      </w:r>
      <w:r>
        <w:rPr>
          <w:sz w:val="20"/>
          <w:szCs w:val="20"/>
        </w:rPr>
        <w:t xml:space="preserve"> projektu činí </w:t>
      </w:r>
      <w:r w:rsidR="00071D79" w:rsidRPr="0030580C">
        <w:rPr>
          <w:sz w:val="20"/>
          <w:szCs w:val="20"/>
        </w:rPr>
        <w:t xml:space="preserve">100000,00 </w:t>
      </w:r>
      <w:r w:rsidR="00071D79">
        <w:rPr>
          <w:sz w:val="20"/>
          <w:szCs w:val="20"/>
        </w:rPr>
        <w:t>Kč.</w:t>
      </w:r>
      <w:r>
        <w:rPr>
          <w:sz w:val="20"/>
          <w:szCs w:val="20"/>
        </w:rPr>
        <w:t xml:space="preserve"> Pokud </w:t>
      </w:r>
      <w:r>
        <w:rPr>
          <w:b/>
          <w:bCs/>
          <w:sz w:val="20"/>
          <w:szCs w:val="20"/>
        </w:rPr>
        <w:t>skutečné celkové způsobilé výdaje</w:t>
      </w:r>
      <w:r>
        <w:rPr>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674276" w:rsidRDefault="00674276" w:rsidP="00422A62">
      <w:pPr>
        <w:tabs>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4.3</w:t>
      </w:r>
      <w:r>
        <w:rPr>
          <w:sz w:val="20"/>
          <w:szCs w:val="20"/>
        </w:rPr>
        <w:tab/>
        <w:t xml:space="preserve">Po skončení skutečné realizace projektu je příjemce povinen předložit Odboru životního prostředí a zemědělství Krajského úřadu Zlínského kraje Závěrečnou zprávu s vyúčtováním dotace, a to nejpozději do </w:t>
      </w:r>
      <w:r>
        <w:rPr>
          <w:b/>
          <w:bCs/>
          <w:sz w:val="20"/>
          <w:szCs w:val="20"/>
        </w:rPr>
        <w:t>2. 11. 2018.</w:t>
      </w:r>
      <w:r>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4.4</w:t>
      </w:r>
      <w:r>
        <w:rPr>
          <w:sz w:val="20"/>
          <w:szCs w:val="20"/>
        </w:rPr>
        <w:tab/>
        <w:t xml:space="preserve">Závěrečnou zprávou s vyúčtováním dotace se rozumí předložení formuláře s vyplněnou tabulkou s výčtem všech celkových způsobilých výdajů projektu, a </w:t>
      </w:r>
      <w:r>
        <w:rPr>
          <w:sz w:val="20"/>
          <w:szCs w:val="20"/>
          <w:u w:val="single"/>
        </w:rPr>
        <w:t>předložení účetních dokladů</w:t>
      </w:r>
      <w:r>
        <w:rPr>
          <w:sz w:val="20"/>
          <w:szCs w:val="20"/>
        </w:rPr>
        <w:t xml:space="preserve"> (tj. prvotní doklady - kopie faktur, mzdových listů, zjednodušených daňových dokladů či jiných účetních nebo daňových dokladů, přičemž za zúčtovací doklady se nepovažují tzv. zálohové faktury) </w:t>
      </w:r>
      <w:r>
        <w:rPr>
          <w:sz w:val="20"/>
          <w:szCs w:val="20"/>
          <w:u w:val="single"/>
        </w:rPr>
        <w:t>ve výši celkových způsobilých výdajů projektu</w:t>
      </w:r>
      <w:r>
        <w:rPr>
          <w:sz w:val="20"/>
          <w:szCs w:val="20"/>
        </w:rPr>
        <w:t xml:space="preserve"> a </w:t>
      </w:r>
      <w:r>
        <w:rPr>
          <w:sz w:val="20"/>
          <w:szCs w:val="20"/>
          <w:u w:val="single"/>
        </w:rPr>
        <w:t>dokladů prokazujících jejich úhradu</w:t>
      </w:r>
      <w:r>
        <w:rPr>
          <w:sz w:val="20"/>
          <w:szCs w:val="20"/>
        </w:rPr>
        <w:t xml:space="preserve"> (tj. výpisy z bankovního účtu, výdajové a příjmové pokladní doklady).</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Formulář Závěrečné zprávy s vyúčtováním bude příjemci zaslán kontaktní osobou poskytovatele nejpozději do 30 dnů od podpisu smlouvy druhou stranou.</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Příjemce je povinen společně se závěrečnou zprávou s vyúčtováním dotace předložit následující přílohy, které jsou nedílnou součástí závěrečné zprávy: </w:t>
      </w:r>
    </w:p>
    <w:p w:rsidR="00674276" w:rsidRPr="00422A62" w:rsidRDefault="00422A62" w:rsidP="00E47C4B">
      <w:pPr>
        <w:widowControl/>
        <w:spacing w:before="60"/>
        <w:ind w:left="992" w:hanging="357"/>
        <w:jc w:val="both"/>
        <w:rPr>
          <w:sz w:val="20"/>
          <w:szCs w:val="20"/>
        </w:rPr>
      </w:pPr>
      <w:r>
        <w:rPr>
          <w:sz w:val="20"/>
          <w:szCs w:val="20"/>
        </w:rPr>
        <w:tab/>
      </w:r>
      <w:r w:rsidR="00674276" w:rsidRPr="00422A62">
        <w:rPr>
          <w:sz w:val="20"/>
          <w:szCs w:val="20"/>
        </w:rPr>
        <w:t>-</w:t>
      </w:r>
      <w:r w:rsidR="00674276" w:rsidRPr="00422A62">
        <w:rPr>
          <w:sz w:val="20"/>
          <w:szCs w:val="20"/>
        </w:rPr>
        <w:tab/>
        <w:t xml:space="preserve">fotodokumentaci předmětných aktivit, </w:t>
      </w:r>
    </w:p>
    <w:p w:rsidR="00674276" w:rsidRDefault="00422A62" w:rsidP="00E47C4B">
      <w:pPr>
        <w:widowControl/>
        <w:ind w:left="993" w:hanging="360"/>
        <w:jc w:val="both"/>
        <w:rPr>
          <w:sz w:val="20"/>
          <w:szCs w:val="20"/>
        </w:rPr>
      </w:pPr>
      <w:r>
        <w:rPr>
          <w:sz w:val="20"/>
          <w:szCs w:val="20"/>
        </w:rPr>
        <w:tab/>
      </w:r>
      <w:r w:rsidR="00674276" w:rsidRPr="00422A62">
        <w:rPr>
          <w:sz w:val="20"/>
          <w:szCs w:val="20"/>
        </w:rPr>
        <w:t>-</w:t>
      </w:r>
      <w:r w:rsidR="00674276" w:rsidRPr="00422A62">
        <w:rPr>
          <w:sz w:val="20"/>
          <w:szCs w:val="20"/>
        </w:rPr>
        <w:tab/>
        <w:t>při využití aktivity, kde se nakládá s chemickými přípravky doklad odborné způsobilosti pro nakládání s přípravky dle zákona č. 326/2004 Sb., o rostlinolékařské péči a o změně některých souvisejících zákonů, v platném znění.</w:t>
      </w:r>
      <w:r w:rsidR="00674276">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4.5</w:t>
      </w:r>
      <w:r>
        <w:rPr>
          <w:sz w:val="20"/>
          <w:szCs w:val="20"/>
        </w:rPr>
        <w:tab/>
        <w:t xml:space="preserve">V případě, že poskytovatel neshledá v předložené Závěrečné zprávě s vyúčtováním dotace </w:t>
      </w:r>
      <w:r>
        <w:rPr>
          <w:sz w:val="20"/>
          <w:szCs w:val="20"/>
        </w:rPr>
        <w:lastRenderedPageBreak/>
        <w:t xml:space="preserve">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V případě nedodržení účelu dotace či nedoložení prokazatelné úhrady výdajů, je poskytovatel oprávněn vypovědět tuto smlouvu.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4.6</w:t>
      </w:r>
      <w:r>
        <w:rPr>
          <w:sz w:val="20"/>
          <w:szCs w:val="20"/>
        </w:rPr>
        <w:tab/>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Pokud příjemce Závěrečnou zprávu nepředloží ani v dodatečné lhůtě, je poskytovatel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Podmínky použití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5.1</w:t>
      </w:r>
      <w:r>
        <w:rPr>
          <w:sz w:val="20"/>
          <w:szCs w:val="20"/>
        </w:rPr>
        <w:tab/>
        <w:t>Příjemce je oprávněn použít dotaci pouze k účelu uvedenému v článku I. této smlouvy.</w:t>
      </w:r>
    </w:p>
    <w:p w:rsidR="00422A62"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071D79">
        <w:rPr>
          <w:bCs/>
          <w:sz w:val="20"/>
          <w:szCs w:val="20"/>
        </w:rPr>
        <w:t>5.2</w:t>
      </w:r>
      <w:r w:rsidRPr="00071D79">
        <w:rPr>
          <w:bCs/>
          <w:sz w:val="20"/>
          <w:szCs w:val="20"/>
        </w:rPr>
        <w:tab/>
      </w:r>
      <w:r>
        <w:rPr>
          <w:b/>
          <w:bCs/>
          <w:sz w:val="20"/>
          <w:szCs w:val="20"/>
        </w:rPr>
        <w:t>Způsobilými výdaji</w:t>
      </w:r>
      <w:r>
        <w:rPr>
          <w:sz w:val="20"/>
          <w:szCs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 v době realizace projektu uvedené v článku II. této smlouvy.</w:t>
      </w:r>
    </w:p>
    <w:p w:rsidR="00674276" w:rsidRPr="00422A62"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b/>
          <w:sz w:val="20"/>
          <w:szCs w:val="20"/>
        </w:rPr>
      </w:pPr>
      <w:r>
        <w:rPr>
          <w:sz w:val="20"/>
          <w:szCs w:val="20"/>
        </w:rPr>
        <w:tab/>
      </w:r>
      <w:r w:rsidR="00674276" w:rsidRPr="00422A62">
        <w:rPr>
          <w:b/>
          <w:sz w:val="20"/>
          <w:szCs w:val="20"/>
        </w:rPr>
        <w:t>Způsobilými výdaji jsou:</w:t>
      </w:r>
    </w:p>
    <w:p w:rsidR="00674276" w:rsidRPr="00422A62" w:rsidRDefault="00674276" w:rsidP="00422A62">
      <w:pPr>
        <w:widowControl/>
        <w:numPr>
          <w:ilvl w:val="0"/>
          <w:numId w:val="3"/>
        </w:numPr>
        <w:jc w:val="both"/>
        <w:rPr>
          <w:sz w:val="20"/>
          <w:szCs w:val="20"/>
        </w:rPr>
      </w:pPr>
      <w:r w:rsidRPr="00422A62">
        <w:rPr>
          <w:sz w:val="20"/>
          <w:szCs w:val="20"/>
        </w:rPr>
        <w:t xml:space="preserve">Nákup insekticidních sítí </w:t>
      </w:r>
    </w:p>
    <w:p w:rsidR="00674276" w:rsidRPr="00422A62" w:rsidRDefault="00674276" w:rsidP="00422A62">
      <w:pPr>
        <w:widowControl/>
        <w:numPr>
          <w:ilvl w:val="0"/>
          <w:numId w:val="3"/>
        </w:numPr>
        <w:jc w:val="both"/>
        <w:rPr>
          <w:sz w:val="20"/>
          <w:szCs w:val="20"/>
        </w:rPr>
      </w:pPr>
      <w:r w:rsidRPr="00422A62">
        <w:rPr>
          <w:sz w:val="20"/>
          <w:szCs w:val="20"/>
        </w:rPr>
        <w:t>Nákup lapačů včetně jejich držáku</w:t>
      </w:r>
    </w:p>
    <w:p w:rsidR="00674276" w:rsidRPr="00422A62" w:rsidRDefault="00674276" w:rsidP="00422A62">
      <w:pPr>
        <w:widowControl/>
        <w:numPr>
          <w:ilvl w:val="0"/>
          <w:numId w:val="3"/>
        </w:numPr>
        <w:jc w:val="both"/>
        <w:rPr>
          <w:sz w:val="20"/>
          <w:szCs w:val="20"/>
        </w:rPr>
      </w:pPr>
      <w:r w:rsidRPr="00422A62">
        <w:rPr>
          <w:sz w:val="20"/>
          <w:szCs w:val="20"/>
        </w:rPr>
        <w:t>Nákup feromonových návnad včetně jejich držáku</w:t>
      </w:r>
    </w:p>
    <w:p w:rsidR="00674276" w:rsidRPr="00422A62" w:rsidRDefault="00674276" w:rsidP="00422A62">
      <w:pPr>
        <w:widowControl/>
        <w:numPr>
          <w:ilvl w:val="0"/>
          <w:numId w:val="3"/>
        </w:numPr>
        <w:jc w:val="both"/>
        <w:rPr>
          <w:sz w:val="20"/>
          <w:szCs w:val="20"/>
        </w:rPr>
      </w:pPr>
      <w:r w:rsidRPr="00422A62">
        <w:rPr>
          <w:sz w:val="20"/>
          <w:szCs w:val="20"/>
        </w:rPr>
        <w:t>Nákup chemických přípravků k ošetření kůrovcového dříví a lapáků</w:t>
      </w:r>
    </w:p>
    <w:p w:rsidR="00674276" w:rsidRPr="00422A62" w:rsidRDefault="00674276" w:rsidP="00422A62">
      <w:pPr>
        <w:widowControl/>
        <w:numPr>
          <w:ilvl w:val="0"/>
          <w:numId w:val="3"/>
        </w:numPr>
        <w:ind w:left="851" w:hanging="218"/>
        <w:jc w:val="both"/>
        <w:rPr>
          <w:sz w:val="20"/>
          <w:szCs w:val="20"/>
        </w:rPr>
      </w:pPr>
      <w:r w:rsidRPr="00422A62">
        <w:rPr>
          <w:sz w:val="20"/>
          <w:szCs w:val="20"/>
        </w:rPr>
        <w:t>Dopravné a balné při nákupu insekticidních sítí, lapačů včetně jejich držáku, feromonových návnad včetně jejich držáku a chemických přípravků k ošetření kůrovcového dříví a lapáků</w:t>
      </w:r>
    </w:p>
    <w:p w:rsidR="00674276" w:rsidRPr="00422A62" w:rsidRDefault="00674276" w:rsidP="00422A62">
      <w:pPr>
        <w:widowControl/>
        <w:numPr>
          <w:ilvl w:val="0"/>
          <w:numId w:val="3"/>
        </w:numPr>
        <w:jc w:val="both"/>
        <w:rPr>
          <w:sz w:val="20"/>
          <w:szCs w:val="20"/>
        </w:rPr>
      </w:pPr>
      <w:r w:rsidRPr="00422A62">
        <w:rPr>
          <w:sz w:val="20"/>
          <w:szCs w:val="20"/>
        </w:rPr>
        <w:t xml:space="preserve">Nákup služeb spojených s monitoringem lýkožrouta a jeho mechanickou a chemickou likvidací </w:t>
      </w:r>
    </w:p>
    <w:p w:rsidR="00674276" w:rsidRPr="00422A62" w:rsidRDefault="00674276" w:rsidP="00422A62">
      <w:pPr>
        <w:widowControl/>
        <w:numPr>
          <w:ilvl w:val="0"/>
          <w:numId w:val="3"/>
        </w:numPr>
        <w:ind w:left="851" w:hanging="218"/>
        <w:jc w:val="both"/>
        <w:rPr>
          <w:sz w:val="20"/>
          <w:szCs w:val="20"/>
        </w:rPr>
      </w:pPr>
      <w:r w:rsidRPr="00422A62">
        <w:rPr>
          <w:sz w:val="20"/>
          <w:szCs w:val="20"/>
        </w:rPr>
        <w:t>Mzdy a odměny z dohod pracovníků podílejících se na instalaci lapačů a lapáků, feromonových návnad a jejich držáků, podložené výrobně technickými doklady</w:t>
      </w:r>
    </w:p>
    <w:p w:rsidR="00674276" w:rsidRPr="00422A62" w:rsidRDefault="00674276" w:rsidP="00422A62">
      <w:pPr>
        <w:widowControl/>
        <w:numPr>
          <w:ilvl w:val="0"/>
          <w:numId w:val="3"/>
        </w:numPr>
        <w:ind w:left="851" w:hanging="218"/>
        <w:jc w:val="both"/>
        <w:rPr>
          <w:sz w:val="20"/>
          <w:szCs w:val="20"/>
        </w:rPr>
      </w:pPr>
      <w:r w:rsidRPr="00422A62">
        <w:rPr>
          <w:sz w:val="20"/>
          <w:szCs w:val="20"/>
        </w:rPr>
        <w:t>Mzdy a odměny z dohod pracovníků, při mechanické a chemické likvidaci kůrovcového dříví podložené výrobně technickými doklady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422A62">
        <w:rPr>
          <w:bCs/>
          <w:sz w:val="20"/>
          <w:szCs w:val="20"/>
        </w:rPr>
        <w:t>5.3</w:t>
      </w:r>
      <w:r>
        <w:rPr>
          <w:b/>
          <w:bCs/>
          <w:sz w:val="20"/>
          <w:szCs w:val="20"/>
        </w:rPr>
        <w:tab/>
        <w:t xml:space="preserve">Nezpůsobilými výdaji </w:t>
      </w:r>
      <w:r>
        <w:rPr>
          <w:sz w:val="20"/>
          <w:szCs w:val="20"/>
        </w:rPr>
        <w:t xml:space="preserve">jsou zejména: </w:t>
      </w:r>
    </w:p>
    <w:p w:rsidR="00674276" w:rsidRDefault="00674276" w:rsidP="00071D79">
      <w:pPr>
        <w:widowControl/>
        <w:ind w:left="993" w:hanging="360"/>
        <w:jc w:val="both"/>
        <w:rPr>
          <w:sz w:val="20"/>
          <w:szCs w:val="20"/>
        </w:rPr>
      </w:pPr>
      <w:r>
        <w:rPr>
          <w:sz w:val="20"/>
          <w:szCs w:val="20"/>
        </w:rPr>
        <w:t>-</w:t>
      </w:r>
      <w:r>
        <w:rPr>
          <w:sz w:val="20"/>
          <w:szCs w:val="20"/>
        </w:rPr>
        <w:tab/>
        <w:t>výdaje neuvedené v odst. 5.2.</w:t>
      </w:r>
    </w:p>
    <w:p w:rsidR="00674276" w:rsidRDefault="00674276" w:rsidP="00071D79">
      <w:pPr>
        <w:widowControl/>
        <w:ind w:left="993" w:hanging="360"/>
        <w:jc w:val="both"/>
        <w:rPr>
          <w:sz w:val="20"/>
          <w:szCs w:val="20"/>
        </w:rPr>
      </w:pPr>
      <w:r>
        <w:rPr>
          <w:sz w:val="20"/>
          <w:szCs w:val="20"/>
        </w:rPr>
        <w:t>-</w:t>
      </w:r>
      <w:r>
        <w:rPr>
          <w:sz w:val="20"/>
          <w:szCs w:val="20"/>
        </w:rPr>
        <w:tab/>
        <w:t xml:space="preserve">v čase a místě neobvyklé mzdové či platové výdaje odvody na sociální a zdravotní pojištění zaměstnanců příjemce </w:t>
      </w:r>
    </w:p>
    <w:p w:rsidR="00674276" w:rsidRDefault="00674276" w:rsidP="00071D79">
      <w:pPr>
        <w:widowControl/>
        <w:ind w:left="993" w:hanging="360"/>
        <w:jc w:val="both"/>
        <w:rPr>
          <w:sz w:val="20"/>
          <w:szCs w:val="20"/>
        </w:rPr>
      </w:pPr>
      <w:r>
        <w:rPr>
          <w:sz w:val="20"/>
          <w:szCs w:val="20"/>
        </w:rPr>
        <w:t>-</w:t>
      </w:r>
      <w:r>
        <w:rPr>
          <w:sz w:val="20"/>
          <w:szCs w:val="20"/>
        </w:rPr>
        <w:tab/>
        <w:t xml:space="preserve">výdaje na zaměstnance, ke kterým nejsou zaměstnavatelé povinni dle zvláštních právních předpisů (příspěvky na penzijní/životní pojištění, příspěvky na rekreaci, stravenky apod.) </w:t>
      </w:r>
    </w:p>
    <w:p w:rsidR="00674276" w:rsidRDefault="00674276" w:rsidP="00071D79">
      <w:pPr>
        <w:widowControl/>
        <w:ind w:left="993" w:hanging="360"/>
        <w:jc w:val="both"/>
        <w:rPr>
          <w:sz w:val="20"/>
          <w:szCs w:val="20"/>
        </w:rPr>
      </w:pPr>
      <w:r>
        <w:rPr>
          <w:sz w:val="20"/>
          <w:szCs w:val="20"/>
        </w:rPr>
        <w:t>-</w:t>
      </w:r>
      <w:r>
        <w:rPr>
          <w:sz w:val="20"/>
          <w:szCs w:val="20"/>
        </w:rPr>
        <w:tab/>
        <w:t xml:space="preserve">výdaje na pořádání workshopů, teambuildingů, výjezdních zasedání apod. </w:t>
      </w:r>
    </w:p>
    <w:p w:rsidR="00674276" w:rsidRDefault="00674276" w:rsidP="00071D79">
      <w:pPr>
        <w:widowControl/>
        <w:ind w:left="993" w:hanging="360"/>
        <w:jc w:val="both"/>
        <w:rPr>
          <w:sz w:val="20"/>
          <w:szCs w:val="20"/>
        </w:rPr>
      </w:pPr>
      <w:r>
        <w:rPr>
          <w:sz w:val="20"/>
          <w:szCs w:val="20"/>
        </w:rPr>
        <w:t>-</w:t>
      </w:r>
      <w:r>
        <w:rPr>
          <w:sz w:val="20"/>
          <w:szCs w:val="20"/>
        </w:rPr>
        <w:tab/>
        <w:t>výdaje na školení a kurzy, které nesouvisí s účelem, na který je dotace poskytována</w:t>
      </w:r>
    </w:p>
    <w:p w:rsidR="00674276" w:rsidRDefault="00674276" w:rsidP="00071D79">
      <w:pPr>
        <w:widowControl/>
        <w:ind w:left="993" w:hanging="360"/>
        <w:jc w:val="both"/>
        <w:rPr>
          <w:sz w:val="20"/>
          <w:szCs w:val="20"/>
        </w:rPr>
      </w:pPr>
      <w:r>
        <w:rPr>
          <w:sz w:val="20"/>
          <w:szCs w:val="20"/>
        </w:rPr>
        <w:t>-</w:t>
      </w:r>
      <w:r>
        <w:rPr>
          <w:sz w:val="20"/>
          <w:szCs w:val="20"/>
        </w:rPr>
        <w:tab/>
        <w:t>dlužný úrok, pokuty a finanční sankce</w:t>
      </w:r>
    </w:p>
    <w:p w:rsidR="00674276" w:rsidRDefault="00674276" w:rsidP="00071D79">
      <w:pPr>
        <w:widowControl/>
        <w:ind w:left="993" w:hanging="360"/>
        <w:jc w:val="both"/>
        <w:rPr>
          <w:sz w:val="20"/>
          <w:szCs w:val="20"/>
        </w:rPr>
      </w:pPr>
      <w:r>
        <w:rPr>
          <w:sz w:val="20"/>
          <w:szCs w:val="20"/>
        </w:rPr>
        <w:t>-</w:t>
      </w:r>
      <w:r>
        <w:rPr>
          <w:sz w:val="20"/>
          <w:szCs w:val="20"/>
        </w:rPr>
        <w:tab/>
        <w:t xml:space="preserve">výdaje na přípravné studie nebo jiné přípravné činnosti včetně zpracování Žádosti </w:t>
      </w:r>
    </w:p>
    <w:p w:rsidR="00674276" w:rsidRDefault="00674276" w:rsidP="00071D79">
      <w:pPr>
        <w:widowControl/>
        <w:ind w:left="993" w:hanging="360"/>
        <w:jc w:val="both"/>
        <w:rPr>
          <w:sz w:val="20"/>
          <w:szCs w:val="20"/>
        </w:rPr>
      </w:pPr>
      <w:r>
        <w:rPr>
          <w:sz w:val="20"/>
          <w:szCs w:val="20"/>
        </w:rPr>
        <w:t>-</w:t>
      </w:r>
      <w:r>
        <w:rPr>
          <w:sz w:val="20"/>
          <w:szCs w:val="20"/>
        </w:rPr>
        <w:tab/>
        <w:t xml:space="preserve">nákupy pozemků nebo budov </w:t>
      </w:r>
    </w:p>
    <w:p w:rsidR="00674276" w:rsidRDefault="00674276" w:rsidP="00071D79">
      <w:pPr>
        <w:widowControl/>
        <w:ind w:left="993" w:hanging="360"/>
        <w:jc w:val="both"/>
        <w:rPr>
          <w:sz w:val="20"/>
          <w:szCs w:val="20"/>
        </w:rPr>
      </w:pPr>
      <w:r>
        <w:rPr>
          <w:sz w:val="20"/>
          <w:szCs w:val="20"/>
        </w:rPr>
        <w:t>-</w:t>
      </w:r>
      <w:r>
        <w:rPr>
          <w:sz w:val="20"/>
          <w:szCs w:val="20"/>
        </w:rPr>
        <w:tab/>
        <w:t>výdaje na propagaci a marketing příjemce</w:t>
      </w:r>
    </w:p>
    <w:p w:rsidR="00674276" w:rsidRDefault="00674276" w:rsidP="00071D79">
      <w:pPr>
        <w:widowControl/>
        <w:ind w:left="993" w:hanging="360"/>
        <w:jc w:val="both"/>
        <w:rPr>
          <w:sz w:val="20"/>
          <w:szCs w:val="20"/>
        </w:rPr>
      </w:pPr>
      <w:r>
        <w:rPr>
          <w:sz w:val="20"/>
          <w:szCs w:val="20"/>
        </w:rPr>
        <w:t>-</w:t>
      </w:r>
      <w:r>
        <w:rPr>
          <w:sz w:val="20"/>
          <w:szCs w:val="20"/>
        </w:rPr>
        <w:tab/>
        <w:t>výdaje na publicitu Zlínského kraje</w:t>
      </w:r>
    </w:p>
    <w:p w:rsidR="00674276" w:rsidRDefault="00674276" w:rsidP="00071D79">
      <w:pPr>
        <w:widowControl/>
        <w:ind w:left="993" w:hanging="360"/>
        <w:jc w:val="both"/>
        <w:rPr>
          <w:sz w:val="20"/>
          <w:szCs w:val="20"/>
        </w:rPr>
      </w:pPr>
      <w:r>
        <w:rPr>
          <w:sz w:val="20"/>
          <w:szCs w:val="20"/>
        </w:rPr>
        <w:t>-</w:t>
      </w:r>
      <w:r>
        <w:rPr>
          <w:sz w:val="20"/>
          <w:szCs w:val="20"/>
        </w:rPr>
        <w:tab/>
        <w:t>účetně nedoložitelné výdaje</w:t>
      </w:r>
    </w:p>
    <w:p w:rsidR="00674276" w:rsidRDefault="00674276" w:rsidP="00071D79">
      <w:pPr>
        <w:widowControl/>
        <w:ind w:left="993" w:hanging="360"/>
        <w:jc w:val="both"/>
        <w:rPr>
          <w:sz w:val="20"/>
          <w:szCs w:val="20"/>
        </w:rPr>
      </w:pPr>
      <w:r>
        <w:rPr>
          <w:sz w:val="20"/>
          <w:szCs w:val="20"/>
        </w:rPr>
        <w:t>-</w:t>
      </w:r>
      <w:r>
        <w:rPr>
          <w:sz w:val="20"/>
          <w:szCs w:val="20"/>
        </w:rPr>
        <w:tab/>
        <w:t>daň silniční, daň z nemovitých věcí, daň z nabytí nemovitých věcí, poplatek za znečištění ovzduší, televizní a rozhlasový poplatek atp.</w:t>
      </w:r>
    </w:p>
    <w:p w:rsidR="00674276" w:rsidRDefault="00674276" w:rsidP="00071D79">
      <w:pPr>
        <w:widowControl/>
        <w:ind w:left="993" w:hanging="360"/>
        <w:jc w:val="both"/>
        <w:rPr>
          <w:i/>
          <w:iCs/>
          <w:color w:val="0070C0"/>
          <w:sz w:val="16"/>
          <w:szCs w:val="16"/>
        </w:rPr>
      </w:pPr>
      <w:r>
        <w:rPr>
          <w:sz w:val="20"/>
          <w:szCs w:val="20"/>
        </w:rPr>
        <w:lastRenderedPageBreak/>
        <w:t>-</w:t>
      </w:r>
      <w:r>
        <w:rPr>
          <w:sz w:val="20"/>
          <w:szCs w:val="20"/>
        </w:rPr>
        <w:tab/>
        <w:t>výdaje na pohoštění</w:t>
      </w:r>
      <w:r>
        <w:rPr>
          <w:i/>
          <w:iCs/>
          <w:color w:val="0070C0"/>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5.4</w:t>
      </w:r>
      <w:r>
        <w:rPr>
          <w:sz w:val="20"/>
          <w:szCs w:val="20"/>
        </w:rPr>
        <w:tab/>
        <w:t>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5.5</w:t>
      </w:r>
      <w:r>
        <w:rPr>
          <w:sz w:val="20"/>
          <w:szCs w:val="20"/>
        </w:rPr>
        <w:tab/>
        <w:t>Ustanovení o dani z přidané hodnoty dle zákona č. 235/2004 Sb., o dani z přidané hodnoty, v platném znění:</w:t>
      </w:r>
    </w:p>
    <w:p w:rsidR="00674276" w:rsidRDefault="00674276" w:rsidP="00071D79">
      <w:pPr>
        <w:widowControl/>
        <w:tabs>
          <w:tab w:val="left" w:pos="8928"/>
        </w:tabs>
        <w:spacing w:before="60"/>
        <w:ind w:left="993" w:hanging="357"/>
        <w:jc w:val="both"/>
        <w:rPr>
          <w:sz w:val="20"/>
          <w:szCs w:val="20"/>
        </w:rPr>
      </w:pPr>
      <w:r>
        <w:rPr>
          <w:sz w:val="20"/>
          <w:szCs w:val="20"/>
        </w:rPr>
        <w:t>a)</w:t>
      </w:r>
      <w:r>
        <w:rPr>
          <w:sz w:val="20"/>
          <w:szCs w:val="20"/>
        </w:rPr>
        <w:tab/>
        <w:t xml:space="preserve">DPH je pro příjemce způsobilým výdajem, pokud příjemce není plátcem DPH nebo příjemci nevzniká nárok na odpočet DPH.  </w:t>
      </w:r>
    </w:p>
    <w:p w:rsidR="00674276" w:rsidRDefault="00674276" w:rsidP="00071D79">
      <w:pPr>
        <w:widowControl/>
        <w:tabs>
          <w:tab w:val="left" w:pos="8928"/>
        </w:tabs>
        <w:spacing w:before="60"/>
        <w:ind w:left="993" w:hanging="357"/>
        <w:jc w:val="both"/>
        <w:rPr>
          <w:sz w:val="20"/>
          <w:szCs w:val="20"/>
        </w:rPr>
      </w:pPr>
      <w:r>
        <w:rPr>
          <w:sz w:val="20"/>
          <w:szCs w:val="20"/>
        </w:rPr>
        <w:t>b)</w:t>
      </w:r>
      <w:r>
        <w:rPr>
          <w:sz w:val="20"/>
          <w:szCs w:val="20"/>
        </w:rPr>
        <w:tab/>
        <w:t xml:space="preserve">V případě, že výdaje projektu jsou způsobilými výdaji pouze z části, pak je DPH způsobilým výdajem ze stejné části. </w:t>
      </w:r>
    </w:p>
    <w:p w:rsidR="00674276" w:rsidRDefault="00674276" w:rsidP="00071D79">
      <w:pPr>
        <w:widowControl/>
        <w:tabs>
          <w:tab w:val="left" w:pos="8928"/>
        </w:tabs>
        <w:spacing w:before="60"/>
        <w:ind w:left="993" w:hanging="357"/>
        <w:jc w:val="both"/>
        <w:rPr>
          <w:sz w:val="20"/>
          <w:szCs w:val="20"/>
        </w:rPr>
      </w:pPr>
      <w:r>
        <w:rPr>
          <w:sz w:val="20"/>
          <w:szCs w:val="20"/>
        </w:rPr>
        <w:t>c)</w:t>
      </w:r>
      <w:r>
        <w:rPr>
          <w:sz w:val="20"/>
          <w:szCs w:val="20"/>
        </w:rPr>
        <w:tab/>
        <w:t xml:space="preserve">Pokud má příjemce nárok na odpočet v poměrné části nebo dle koeficientu, bude způsobilým výdajem část oprávněně neuplatněné DPH. </w:t>
      </w:r>
    </w:p>
    <w:p w:rsidR="00674276" w:rsidRDefault="00674276" w:rsidP="00071D79">
      <w:pPr>
        <w:widowControl/>
        <w:tabs>
          <w:tab w:val="left" w:pos="8928"/>
        </w:tabs>
        <w:spacing w:before="60"/>
        <w:ind w:left="993" w:hanging="357"/>
        <w:jc w:val="both"/>
        <w:rPr>
          <w:sz w:val="20"/>
          <w:szCs w:val="20"/>
        </w:rPr>
      </w:pPr>
      <w:r>
        <w:rPr>
          <w:sz w:val="20"/>
          <w:szCs w:val="20"/>
        </w:rPr>
        <w:t>d)</w:t>
      </w:r>
      <w:r>
        <w:rPr>
          <w:sz w:val="20"/>
          <w:szCs w:val="20"/>
        </w:rPr>
        <w:tab/>
        <w:t xml:space="preserve">V případě, že před předložením Závěrečné zprávy s vyúčtováním dotace dojde ke změně nároku na odpočet, musí příjemce tuto skutečnost promítnout do Závěrečné zprávy. Způsobilým výdajem je pak pouze oprávněně neuplatněná DPH. </w:t>
      </w:r>
    </w:p>
    <w:p w:rsidR="00674276" w:rsidRDefault="00674276" w:rsidP="00071D79">
      <w:pPr>
        <w:widowControl/>
        <w:tabs>
          <w:tab w:val="left" w:pos="8928"/>
        </w:tabs>
        <w:spacing w:before="60"/>
        <w:ind w:left="993" w:hanging="357"/>
        <w:jc w:val="both"/>
        <w:rPr>
          <w:sz w:val="20"/>
          <w:szCs w:val="20"/>
        </w:rPr>
      </w:pPr>
      <w:r>
        <w:rPr>
          <w:sz w:val="20"/>
          <w:szCs w:val="20"/>
        </w:rPr>
        <w:t>e)</w:t>
      </w:r>
      <w:r>
        <w:rPr>
          <w:sz w:val="20"/>
          <w:szCs w:val="20"/>
        </w:rPr>
        <w:tab/>
        <w:t>Pokud příjemce není plátcem DPH, ale stane se jím po předložení Závěrečné zprávy s vyúčtováním dotace,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674276" w:rsidRDefault="00674276" w:rsidP="00071D79">
      <w:pPr>
        <w:widowControl/>
        <w:tabs>
          <w:tab w:val="left" w:pos="8928"/>
        </w:tabs>
        <w:spacing w:before="60"/>
        <w:ind w:left="993" w:hanging="357"/>
        <w:jc w:val="both"/>
        <w:rPr>
          <w:sz w:val="20"/>
          <w:szCs w:val="20"/>
        </w:rPr>
      </w:pPr>
      <w:r>
        <w:rPr>
          <w:sz w:val="20"/>
          <w:szCs w:val="20"/>
        </w:rPr>
        <w:t>f)</w:t>
      </w:r>
      <w:r>
        <w:rPr>
          <w:sz w:val="20"/>
          <w:szCs w:val="20"/>
        </w:rPr>
        <w:tab/>
        <w:t>Jestliže se příjemce stane plátcem DPH v průběhu realizace projektu, je povinen tuto skutečnost neprodleně oznámit poskytovateli.</w:t>
      </w:r>
    </w:p>
    <w:p w:rsidR="00674276" w:rsidRDefault="00674276" w:rsidP="00071D79">
      <w:pPr>
        <w:widowControl/>
        <w:tabs>
          <w:tab w:val="left" w:pos="8928"/>
        </w:tabs>
        <w:spacing w:before="60"/>
        <w:ind w:left="993" w:hanging="357"/>
        <w:jc w:val="both"/>
        <w:rPr>
          <w:sz w:val="20"/>
          <w:szCs w:val="20"/>
        </w:rPr>
      </w:pPr>
      <w:r>
        <w:rPr>
          <w:sz w:val="20"/>
          <w:szCs w:val="20"/>
        </w:rPr>
        <w:t>g)</w:t>
      </w:r>
      <w:r>
        <w:rPr>
          <w:sz w:val="20"/>
          <w:szCs w:val="20"/>
        </w:rPr>
        <w:tab/>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674276" w:rsidRDefault="00674276">
      <w:pPr>
        <w:tabs>
          <w:tab w:val="left" w:pos="2016"/>
          <w:tab w:val="left" w:pos="3168"/>
          <w:tab w:val="left" w:pos="4320"/>
          <w:tab w:val="left" w:pos="5472"/>
          <w:tab w:val="left" w:pos="6624"/>
          <w:tab w:val="left" w:pos="7776"/>
          <w:tab w:val="left" w:pos="8928"/>
        </w:tabs>
        <w:spacing w:before="60"/>
        <w:ind w:left="1134" w:right="144"/>
        <w:jc w:val="both"/>
        <w:rPr>
          <w:sz w:val="20"/>
          <w:szCs w:val="20"/>
        </w:rPr>
      </w:pPr>
      <w:r>
        <w:rPr>
          <w:sz w:val="20"/>
          <w:szCs w:val="20"/>
        </w:rPr>
        <w:t xml:space="preserve">- vnitřním účetním dokladem s vyčíslením částky DPH,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daňovým přiznáním k DPH,</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kontrolním hlášení,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bankovním výpisem.</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5.6</w:t>
      </w:r>
      <w:r>
        <w:rPr>
          <w:sz w:val="20"/>
          <w:szCs w:val="20"/>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5.7</w:t>
      </w:r>
      <w:r>
        <w:rPr>
          <w:sz w:val="20"/>
          <w:szCs w:val="20"/>
        </w:rPr>
        <w:tab/>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5.8</w:t>
      </w:r>
      <w:r>
        <w:rPr>
          <w:sz w:val="20"/>
          <w:szCs w:val="20"/>
        </w:rPr>
        <w:tab/>
        <w:t>Příjemce je dále povinen:</w:t>
      </w:r>
    </w:p>
    <w:p w:rsidR="00674276" w:rsidRDefault="00674276">
      <w:pPr>
        <w:widowControl/>
        <w:tabs>
          <w:tab w:val="left" w:pos="8928"/>
        </w:tabs>
        <w:spacing w:before="60"/>
        <w:ind w:left="717" w:hanging="360"/>
        <w:jc w:val="both"/>
        <w:rPr>
          <w:sz w:val="20"/>
          <w:szCs w:val="20"/>
        </w:rPr>
      </w:pPr>
      <w:r>
        <w:rPr>
          <w:sz w:val="20"/>
          <w:szCs w:val="20"/>
        </w:rPr>
        <w:lastRenderedPageBreak/>
        <w:t>a)</w:t>
      </w:r>
      <w:r>
        <w:rPr>
          <w:sz w:val="20"/>
          <w:szCs w:val="20"/>
        </w:rPr>
        <w:tab/>
        <w:t>zajistit, aby všechny údaje, které uvádí poskytovateli, byly vždy úplné a pravdivé,</w:t>
      </w:r>
    </w:p>
    <w:p w:rsidR="00674276" w:rsidRDefault="00674276">
      <w:pPr>
        <w:widowControl/>
        <w:tabs>
          <w:tab w:val="left" w:pos="8928"/>
        </w:tabs>
        <w:spacing w:before="60"/>
        <w:ind w:left="714" w:hanging="357"/>
        <w:jc w:val="both"/>
        <w:rPr>
          <w:sz w:val="20"/>
          <w:szCs w:val="20"/>
        </w:rPr>
      </w:pPr>
      <w:r>
        <w:rPr>
          <w:sz w:val="20"/>
          <w:szCs w:val="20"/>
        </w:rPr>
        <w:t>b)</w:t>
      </w:r>
      <w:r>
        <w:rPr>
          <w:sz w:val="20"/>
          <w:szCs w:val="20"/>
        </w:rPr>
        <w:tab/>
        <w:t>zabezpečit archivaci veškeré dokumentace k projektu, včetně účetnictví o projektu po dobu 10 let ode dne skončení realizace programu,</w:t>
      </w:r>
    </w:p>
    <w:p w:rsidR="00674276" w:rsidRDefault="00674276">
      <w:pPr>
        <w:widowControl/>
        <w:tabs>
          <w:tab w:val="left" w:pos="8928"/>
        </w:tabs>
        <w:spacing w:before="60"/>
        <w:ind w:left="714" w:hanging="357"/>
        <w:jc w:val="both"/>
        <w:rPr>
          <w:sz w:val="20"/>
          <w:szCs w:val="20"/>
        </w:rPr>
      </w:pPr>
      <w:r>
        <w:rPr>
          <w:sz w:val="20"/>
          <w:szCs w:val="20"/>
        </w:rPr>
        <w:t>c)</w:t>
      </w:r>
      <w:r>
        <w:rPr>
          <w:sz w:val="20"/>
          <w:szCs w:val="20"/>
        </w:rPr>
        <w:tab/>
        <w:t>dohodnout s dodavateli v rámci projektu fakturační podmínky tak, aby byla doložena účelovost faktur, včetně specifikace jednotlivých způsobilých výdajů,</w:t>
      </w:r>
    </w:p>
    <w:p w:rsidR="00674276" w:rsidRDefault="00674276">
      <w:pPr>
        <w:widowControl/>
        <w:tabs>
          <w:tab w:val="left" w:pos="8928"/>
        </w:tabs>
        <w:spacing w:before="72"/>
        <w:ind w:left="717" w:hanging="360"/>
        <w:jc w:val="both"/>
        <w:rPr>
          <w:i/>
          <w:iCs/>
          <w:color w:val="0070C0"/>
          <w:sz w:val="16"/>
          <w:szCs w:val="16"/>
        </w:rPr>
      </w:pPr>
      <w:r>
        <w:rPr>
          <w:sz w:val="20"/>
          <w:szCs w:val="20"/>
        </w:rPr>
        <w:t>d)</w:t>
      </w:r>
      <w:r>
        <w:rPr>
          <w:sz w:val="20"/>
          <w:szCs w:val="20"/>
        </w:rPr>
        <w:tab/>
        <w:t>nezcizit majetek pořízený//opravený na základě této dotace (movité i nemovité věci) nejméně po dobu tří let ode dne jeho pořízení//opravy,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w:t>
      </w:r>
    </w:p>
    <w:p w:rsidR="00674276" w:rsidRPr="00422A62" w:rsidRDefault="00674276">
      <w:pPr>
        <w:widowControl/>
        <w:tabs>
          <w:tab w:val="left" w:pos="8928"/>
        </w:tabs>
        <w:spacing w:before="72"/>
        <w:ind w:left="717" w:hanging="360"/>
        <w:jc w:val="both"/>
        <w:rPr>
          <w:sz w:val="20"/>
          <w:szCs w:val="20"/>
        </w:rPr>
      </w:pPr>
      <w:r w:rsidRPr="00422A62">
        <w:rPr>
          <w:sz w:val="20"/>
          <w:szCs w:val="20"/>
        </w:rPr>
        <w:t>e)</w:t>
      </w:r>
      <w:r w:rsidRPr="00422A62">
        <w:rPr>
          <w:sz w:val="20"/>
          <w:szCs w:val="20"/>
        </w:rPr>
        <w:tab/>
        <w:t xml:space="preserve">informovat poskytovatele dotace emailem na adresu </w:t>
      </w:r>
      <w:hyperlink r:id="rId7" w:history="1">
        <w:r w:rsidRPr="00422A62">
          <w:rPr>
            <w:sz w:val="20"/>
            <w:szCs w:val="20"/>
          </w:rPr>
          <w:t>rp.sucholes@kr-zlinsky.cz</w:t>
        </w:r>
      </w:hyperlink>
      <w:r w:rsidRPr="00422A62">
        <w:rPr>
          <w:sz w:val="20"/>
          <w:szCs w:val="20"/>
        </w:rPr>
        <w:t xml:space="preserve"> o faktickém provedení zvolených podporovaných aktivit, a to nejpozději ve lhůtě do 7 dnů od faktického provedení podporovaných aktivit. Příjemce je povinen počínat si tak, aby nebyla znemožněna kontrola oznámených aktivit. Poskytovatel dotace je oprávněn před vyplacením prostředků provést veřejnosprávní kontrolu na místě dle zákona č. 320/2001, jejímž předmětem je zejména kontrola plnění podporovaných aktivit. Příjemce dotace je povinen poskytovateli poskytnout potřebnou součinnost. Nesplnění povinnosti informovat, je porušením podmínek smlouvy. Porušení informační povinnosti bude považováno za méně závažné porušení rozpočtové kázně ve smyslu § 10a odst. 6 zákona č. 250/2000 Sb. V případě porušení této povinnosti se příjemci uloží odvod za porušení rozpočtové kázně ve výši 10% z částky dotace. </w:t>
      </w:r>
    </w:p>
    <w:p w:rsidR="00674276" w:rsidRPr="003F60E8" w:rsidRDefault="00674276"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5.9</w:t>
      </w:r>
      <w:r w:rsidRPr="003F60E8">
        <w:rPr>
          <w:sz w:val="20"/>
          <w:szCs w:val="20"/>
        </w:rPr>
        <w:tab/>
        <w:t>Příjemce bere na vědomí, že dotace poskytnutá dle této smlouvy je:</w:t>
      </w:r>
    </w:p>
    <w:p w:rsidR="00674276" w:rsidRPr="003F60E8" w:rsidRDefault="00674276" w:rsidP="003F60E8">
      <w:pPr>
        <w:widowControl/>
        <w:tabs>
          <w:tab w:val="left" w:pos="8928"/>
        </w:tabs>
        <w:spacing w:before="72"/>
        <w:ind w:left="993" w:hanging="360"/>
        <w:jc w:val="both"/>
        <w:rPr>
          <w:sz w:val="20"/>
          <w:szCs w:val="20"/>
        </w:rPr>
      </w:pPr>
      <w:r w:rsidRPr="003F60E8">
        <w:rPr>
          <w:sz w:val="20"/>
          <w:szCs w:val="20"/>
        </w:rPr>
        <w:t>-</w:t>
      </w:r>
      <w:r w:rsidRPr="003F60E8">
        <w:rPr>
          <w:sz w:val="20"/>
          <w:szCs w:val="20"/>
        </w:rPr>
        <w:tab/>
        <w:t>podporou</w:t>
      </w:r>
      <w:r w:rsidRPr="003F60E8">
        <w:rPr>
          <w:b/>
          <w:bCs/>
          <w:sz w:val="20"/>
          <w:szCs w:val="20"/>
        </w:rPr>
        <w:t xml:space="preserve"> de minimis</w:t>
      </w:r>
      <w:r w:rsidRPr="003F60E8">
        <w:rPr>
          <w:sz w:val="20"/>
          <w:szCs w:val="20"/>
        </w:rPr>
        <w:t xml:space="preserve"> ve smyslu Nařízení Komise (EU) č. 1407/2013 ze dne 18.12.2013, o použití článků 107 a 108 Smlouvy o fungování Evropské unie na podporu de minimis (zveřejněno v Úředním věstníku L 352/1 dne 24. 12. 2013);</w:t>
      </w:r>
    </w:p>
    <w:p w:rsidR="00674276" w:rsidRPr="003F60E8" w:rsidRDefault="00674276"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5.10</w:t>
      </w:r>
      <w:r w:rsidRPr="003F60E8">
        <w:rPr>
          <w:sz w:val="20"/>
          <w:szCs w:val="20"/>
        </w:rPr>
        <w:tab/>
        <w:t xml:space="preserve">Příjemce prohlašuje, že on ani subjekty s ním propojené nejsou tzv. podnikem v obtížích a dále prohlašuje, že v návaznosti na rozhodnutí Evropské komise, jímž je podpora prohlášena za protiprávní a neslučitelnou s vnitřním trhem, nebyl jemu ani subjektům s ním propojeným vystaven tzv. inkasní příkaz, který dosud nebyl splacen. Příjemce bere na vědomí, že v opačném případě mu dotace nebude poskytnuta. </w:t>
      </w:r>
    </w:p>
    <w:p w:rsidR="00674276" w:rsidRDefault="00422A62"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ab/>
      </w:r>
      <w:r w:rsidR="00674276" w:rsidRPr="003F60E8">
        <w:rPr>
          <w:sz w:val="20"/>
          <w:szCs w:val="20"/>
        </w:rPr>
        <w:t>V případě, že některá z výše uvedených skutečností nastane až po uzavření této smlouvy, je příjemce povinen poskytovatele neprodleně o těchto skutečnostech informovat, a pokud již příjemci dotace byla vyplacena, je povinen ji poskytovateli vrátit. Porušení těchto povinností zakládá právo poskytovatele vypovědět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Povinnosti příjemce při zajišťování publicity poskytovatele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6.1</w:t>
      </w:r>
      <w:r>
        <w:rPr>
          <w:sz w:val="20"/>
          <w:szCs w:val="20"/>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6.2</w:t>
      </w:r>
      <w:r>
        <w:rPr>
          <w:sz w:val="20"/>
          <w:szCs w:val="20"/>
        </w:rPr>
        <w:tab/>
        <w:t>Přijetím finančních prostředků z rozpočtu Zlínského kraje dává příjemce souhlas se zveřejněním údajů o aktivitě financované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6.3</w:t>
      </w:r>
      <w:r>
        <w:rPr>
          <w:sz w:val="20"/>
          <w:szCs w:val="20"/>
        </w:rPr>
        <w:tab/>
        <w:t xml:space="preserve">Přijetím finančních prostředků z rozpočtu Zlínského kraje získává příjemce souhlas s užitím loga Zlínského kraje, které je k dispozici na </w:t>
      </w:r>
      <w:hyperlink r:id="rId8" w:history="1">
        <w:r>
          <w:rPr>
            <w:color w:val="0000FF"/>
            <w:sz w:val="20"/>
            <w:szCs w:val="20"/>
            <w:u w:val="single"/>
          </w:rPr>
          <w:t>www.kr-zlinsky.cz</w:t>
        </w:r>
      </w:hyperlink>
      <w:r>
        <w:rPr>
          <w:sz w:val="20"/>
          <w:szCs w:val="20"/>
        </w:rPr>
        <w:t xml:space="preserve"> pod chráněným přístupem. Logo bude umístěno na všech dokumentech souvisejících s realizací projektu, které budou propagovat aktivitu financovanou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6.4</w:t>
      </w:r>
      <w:r>
        <w:rPr>
          <w:sz w:val="20"/>
          <w:szCs w:val="20"/>
        </w:rPr>
        <w:tab/>
        <w:t xml:space="preserve">Konkrétní povinnosti příjemce: </w:t>
      </w: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 xml:space="preserve">logo Zlínského kraje lze nahradit či doplnit formulací: </w:t>
      </w:r>
      <w:r>
        <w:rPr>
          <w:i/>
          <w:iCs/>
          <w:sz w:val="20"/>
          <w:szCs w:val="20"/>
        </w:rPr>
        <w:t>„Název akce“ je financována/spolufinancována Zlínským krajem</w:t>
      </w:r>
      <w:r>
        <w:rPr>
          <w:sz w:val="20"/>
          <w:szCs w:val="20"/>
        </w:rPr>
        <w:t xml:space="preserve">; </w:t>
      </w: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lastRenderedPageBreak/>
        <w:t>-</w:t>
      </w:r>
      <w:r>
        <w:rPr>
          <w:sz w:val="20"/>
          <w:szCs w:val="20"/>
        </w:rPr>
        <w:tab/>
        <w:t>příjemce je dále povinen prezentovat poskytovatele minimálně 1 z následujících prostředků komunikace, který doloží v Závěrečné zprávě s vyúčtováním dotace:</w:t>
      </w:r>
    </w:p>
    <w:p w:rsidR="00674276" w:rsidRDefault="00674276">
      <w:pPr>
        <w:tabs>
          <w:tab w:val="left" w:pos="1134"/>
          <w:tab w:val="left" w:pos="3168"/>
          <w:tab w:val="left" w:pos="4320"/>
          <w:tab w:val="left" w:pos="5472"/>
          <w:tab w:val="left" w:pos="6624"/>
          <w:tab w:val="left" w:pos="7776"/>
          <w:tab w:val="left" w:pos="8928"/>
        </w:tabs>
        <w:ind w:left="1134" w:hanging="284"/>
        <w:jc w:val="both"/>
        <w:rPr>
          <w:sz w:val="20"/>
          <w:szCs w:val="20"/>
        </w:rPr>
      </w:pPr>
      <w:r>
        <w:rPr>
          <w:sz w:val="20"/>
          <w:szCs w:val="20"/>
        </w:rPr>
        <w:t xml:space="preserve">a) </w:t>
      </w:r>
      <w:r>
        <w:rPr>
          <w:sz w:val="20"/>
          <w:szCs w:val="20"/>
        </w:rPr>
        <w:tab/>
        <w:t xml:space="preserve">obecní zpravodaj </w:t>
      </w:r>
      <w:r>
        <w:rPr>
          <w:color w:val="000000"/>
          <w:sz w:val="20"/>
          <w:szCs w:val="20"/>
        </w:rPr>
        <w:t>(doloží se originálem nebo kopií příslušného článku a informací, kdy byl publikován)</w:t>
      </w:r>
    </w:p>
    <w:p w:rsidR="00674276" w:rsidRDefault="00674276">
      <w:pPr>
        <w:tabs>
          <w:tab w:val="left" w:pos="2016"/>
          <w:tab w:val="left" w:pos="3168"/>
          <w:tab w:val="left" w:pos="4320"/>
          <w:tab w:val="left" w:pos="5472"/>
          <w:tab w:val="left" w:pos="6624"/>
          <w:tab w:val="left" w:pos="7776"/>
          <w:tab w:val="left" w:pos="8928"/>
        </w:tabs>
        <w:ind w:left="1134" w:hanging="283"/>
        <w:jc w:val="both"/>
        <w:rPr>
          <w:sz w:val="20"/>
          <w:szCs w:val="20"/>
        </w:rPr>
      </w:pPr>
      <w:r>
        <w:rPr>
          <w:sz w:val="20"/>
          <w:szCs w:val="20"/>
        </w:rPr>
        <w:t>b)</w:t>
      </w:r>
      <w:r>
        <w:rPr>
          <w:sz w:val="20"/>
          <w:szCs w:val="20"/>
        </w:rPr>
        <w:tab/>
        <w:t xml:space="preserve">úřední deska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134" w:hanging="284"/>
        <w:jc w:val="both"/>
        <w:rPr>
          <w:sz w:val="20"/>
          <w:szCs w:val="20"/>
        </w:rPr>
      </w:pPr>
      <w:r>
        <w:rPr>
          <w:sz w:val="20"/>
          <w:szCs w:val="20"/>
        </w:rPr>
        <w:t>c)</w:t>
      </w:r>
      <w:r>
        <w:rPr>
          <w:sz w:val="20"/>
          <w:szCs w:val="20"/>
        </w:rPr>
        <w:tab/>
        <w:t xml:space="preserve">televizní informační kanál </w:t>
      </w:r>
      <w:r>
        <w:rPr>
          <w:color w:val="000000"/>
          <w:sz w:val="20"/>
          <w:szCs w:val="20"/>
        </w:rPr>
        <w:t>(doloží se písemnou informací o datu a čase, kdy byla informace v médiu uvedena a text této informace)</w:t>
      </w:r>
    </w:p>
    <w:p w:rsidR="00674276" w:rsidRDefault="00674276">
      <w:pPr>
        <w:widowControl/>
        <w:ind w:left="1210" w:hanging="360"/>
        <w:jc w:val="both"/>
        <w:rPr>
          <w:color w:val="000000"/>
          <w:sz w:val="20"/>
          <w:szCs w:val="20"/>
        </w:rPr>
      </w:pPr>
      <w:r>
        <w:rPr>
          <w:sz w:val="20"/>
          <w:szCs w:val="20"/>
        </w:rPr>
        <w:t>d)</w:t>
      </w:r>
      <w:r>
        <w:rPr>
          <w:sz w:val="20"/>
          <w:szCs w:val="20"/>
        </w:rPr>
        <w:tab/>
        <w:t xml:space="preserve">webové stránky </w:t>
      </w:r>
      <w:r>
        <w:rPr>
          <w:color w:val="000000"/>
          <w:sz w:val="20"/>
          <w:szCs w:val="20"/>
        </w:rPr>
        <w:t>(doloží se odkazem na příslušné stránky s uvedením, kdy byla informace uveřejněna)</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e)</w:t>
      </w:r>
      <w:r>
        <w:rPr>
          <w:sz w:val="20"/>
          <w:szCs w:val="20"/>
        </w:rPr>
        <w:tab/>
        <w:t xml:space="preserve">regionální tisk </w:t>
      </w:r>
      <w:r>
        <w:rPr>
          <w:color w:val="000000"/>
          <w:sz w:val="20"/>
          <w:szCs w:val="20"/>
        </w:rPr>
        <w:t>(doloží se originálem či kopií příslušného článku a informací, kdy byl publikován)</w:t>
      </w:r>
    </w:p>
    <w:p w:rsidR="00674276" w:rsidRDefault="00674276">
      <w:pPr>
        <w:widowControl/>
        <w:ind w:left="1210" w:hanging="360"/>
        <w:jc w:val="both"/>
        <w:rPr>
          <w:color w:val="000000"/>
          <w:sz w:val="20"/>
          <w:szCs w:val="20"/>
        </w:rPr>
      </w:pPr>
      <w:r>
        <w:rPr>
          <w:sz w:val="20"/>
          <w:szCs w:val="20"/>
        </w:rPr>
        <w:t>f)</w:t>
      </w:r>
      <w:r>
        <w:rPr>
          <w:sz w:val="20"/>
          <w:szCs w:val="20"/>
        </w:rPr>
        <w:tab/>
        <w:t xml:space="preserve">billboard </w:t>
      </w:r>
      <w:r>
        <w:rPr>
          <w:color w:val="000000"/>
          <w:sz w:val="20"/>
          <w:szCs w:val="20"/>
        </w:rPr>
        <w:t>(doloží se fotografií a informací o období vyvěšení)</w:t>
      </w:r>
    </w:p>
    <w:p w:rsidR="00674276" w:rsidRDefault="00674276">
      <w:pPr>
        <w:widowControl/>
        <w:ind w:left="1210" w:hanging="360"/>
        <w:jc w:val="both"/>
        <w:rPr>
          <w:color w:val="000000"/>
          <w:sz w:val="20"/>
          <w:szCs w:val="20"/>
        </w:rPr>
      </w:pPr>
      <w:r>
        <w:rPr>
          <w:sz w:val="20"/>
          <w:szCs w:val="20"/>
        </w:rPr>
        <w:t>g)</w:t>
      </w:r>
      <w:r>
        <w:rPr>
          <w:sz w:val="20"/>
          <w:szCs w:val="20"/>
        </w:rPr>
        <w:tab/>
        <w:t xml:space="preserve">rozhlas – obecní či regionální/celoplošné vysílání </w:t>
      </w:r>
      <w:r>
        <w:rPr>
          <w:color w:val="000000"/>
          <w:sz w:val="20"/>
          <w:szCs w:val="20"/>
        </w:rPr>
        <w:t>(doloží se přepisem hlášeného textu a informací o datu, kdy byla informace hlášena)</w:t>
      </w:r>
    </w:p>
    <w:p w:rsidR="00674276" w:rsidRDefault="00674276">
      <w:pPr>
        <w:widowControl/>
        <w:ind w:left="1210" w:hanging="360"/>
        <w:jc w:val="both"/>
        <w:rPr>
          <w:color w:val="000000"/>
          <w:sz w:val="20"/>
          <w:szCs w:val="20"/>
        </w:rPr>
      </w:pPr>
      <w:r>
        <w:rPr>
          <w:sz w:val="20"/>
          <w:szCs w:val="20"/>
        </w:rPr>
        <w:t>h)</w:t>
      </w:r>
      <w:r>
        <w:rPr>
          <w:sz w:val="20"/>
          <w:szCs w:val="20"/>
        </w:rPr>
        <w:tab/>
        <w:t xml:space="preserve">výroční zpráva </w:t>
      </w:r>
      <w:r>
        <w:rPr>
          <w:color w:val="000000"/>
          <w:sz w:val="20"/>
          <w:szCs w:val="20"/>
        </w:rPr>
        <w:t>(doloží se originálem nebo kopií této zprávy či její části obsahující prezentaci poskytovatele)</w:t>
      </w:r>
    </w:p>
    <w:p w:rsidR="00674276" w:rsidRDefault="00674276">
      <w:pPr>
        <w:widowControl/>
        <w:ind w:left="1210" w:hanging="360"/>
        <w:jc w:val="both"/>
        <w:rPr>
          <w:color w:val="000000"/>
          <w:sz w:val="20"/>
          <w:szCs w:val="20"/>
        </w:rPr>
      </w:pPr>
      <w:r>
        <w:rPr>
          <w:sz w:val="20"/>
          <w:szCs w:val="20"/>
        </w:rPr>
        <w:t>i)</w:t>
      </w:r>
      <w:r>
        <w:rPr>
          <w:sz w:val="20"/>
          <w:szCs w:val="20"/>
        </w:rPr>
        <w:tab/>
        <w:t xml:space="preserve">pamětní deska </w:t>
      </w:r>
      <w:r>
        <w:rPr>
          <w:color w:val="000000"/>
          <w:sz w:val="20"/>
          <w:szCs w:val="20"/>
        </w:rPr>
        <w:t>(doloží se fotografií a informací o datu umístění této desky)</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j)</w:t>
      </w:r>
      <w:r>
        <w:rPr>
          <w:sz w:val="20"/>
          <w:szCs w:val="20"/>
        </w:rPr>
        <w:tab/>
        <w:t xml:space="preserve">propagační předměty </w:t>
      </w:r>
      <w:r>
        <w:rPr>
          <w:color w:val="000000"/>
          <w:sz w:val="20"/>
          <w:szCs w:val="20"/>
        </w:rPr>
        <w:t>(doloží se předložením propagačního předmětu)</w:t>
      </w:r>
    </w:p>
    <w:p w:rsidR="00674276" w:rsidRDefault="00674276">
      <w:pPr>
        <w:widowControl/>
        <w:ind w:left="1210" w:hanging="360"/>
        <w:jc w:val="both"/>
        <w:rPr>
          <w:color w:val="000000"/>
          <w:sz w:val="20"/>
          <w:szCs w:val="20"/>
        </w:rPr>
      </w:pPr>
      <w:r>
        <w:rPr>
          <w:sz w:val="20"/>
          <w:szCs w:val="20"/>
        </w:rPr>
        <w:t>k)</w:t>
      </w:r>
      <w:r>
        <w:rPr>
          <w:sz w:val="20"/>
          <w:szCs w:val="20"/>
        </w:rPr>
        <w:tab/>
        <w:t xml:space="preserve">periodikum vydávané ve smyslu zákona č. 46/2000 Sb., tiskový zákon, ve znění pozdějších předpisů </w:t>
      </w:r>
      <w:r>
        <w:rPr>
          <w:color w:val="000000"/>
          <w:sz w:val="20"/>
          <w:szCs w:val="20"/>
        </w:rPr>
        <w:t>(doloží se originálem nebo kopií příslušného článku a informací, kdy byl publikován)</w:t>
      </w:r>
    </w:p>
    <w:p w:rsidR="00674276" w:rsidRDefault="00674276">
      <w:pPr>
        <w:widowControl/>
        <w:ind w:left="1210" w:hanging="360"/>
        <w:jc w:val="both"/>
        <w:rPr>
          <w:color w:val="000000"/>
          <w:sz w:val="20"/>
          <w:szCs w:val="20"/>
        </w:rPr>
      </w:pPr>
      <w:r>
        <w:rPr>
          <w:sz w:val="20"/>
          <w:szCs w:val="20"/>
        </w:rPr>
        <w:t>l)</w:t>
      </w:r>
      <w:r>
        <w:rPr>
          <w:sz w:val="20"/>
          <w:szCs w:val="20"/>
        </w:rPr>
        <w:tab/>
        <w:t xml:space="preserve">informační tabule (nástěnky, apod.),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m)</w:t>
      </w:r>
      <w:r>
        <w:rPr>
          <w:sz w:val="20"/>
          <w:szCs w:val="20"/>
        </w:rPr>
        <w:tab/>
        <w:t>vlastní návrh příjemce odsouhlasený poskytovatelem.</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Sankce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7.1</w:t>
      </w:r>
      <w:r>
        <w:rPr>
          <w:sz w:val="20"/>
          <w:szCs w:val="20"/>
        </w:rPr>
        <w:tab/>
        <w:t xml:space="preserve">V případě porušení rozpočtové kázně ze strany příjemce bude poskytovatel postupovat v souladu s ustanovením § 22 zákona č. 250/2000 Sb., o rozpočtových pravidlech územních rozpočtů, ve znění pozdějších předpisů.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b/>
          <w:bCs/>
          <w:i/>
          <w:iCs/>
          <w:color w:val="0070C0"/>
          <w:sz w:val="16"/>
          <w:szCs w:val="16"/>
        </w:rPr>
      </w:pPr>
      <w:r>
        <w:rPr>
          <w:sz w:val="20"/>
          <w:szCs w:val="20"/>
        </w:rPr>
        <w:t>7.2</w:t>
      </w:r>
      <w:r>
        <w:rPr>
          <w:sz w:val="20"/>
          <w:szCs w:val="20"/>
        </w:rPr>
        <w:tab/>
        <w:t xml:space="preserve">Porušení povinností uvedených v článku VI. je považováno za </w:t>
      </w:r>
      <w:r>
        <w:rPr>
          <w:b/>
          <w:bCs/>
          <w:sz w:val="20"/>
          <w:szCs w:val="20"/>
        </w:rPr>
        <w:t>méně závažné porušení</w:t>
      </w:r>
      <w:r>
        <w:rPr>
          <w:sz w:val="20"/>
          <w:szCs w:val="20"/>
        </w:rPr>
        <w:t xml:space="preserve"> rozpočtové kázně ve smyslu § 10a odst. 6 zákona č. 250/2000 Sb. V případě porušení těchto povinností se příjemci uloží </w:t>
      </w:r>
      <w:r>
        <w:rPr>
          <w:b/>
          <w:bCs/>
          <w:sz w:val="20"/>
          <w:szCs w:val="20"/>
        </w:rPr>
        <w:t>odvod</w:t>
      </w:r>
      <w:r>
        <w:rPr>
          <w:sz w:val="20"/>
          <w:szCs w:val="20"/>
        </w:rPr>
        <w:t xml:space="preserve"> za porušení rozpočtové kázně </w:t>
      </w:r>
      <w:r>
        <w:rPr>
          <w:b/>
          <w:bCs/>
          <w:sz w:val="20"/>
          <w:szCs w:val="20"/>
        </w:rPr>
        <w:t>ve výši</w:t>
      </w:r>
      <w:r>
        <w:rPr>
          <w:b/>
          <w:bCs/>
          <w:sz w:val="16"/>
          <w:szCs w:val="16"/>
        </w:rPr>
        <w:t xml:space="preserve"> </w:t>
      </w:r>
      <w:r>
        <w:rPr>
          <w:b/>
          <w:bCs/>
          <w:sz w:val="20"/>
          <w:szCs w:val="20"/>
        </w:rPr>
        <w:t>5 % poskytnuté dotace.</w:t>
      </w:r>
      <w:r>
        <w:rPr>
          <w:sz w:val="16"/>
          <w:szCs w:val="16"/>
        </w:rPr>
        <w:t xml:space="preserve">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VIII.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Změny podmínek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8.1</w:t>
      </w:r>
      <w:r>
        <w:rPr>
          <w:sz w:val="20"/>
          <w:szCs w:val="20"/>
        </w:rPr>
        <w:tab/>
        <w:t>Příjemci je dána možnost změnit projekt bez předchozího souhlasu poskytovatele za předpokladu, že změny nejsou podstatného charakteru, tj.:</w:t>
      </w:r>
    </w:p>
    <w:p w:rsidR="00674276" w:rsidRDefault="00674276" w:rsidP="00071D79">
      <w:pPr>
        <w:tabs>
          <w:tab w:val="left" w:pos="3338"/>
          <w:tab w:val="left" w:pos="8928"/>
        </w:tabs>
        <w:ind w:left="993" w:hanging="360"/>
        <w:jc w:val="both"/>
        <w:rPr>
          <w:sz w:val="20"/>
          <w:szCs w:val="20"/>
        </w:rPr>
      </w:pPr>
      <w:r>
        <w:rPr>
          <w:sz w:val="20"/>
          <w:szCs w:val="20"/>
        </w:rPr>
        <w:t>a)</w:t>
      </w:r>
      <w:r>
        <w:rPr>
          <w:sz w:val="20"/>
          <w:szCs w:val="20"/>
        </w:rPr>
        <w:tab/>
        <w:t xml:space="preserve">změna banky/bankovního účtu, </w:t>
      </w:r>
    </w:p>
    <w:p w:rsidR="00674276" w:rsidRDefault="00674276" w:rsidP="00071D79">
      <w:pPr>
        <w:tabs>
          <w:tab w:val="left" w:pos="3338"/>
          <w:tab w:val="left" w:pos="8928"/>
        </w:tabs>
        <w:ind w:left="993" w:hanging="360"/>
        <w:jc w:val="both"/>
        <w:rPr>
          <w:sz w:val="20"/>
          <w:szCs w:val="20"/>
        </w:rPr>
      </w:pPr>
      <w:r>
        <w:rPr>
          <w:sz w:val="20"/>
          <w:szCs w:val="20"/>
        </w:rPr>
        <w:t>b)</w:t>
      </w:r>
      <w:r>
        <w:rPr>
          <w:sz w:val="20"/>
          <w:szCs w:val="20"/>
        </w:rPr>
        <w:tab/>
        <w:t xml:space="preserve">změna adresy/sídla příjemce/zřizovatele,  </w:t>
      </w:r>
    </w:p>
    <w:p w:rsidR="00674276" w:rsidRDefault="00674276" w:rsidP="00071D79">
      <w:pPr>
        <w:tabs>
          <w:tab w:val="left" w:pos="3338"/>
          <w:tab w:val="left" w:pos="8928"/>
        </w:tabs>
        <w:ind w:left="993" w:hanging="360"/>
        <w:jc w:val="both"/>
        <w:rPr>
          <w:sz w:val="20"/>
          <w:szCs w:val="20"/>
        </w:rPr>
      </w:pPr>
      <w:r>
        <w:rPr>
          <w:sz w:val="20"/>
          <w:szCs w:val="20"/>
        </w:rPr>
        <w:t>c)</w:t>
      </w:r>
      <w:r>
        <w:rPr>
          <w:sz w:val="20"/>
          <w:szCs w:val="20"/>
        </w:rPr>
        <w:tab/>
        <w:t xml:space="preserve">změna statutárního orgánu/kontaktní osoby, </w:t>
      </w:r>
    </w:p>
    <w:p w:rsidR="00674276" w:rsidRDefault="00674276" w:rsidP="00071D79">
      <w:pPr>
        <w:tabs>
          <w:tab w:val="left" w:pos="3338"/>
          <w:tab w:val="left" w:pos="8928"/>
        </w:tabs>
        <w:ind w:left="993" w:hanging="360"/>
        <w:jc w:val="both"/>
        <w:rPr>
          <w:sz w:val="20"/>
          <w:szCs w:val="20"/>
        </w:rPr>
      </w:pPr>
      <w:r>
        <w:rPr>
          <w:sz w:val="20"/>
          <w:szCs w:val="20"/>
        </w:rPr>
        <w:t>d)</w:t>
      </w:r>
      <w:r>
        <w:rPr>
          <w:sz w:val="20"/>
          <w:szCs w:val="20"/>
        </w:rPr>
        <w:tab/>
        <w:t xml:space="preserve">změna názvu příjemce/zřizovatele, </w:t>
      </w:r>
    </w:p>
    <w:p w:rsidR="00674276" w:rsidRDefault="00674276" w:rsidP="00071D79">
      <w:pPr>
        <w:tabs>
          <w:tab w:val="left" w:pos="3338"/>
          <w:tab w:val="left" w:pos="8928"/>
        </w:tabs>
        <w:ind w:left="993" w:hanging="360"/>
        <w:jc w:val="both"/>
        <w:rPr>
          <w:sz w:val="20"/>
          <w:szCs w:val="20"/>
        </w:rPr>
      </w:pPr>
      <w:r>
        <w:rPr>
          <w:sz w:val="20"/>
          <w:szCs w:val="20"/>
        </w:rPr>
        <w:t>e)</w:t>
      </w:r>
      <w:r>
        <w:rPr>
          <w:sz w:val="20"/>
          <w:szCs w:val="20"/>
        </w:rPr>
        <w:tab/>
        <w:t xml:space="preserve">částečné nenaplnění monitorovacích indikátorů; maximální snížení jednotlivého monitorovacího indikátoru o 5 % u projektů s dotací nad 50 tis. Kč a maximální snížení jednotlivého monitorovacího indikátoru o 30 % u projektů s dotací do 50 tis. Kč, </w:t>
      </w:r>
    </w:p>
    <w:p w:rsidR="00674276" w:rsidRDefault="00674276" w:rsidP="00071D79">
      <w:pPr>
        <w:tabs>
          <w:tab w:val="left" w:pos="3338"/>
          <w:tab w:val="left" w:pos="8928"/>
        </w:tabs>
        <w:ind w:left="993" w:hanging="360"/>
        <w:jc w:val="both"/>
        <w:rPr>
          <w:sz w:val="20"/>
          <w:szCs w:val="20"/>
        </w:rPr>
      </w:pPr>
      <w:r>
        <w:rPr>
          <w:sz w:val="20"/>
          <w:szCs w:val="20"/>
        </w:rPr>
        <w:t>f)</w:t>
      </w:r>
      <w:r>
        <w:rPr>
          <w:sz w:val="20"/>
          <w:szCs w:val="20"/>
        </w:rPr>
        <w:tab/>
        <w:t>změna zdrojů nebo výše podílů těchto zdrojů na financování projektu (s výjimkou dotace od Zlínského kraje),</w:t>
      </w:r>
    </w:p>
    <w:p w:rsidR="00674276" w:rsidRDefault="00674276" w:rsidP="00071D79">
      <w:pPr>
        <w:tabs>
          <w:tab w:val="left" w:pos="3338"/>
          <w:tab w:val="left" w:pos="8928"/>
        </w:tabs>
        <w:ind w:left="993" w:hanging="360"/>
        <w:jc w:val="both"/>
        <w:rPr>
          <w:sz w:val="20"/>
          <w:szCs w:val="20"/>
        </w:rPr>
      </w:pPr>
      <w:r>
        <w:rPr>
          <w:sz w:val="20"/>
          <w:szCs w:val="20"/>
        </w:rPr>
        <w:t>g)</w:t>
      </w:r>
      <w:r>
        <w:rPr>
          <w:sz w:val="20"/>
          <w:szCs w:val="20"/>
        </w:rPr>
        <w:tab/>
        <w:t>změna formy publicity, pokud je v souladu s programem,</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To vše za podmínky zachování smyslu a účelu projektu. Nepodstatnou změnu projektu je příjemce povinen písemně oznámit poskytovateli nejpozději v Závěrečné zprávě s vyúčtováním dotace (kromě případů specifikovaných v čl. V. odst. 5.7).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8.2</w:t>
      </w:r>
      <w:r>
        <w:rPr>
          <w:sz w:val="20"/>
          <w:szCs w:val="20"/>
        </w:rPr>
        <w:tab/>
        <w:t xml:space="preserve">V případě podstatných změn projektu musí příjemce písemně požádat poskytovatele o změnu </w:t>
      </w:r>
      <w:r>
        <w:rPr>
          <w:sz w:val="20"/>
          <w:szCs w:val="20"/>
        </w:rPr>
        <w:lastRenderedPageBreak/>
        <w:t>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IX.</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Ukončení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w:t>
      </w:r>
      <w:r>
        <w:rPr>
          <w:sz w:val="20"/>
          <w:szCs w:val="20"/>
        </w:rPr>
        <w:tab/>
        <w:t xml:space="preserve">Smlouvu lze ukončit na základě písemné dohody obou smluvních stran nebo písemnou výpovědí smlouvy, a to za podmínek dále stanovených. </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9.2</w:t>
      </w:r>
      <w:r>
        <w:rPr>
          <w:sz w:val="20"/>
          <w:szCs w:val="20"/>
        </w:rPr>
        <w:tab/>
        <w:t>Poskytovatel může smlouvu vypovědět jak před proplacením, tak i po proplacení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9.3</w:t>
      </w:r>
      <w:r>
        <w:rPr>
          <w:sz w:val="20"/>
          <w:szCs w:val="20"/>
        </w:rPr>
        <w:tab/>
        <w:t xml:space="preserve">Výpovědním důvodem je porušení povinností příjemcem stanovených touto smlouvou nebo obecně závaznými právními předpisy, kterého se příjemce dopustí zejména pokud: </w:t>
      </w:r>
    </w:p>
    <w:p w:rsidR="00674276" w:rsidRDefault="00674276" w:rsidP="00071D79">
      <w:pPr>
        <w:widowControl/>
        <w:tabs>
          <w:tab w:val="left" w:pos="8928"/>
        </w:tabs>
        <w:ind w:left="993" w:hanging="360"/>
        <w:jc w:val="both"/>
        <w:rPr>
          <w:sz w:val="20"/>
          <w:szCs w:val="20"/>
        </w:rPr>
      </w:pPr>
      <w:r>
        <w:rPr>
          <w:sz w:val="20"/>
          <w:szCs w:val="20"/>
        </w:rPr>
        <w:t>a)</w:t>
      </w:r>
      <w:r>
        <w:rPr>
          <w:sz w:val="20"/>
          <w:szCs w:val="20"/>
        </w:rPr>
        <w:tab/>
        <w:t xml:space="preserve">svým jednáním poruší rozpočtovou kázeň dle zákona č. 250/2000 Sb., </w:t>
      </w:r>
    </w:p>
    <w:p w:rsidR="00674276" w:rsidRDefault="00674276" w:rsidP="00071D79">
      <w:pPr>
        <w:widowControl/>
        <w:tabs>
          <w:tab w:val="left" w:pos="8928"/>
        </w:tabs>
        <w:ind w:left="993" w:hanging="357"/>
        <w:jc w:val="both"/>
        <w:rPr>
          <w:sz w:val="20"/>
          <w:szCs w:val="20"/>
        </w:rPr>
      </w:pPr>
      <w:r>
        <w:rPr>
          <w:sz w:val="20"/>
          <w:szCs w:val="20"/>
        </w:rPr>
        <w:t>b)</w:t>
      </w:r>
      <w:r>
        <w:rPr>
          <w:sz w:val="20"/>
          <w:szCs w:val="20"/>
        </w:rPr>
        <w:tab/>
        <w:t>poruší pravidla veřejné podpory,</w:t>
      </w:r>
    </w:p>
    <w:p w:rsidR="00674276" w:rsidRDefault="00674276" w:rsidP="00071D79">
      <w:pPr>
        <w:widowControl/>
        <w:tabs>
          <w:tab w:val="left" w:pos="8928"/>
        </w:tabs>
        <w:ind w:left="993" w:hanging="357"/>
        <w:jc w:val="both"/>
        <w:rPr>
          <w:sz w:val="20"/>
          <w:szCs w:val="20"/>
        </w:rPr>
      </w:pPr>
      <w:r>
        <w:rPr>
          <w:sz w:val="20"/>
          <w:szCs w:val="20"/>
        </w:rPr>
        <w:t>c)</w:t>
      </w:r>
      <w:r>
        <w:rPr>
          <w:sz w:val="20"/>
          <w:szCs w:val="20"/>
        </w:rPr>
        <w:tab/>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674276" w:rsidRDefault="00674276" w:rsidP="00071D79">
      <w:pPr>
        <w:widowControl/>
        <w:tabs>
          <w:tab w:val="left" w:pos="8928"/>
        </w:tabs>
        <w:ind w:left="993" w:hanging="357"/>
        <w:jc w:val="both"/>
        <w:rPr>
          <w:sz w:val="20"/>
          <w:szCs w:val="20"/>
        </w:rPr>
      </w:pPr>
      <w:r>
        <w:rPr>
          <w:sz w:val="20"/>
          <w:szCs w:val="20"/>
        </w:rPr>
        <w:t>d)</w:t>
      </w:r>
      <w:r>
        <w:rPr>
          <w:sz w:val="20"/>
          <w:szCs w:val="20"/>
        </w:rPr>
        <w:tab/>
        <w:t xml:space="preserve">bylo zahájeno insolvenční řízení podle zákona č. 182/2006 Sb., o úpadku a způsobech jeho řešení, ve znění pozdějších předpisů, exekuční řízení či řízení o výkonu rozhodnutí,  </w:t>
      </w:r>
    </w:p>
    <w:p w:rsidR="00674276" w:rsidRDefault="00674276" w:rsidP="00071D79">
      <w:pPr>
        <w:widowControl/>
        <w:tabs>
          <w:tab w:val="left" w:pos="8928"/>
        </w:tabs>
        <w:ind w:left="993" w:hanging="357"/>
        <w:jc w:val="both"/>
        <w:rPr>
          <w:sz w:val="20"/>
          <w:szCs w:val="20"/>
        </w:rPr>
      </w:pPr>
      <w:r>
        <w:rPr>
          <w:sz w:val="20"/>
          <w:szCs w:val="20"/>
        </w:rPr>
        <w:t>e)</w:t>
      </w:r>
      <w:r>
        <w:rPr>
          <w:sz w:val="20"/>
          <w:szCs w:val="20"/>
        </w:rPr>
        <w:tab/>
        <w:t>uvedl nepravdivé, neúplné nebo zkreslené údaje, na které se váže uzavření této smlouvy,</w:t>
      </w:r>
    </w:p>
    <w:p w:rsidR="00674276" w:rsidRDefault="00674276" w:rsidP="00071D79">
      <w:pPr>
        <w:widowControl/>
        <w:tabs>
          <w:tab w:val="left" w:pos="8928"/>
        </w:tabs>
        <w:ind w:left="993" w:hanging="357"/>
        <w:jc w:val="both"/>
        <w:rPr>
          <w:sz w:val="20"/>
          <w:szCs w:val="20"/>
        </w:rPr>
      </w:pPr>
      <w:r>
        <w:rPr>
          <w:sz w:val="20"/>
          <w:szCs w:val="20"/>
        </w:rPr>
        <w:t>f)</w:t>
      </w:r>
      <w:r>
        <w:rPr>
          <w:sz w:val="20"/>
          <w:szCs w:val="20"/>
        </w:rPr>
        <w:tab/>
        <w:t xml:space="preserve">je v likvidaci, </w:t>
      </w:r>
    </w:p>
    <w:p w:rsidR="00674276" w:rsidRDefault="00674276" w:rsidP="00071D79">
      <w:pPr>
        <w:widowControl/>
        <w:tabs>
          <w:tab w:val="left" w:pos="8928"/>
        </w:tabs>
        <w:ind w:left="993" w:hanging="357"/>
        <w:jc w:val="both"/>
        <w:rPr>
          <w:sz w:val="20"/>
          <w:szCs w:val="20"/>
        </w:rPr>
      </w:pPr>
      <w:r>
        <w:rPr>
          <w:sz w:val="20"/>
          <w:szCs w:val="20"/>
        </w:rPr>
        <w:t>g)</w:t>
      </w:r>
      <w:r>
        <w:rPr>
          <w:sz w:val="20"/>
          <w:szCs w:val="20"/>
        </w:rPr>
        <w:tab/>
        <w:t xml:space="preserve">změní právní formu a stane se tak nezpůsobilým příjemcem pro danou oblast podpory, </w:t>
      </w:r>
    </w:p>
    <w:p w:rsidR="00674276" w:rsidRDefault="00674276" w:rsidP="00071D79">
      <w:pPr>
        <w:widowControl/>
        <w:tabs>
          <w:tab w:val="left" w:pos="8928"/>
        </w:tabs>
        <w:ind w:left="993" w:hanging="357"/>
        <w:jc w:val="both"/>
        <w:rPr>
          <w:sz w:val="20"/>
          <w:szCs w:val="20"/>
        </w:rPr>
      </w:pPr>
      <w:r>
        <w:rPr>
          <w:sz w:val="20"/>
          <w:szCs w:val="20"/>
        </w:rPr>
        <w:t>h)</w:t>
      </w:r>
      <w:r>
        <w:rPr>
          <w:sz w:val="20"/>
          <w:szCs w:val="20"/>
        </w:rPr>
        <w:tab/>
        <w:t>opakovaně neplní povinnosti stanovené smlouvou, i když byl k jejich nápravě vyzván poskytovatelem,</w:t>
      </w:r>
    </w:p>
    <w:p w:rsidR="00674276" w:rsidRDefault="00674276" w:rsidP="00071D79">
      <w:pPr>
        <w:widowControl/>
        <w:tabs>
          <w:tab w:val="left" w:pos="8928"/>
        </w:tabs>
        <w:ind w:left="993" w:hanging="357"/>
        <w:jc w:val="both"/>
        <w:rPr>
          <w:sz w:val="20"/>
          <w:szCs w:val="20"/>
        </w:rPr>
      </w:pPr>
      <w:r>
        <w:rPr>
          <w:sz w:val="20"/>
          <w:szCs w:val="20"/>
        </w:rPr>
        <w:t>i)</w:t>
      </w:r>
      <w:r>
        <w:rPr>
          <w:sz w:val="20"/>
          <w:szCs w:val="20"/>
        </w:rPr>
        <w:tab/>
        <w:t>nenaplní jednotlivý monitorovací indikátor o více než 5 % v případě projektů s dotací nad 50 tis. Kč nebo o více než 30 % v případě projektů s dotací do 50 tis. Kč,</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9.4</w:t>
      </w:r>
      <w:r>
        <w:rPr>
          <w:sz w:val="20"/>
          <w:szCs w:val="20"/>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9.5</w:t>
      </w:r>
      <w:r>
        <w:rPr>
          <w:sz w:val="20"/>
          <w:szCs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9.6</w:t>
      </w:r>
      <w:r>
        <w:rPr>
          <w:sz w:val="20"/>
          <w:szCs w:val="20"/>
        </w:rPr>
        <w:tab/>
        <w:t>Výpověď smlouvy musí být učiněna písemně a musí v ní být uvedeny důvody jejího udělení.</w:t>
      </w:r>
      <w:r w:rsidRPr="00071D79">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9.7</w:t>
      </w:r>
      <w:r>
        <w:rPr>
          <w:sz w:val="20"/>
          <w:szCs w:val="20"/>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9.8</w:t>
      </w:r>
      <w:r>
        <w:rPr>
          <w:sz w:val="20"/>
          <w:szCs w:val="20"/>
        </w:rPr>
        <w:tab/>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9.9</w:t>
      </w:r>
      <w:r>
        <w:rPr>
          <w:sz w:val="20"/>
          <w:szCs w:val="20"/>
        </w:rPr>
        <w:tab/>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9.10</w:t>
      </w:r>
      <w:r>
        <w:rPr>
          <w:sz w:val="20"/>
          <w:szCs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lastRenderedPageBreak/>
        <w:t>9.11</w:t>
      </w:r>
      <w:r>
        <w:rPr>
          <w:sz w:val="20"/>
          <w:szCs w:val="20"/>
        </w:rPr>
        <w:tab/>
        <w:t>Dohoda o ukončení smlouvy nabývá účinnosti dnem připsání vrácených peněžních prostředků na účet poskytovatele, nedohodnou-li se smluvní strany jinak.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9.12</w:t>
      </w:r>
      <w:r>
        <w:rPr>
          <w:sz w:val="20"/>
          <w:szCs w:val="20"/>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9.13</w:t>
      </w:r>
      <w:r>
        <w:rPr>
          <w:sz w:val="20"/>
          <w:szCs w:val="20"/>
        </w:rPr>
        <w:tab/>
        <w:t xml:space="preserve">Pokud příjemce ve stanovené lhůtě poskytnuté prostředky nevrátí v souladu s tímto článkem poskytovateli, považují se tyto prostředky za zadržené ve smyslu zákona č. 250/2000 Sb.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X.</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Závěrečná ustanovení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10.1</w:t>
      </w:r>
      <w:r>
        <w:rPr>
          <w:sz w:val="20"/>
          <w:szCs w:val="20"/>
        </w:rPr>
        <w:tab/>
        <w:t>Jako kontaktní místo poskytovatele se pro účely této smlouvy stanovuje: Krajský úřad Zlínského kraje, životního prostředí a zemědělství, Ing. Marcela Strakošová, tel.: 577 043 369, e-mail: marcela.strakosova@kr-zlinsky.cz.</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10.2</w:t>
      </w:r>
      <w:r>
        <w:rPr>
          <w:sz w:val="20"/>
          <w:szCs w:val="20"/>
        </w:rPr>
        <w:tab/>
        <w:t>V případě rozporu mezi skutečnostmi uvedenými v programu a ustanoveními této smlouvy, se přednostně aplikují ustanovení této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10.3</w:t>
      </w:r>
      <w:r>
        <w:rPr>
          <w:sz w:val="20"/>
          <w:szCs w:val="20"/>
        </w:rPr>
        <w:tab/>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10.4</w:t>
      </w:r>
      <w:r>
        <w:rPr>
          <w:sz w:val="20"/>
          <w:szCs w:val="20"/>
        </w:rPr>
        <w:tab/>
        <w:t>Tato smlouva byla uzavřena na základě svobodné vůle, nebyla uzavřena v tísni za nápadně nevýhodných podmínek.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10.5</w:t>
      </w:r>
      <w:r>
        <w:rPr>
          <w:sz w:val="20"/>
          <w:szCs w:val="20"/>
        </w:rPr>
        <w:tab/>
        <w:t>Smlouva je vyhotovena ve třech stejnopisech, z nichž každý má platnost originálu. Dvě vyhotovení obdrží poskytovatel a jedno vyhotovení obdrží příjemce.</w:t>
      </w:r>
    </w:p>
    <w:p w:rsidR="00D24ED4"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D24ED4">
        <w:rPr>
          <w:sz w:val="20"/>
          <w:szCs w:val="20"/>
        </w:rPr>
        <w:t>10.6</w:t>
      </w:r>
      <w:r w:rsidRPr="00D24ED4">
        <w:rPr>
          <w:sz w:val="20"/>
          <w:szCs w:val="20"/>
        </w:rPr>
        <w:tab/>
        <w:t xml:space="preserve">Smlouva podléhá zveřejnění v registru smluv v souladu se zákonem č. 340/2015 Sb., zákon o registru smluv. </w:t>
      </w:r>
    </w:p>
    <w:p w:rsidR="00674276" w:rsidRPr="00D24ED4"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7030A0"/>
          <w:sz w:val="16"/>
          <w:szCs w:val="16"/>
        </w:rPr>
      </w:pPr>
      <w:r w:rsidRPr="00D24ED4">
        <w:rPr>
          <w:sz w:val="20"/>
          <w:szCs w:val="20"/>
        </w:rPr>
        <w:t>10.7</w:t>
      </w:r>
      <w:r w:rsidRPr="00D24ED4">
        <w:rPr>
          <w:sz w:val="20"/>
          <w:szCs w:val="20"/>
        </w:rPr>
        <w:tab/>
        <w:t xml:space="preserve">Tato smlouva nabývá účinnosti dnem zveřejnění v registru smluv. </w:t>
      </w:r>
    </w:p>
    <w:p w:rsidR="003F60E8" w:rsidRPr="00D24ED4" w:rsidRDefault="003F60E8" w:rsidP="003F60E8">
      <w:pPr>
        <w:tabs>
          <w:tab w:val="left" w:pos="567"/>
          <w:tab w:val="left" w:pos="3168"/>
          <w:tab w:val="left" w:pos="4320"/>
          <w:tab w:val="left" w:pos="5472"/>
          <w:tab w:val="left" w:pos="6624"/>
          <w:tab w:val="left" w:pos="7776"/>
          <w:tab w:val="left" w:pos="8928"/>
        </w:tabs>
        <w:spacing w:before="120"/>
        <w:ind w:left="567" w:hanging="567"/>
        <w:jc w:val="both"/>
        <w:rPr>
          <w:i/>
          <w:iCs/>
          <w:color w:val="7030A0"/>
          <w:sz w:val="16"/>
          <w:szCs w:val="16"/>
        </w:rPr>
      </w:pPr>
    </w:p>
    <w:p w:rsidR="003F60E8" w:rsidRDefault="003F60E8" w:rsidP="003F60E8">
      <w:pPr>
        <w:pBdr>
          <w:top w:val="single" w:sz="6" w:space="1" w:color="auto"/>
          <w:left w:val="single" w:sz="6" w:space="1" w:color="auto"/>
          <w:bottom w:val="single" w:sz="6" w:space="1" w:color="auto"/>
          <w:right w:val="single" w:sz="6" w:space="1" w:color="auto"/>
        </w:pBdr>
        <w:tabs>
          <w:tab w:val="left" w:pos="8928"/>
        </w:tabs>
        <w:jc w:val="both"/>
        <w:rPr>
          <w:b/>
          <w:bCs/>
          <w:sz w:val="20"/>
          <w:szCs w:val="20"/>
        </w:rPr>
      </w:pPr>
      <w:r>
        <w:rPr>
          <w:b/>
          <w:bCs/>
          <w:sz w:val="20"/>
          <w:szCs w:val="20"/>
        </w:rPr>
        <w:t>Doložka dle § 23 zákona č. 129/2000 Sb., o krajích, ve znění pozdějších předpisů</w:t>
      </w:r>
    </w:p>
    <w:p w:rsidR="003F60E8" w:rsidRDefault="003F60E8" w:rsidP="003F60E8">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Schváleno orgánem kraje: </w:t>
      </w:r>
      <w:r>
        <w:rPr>
          <w:sz w:val="20"/>
          <w:szCs w:val="20"/>
        </w:rPr>
        <w:tab/>
        <w:t>Zastupitelstvo Zlínského kraje</w:t>
      </w:r>
    </w:p>
    <w:p w:rsidR="003F60E8" w:rsidRDefault="003F60E8" w:rsidP="003F60E8">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Datum jednání a číslo usnesení: </w:t>
      </w:r>
      <w:r>
        <w:rPr>
          <w:sz w:val="20"/>
          <w:szCs w:val="20"/>
        </w:rPr>
        <w:tab/>
        <w:t>23.04.2018, č. usnesení 0330/Z12/18</w:t>
      </w:r>
    </w:p>
    <w:p w:rsidR="003F60E8" w:rsidRDefault="003F60E8" w:rsidP="003F60E8">
      <w:pPr>
        <w:tabs>
          <w:tab w:val="left" w:pos="708"/>
          <w:tab w:val="left" w:pos="8928"/>
        </w:tabs>
        <w:spacing w:line="252" w:lineRule="auto"/>
        <w:jc w:val="both"/>
        <w:rPr>
          <w:sz w:val="20"/>
          <w:szCs w:val="20"/>
        </w:rPr>
      </w:pPr>
    </w:p>
    <w:p w:rsidR="00177177" w:rsidRDefault="00177177" w:rsidP="00681DC5">
      <w:pPr>
        <w:tabs>
          <w:tab w:val="left" w:pos="4820"/>
        </w:tabs>
        <w:spacing w:before="120"/>
        <w:jc w:val="both"/>
        <w:rPr>
          <w:sz w:val="20"/>
          <w:szCs w:val="20"/>
        </w:rPr>
      </w:pPr>
    </w:p>
    <w:p w:rsidR="00681DC5" w:rsidRDefault="00681DC5" w:rsidP="00681DC5">
      <w:pPr>
        <w:tabs>
          <w:tab w:val="left" w:pos="4820"/>
        </w:tabs>
        <w:spacing w:before="120"/>
        <w:jc w:val="both"/>
        <w:rPr>
          <w:sz w:val="20"/>
          <w:szCs w:val="20"/>
        </w:rPr>
      </w:pPr>
      <w:r>
        <w:rPr>
          <w:sz w:val="20"/>
          <w:szCs w:val="20"/>
        </w:rPr>
        <w:t xml:space="preserve">Zlín, dne </w:t>
      </w:r>
      <w:r w:rsidR="003468D3">
        <w:rPr>
          <w:sz w:val="20"/>
          <w:szCs w:val="20"/>
        </w:rPr>
        <w:t>5.6.2018</w:t>
      </w:r>
      <w:r>
        <w:rPr>
          <w:sz w:val="20"/>
          <w:szCs w:val="20"/>
        </w:rPr>
        <w:tab/>
        <w:t xml:space="preserve">Brno, dne </w:t>
      </w:r>
      <w:r w:rsidR="003468D3">
        <w:rPr>
          <w:sz w:val="20"/>
          <w:szCs w:val="20"/>
        </w:rPr>
        <w:t>1</w:t>
      </w:r>
      <w:r w:rsidR="005B5202">
        <w:rPr>
          <w:sz w:val="20"/>
          <w:szCs w:val="20"/>
        </w:rPr>
        <w:t>7</w:t>
      </w:r>
      <w:r w:rsidR="003468D3">
        <w:rPr>
          <w:sz w:val="20"/>
          <w:szCs w:val="20"/>
        </w:rPr>
        <w:t>.5.2018</w:t>
      </w:r>
    </w:p>
    <w:p w:rsidR="00681DC5" w:rsidRDefault="00681DC5" w:rsidP="00681DC5">
      <w:pPr>
        <w:tabs>
          <w:tab w:val="left" w:pos="4820"/>
          <w:tab w:val="left" w:pos="5812"/>
          <w:tab w:val="left" w:pos="8928"/>
        </w:tabs>
        <w:spacing w:before="144"/>
        <w:rPr>
          <w:sz w:val="20"/>
          <w:szCs w:val="20"/>
        </w:rPr>
      </w:pPr>
      <w:r>
        <w:rPr>
          <w:sz w:val="20"/>
          <w:szCs w:val="20"/>
        </w:rPr>
        <w:t>za poskytovatele</w:t>
      </w:r>
      <w:r>
        <w:rPr>
          <w:sz w:val="20"/>
          <w:szCs w:val="20"/>
        </w:rPr>
        <w:tab/>
        <w:t>za příjemce</w:t>
      </w: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3468D3" w:rsidP="003468D3">
      <w:pPr>
        <w:tabs>
          <w:tab w:val="center" w:pos="4703"/>
          <w:tab w:val="left" w:pos="4820"/>
          <w:tab w:val="left" w:pos="8928"/>
        </w:tabs>
        <w:spacing w:before="144"/>
        <w:ind w:left="360" w:hanging="360"/>
        <w:rPr>
          <w:sz w:val="20"/>
          <w:szCs w:val="20"/>
        </w:rPr>
      </w:pPr>
      <w:r>
        <w:rPr>
          <w:sz w:val="20"/>
          <w:szCs w:val="20"/>
        </w:rPr>
        <w:t>xxxxxxxxxxxxxx                                        xxxxxxxxxxxxxxxxxxxx</w:t>
      </w:r>
    </w:p>
    <w:p w:rsidR="00681DC5" w:rsidRDefault="00681DC5" w:rsidP="00681DC5">
      <w:pPr>
        <w:tabs>
          <w:tab w:val="left" w:pos="4820"/>
          <w:tab w:val="left" w:pos="5670"/>
          <w:tab w:val="left" w:pos="8928"/>
        </w:tabs>
        <w:spacing w:after="60" w:line="252" w:lineRule="auto"/>
        <w:rPr>
          <w:sz w:val="20"/>
          <w:szCs w:val="20"/>
        </w:rPr>
      </w:pPr>
      <w:r>
        <w:rPr>
          <w:sz w:val="20"/>
          <w:szCs w:val="20"/>
        </w:rPr>
        <w:t>......................................</w:t>
      </w:r>
      <w:r>
        <w:rPr>
          <w:sz w:val="20"/>
          <w:szCs w:val="20"/>
        </w:rPr>
        <w:tab/>
        <w:t>.........................................</w:t>
      </w:r>
    </w:p>
    <w:p w:rsidR="00681DC5" w:rsidRDefault="00681DC5" w:rsidP="00681DC5">
      <w:pPr>
        <w:tabs>
          <w:tab w:val="left" w:pos="4820"/>
          <w:tab w:val="left" w:pos="5387"/>
          <w:tab w:val="left" w:pos="8928"/>
        </w:tabs>
        <w:spacing w:after="60" w:line="252" w:lineRule="auto"/>
        <w:rPr>
          <w:sz w:val="20"/>
          <w:szCs w:val="20"/>
        </w:rPr>
      </w:pPr>
      <w:r>
        <w:rPr>
          <w:sz w:val="20"/>
          <w:szCs w:val="20"/>
        </w:rPr>
        <w:t>Jiří Čunek</w:t>
      </w:r>
      <w:r>
        <w:rPr>
          <w:sz w:val="20"/>
          <w:szCs w:val="20"/>
        </w:rPr>
        <w:tab/>
        <w:t>Mgr. Juan Ignacio Provecho Lopez</w:t>
      </w:r>
    </w:p>
    <w:p w:rsidR="003F60E8" w:rsidRPr="003F60E8" w:rsidRDefault="00681DC5" w:rsidP="00681DC5">
      <w:pPr>
        <w:tabs>
          <w:tab w:val="left" w:pos="4820"/>
          <w:tab w:val="left" w:pos="5387"/>
          <w:tab w:val="left" w:pos="8928"/>
        </w:tabs>
        <w:spacing w:after="60" w:line="252" w:lineRule="auto"/>
        <w:rPr>
          <w:sz w:val="20"/>
          <w:szCs w:val="20"/>
        </w:rPr>
      </w:pPr>
      <w:r>
        <w:rPr>
          <w:sz w:val="20"/>
          <w:szCs w:val="20"/>
        </w:rPr>
        <w:t>hejtman Zlínského kraje</w:t>
      </w:r>
      <w:r>
        <w:rPr>
          <w:sz w:val="20"/>
          <w:szCs w:val="20"/>
        </w:rPr>
        <w:tab/>
      </w:r>
      <w:r w:rsidR="005C3E8D">
        <w:rPr>
          <w:sz w:val="20"/>
          <w:szCs w:val="20"/>
        </w:rPr>
        <w:t>j</w:t>
      </w:r>
      <w:r>
        <w:rPr>
          <w:sz w:val="20"/>
          <w:szCs w:val="20"/>
        </w:rPr>
        <w:t>ednatel</w:t>
      </w:r>
    </w:p>
    <w:sectPr w:rsidR="003F60E8" w:rsidRPr="003F60E8" w:rsidSect="003F60E8">
      <w:footerReference w:type="default" r:id="rId9"/>
      <w:pgSz w:w="12240" w:h="15840"/>
      <w:pgMar w:top="1276"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FC4" w:rsidRDefault="006E3FC4">
      <w:r>
        <w:separator/>
      </w:r>
    </w:p>
  </w:endnote>
  <w:endnote w:type="continuationSeparator" w:id="0">
    <w:p w:rsidR="006E3FC4" w:rsidRDefault="006E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A8" w:rsidRDefault="00DE2EA8" w:rsidP="00DE2EA8">
    <w:pPr>
      <w:pStyle w:val="Zpat"/>
      <w:jc w:val="center"/>
    </w:pPr>
    <w:r w:rsidRPr="00DE2EA8">
      <w:rPr>
        <w:sz w:val="16"/>
        <w:szCs w:val="16"/>
      </w:rPr>
      <w:fldChar w:fldCharType="begin"/>
    </w:r>
    <w:r w:rsidRPr="00DE2EA8">
      <w:rPr>
        <w:sz w:val="16"/>
        <w:szCs w:val="16"/>
      </w:rPr>
      <w:instrText>PAGE   \* MERGEFORMAT</w:instrText>
    </w:r>
    <w:r w:rsidRPr="00DE2EA8">
      <w:rPr>
        <w:sz w:val="16"/>
        <w:szCs w:val="16"/>
      </w:rPr>
      <w:fldChar w:fldCharType="separate"/>
    </w:r>
    <w:r w:rsidR="00D63C02">
      <w:rPr>
        <w:noProof/>
        <w:sz w:val="16"/>
        <w:szCs w:val="16"/>
      </w:rPr>
      <w:t>1</w:t>
    </w:r>
    <w:r w:rsidRPr="00DE2EA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FC4" w:rsidRDefault="006E3FC4">
      <w:r>
        <w:separator/>
      </w:r>
    </w:p>
  </w:footnote>
  <w:footnote w:type="continuationSeparator" w:id="0">
    <w:p w:rsidR="006E3FC4" w:rsidRDefault="006E3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6252"/>
    <w:multiLevelType w:val="hybridMultilevel"/>
    <w:tmpl w:val="5374F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8A3D7C"/>
    <w:multiLevelType w:val="hybridMultilevel"/>
    <w:tmpl w:val="68A03610"/>
    <w:lvl w:ilvl="0" w:tplc="C270D936">
      <w:numFmt w:val="bullet"/>
      <w:lvlText w:val=""/>
      <w:lvlJc w:val="left"/>
      <w:pPr>
        <w:ind w:left="3165" w:hanging="2595"/>
      </w:pPr>
      <w:rPr>
        <w:rFonts w:ascii="Symbol" w:eastAsiaTheme="minorEastAsia" w:hAnsi="Symbol" w:hint="default"/>
      </w:rPr>
    </w:lvl>
    <w:lvl w:ilvl="1" w:tplc="04050003" w:tentative="1">
      <w:start w:val="1"/>
      <w:numFmt w:val="bullet"/>
      <w:lvlText w:val="o"/>
      <w:lvlJc w:val="left"/>
      <w:pPr>
        <w:ind w:left="1650" w:hanging="360"/>
      </w:pPr>
      <w:rPr>
        <w:rFonts w:ascii="Courier New" w:hAnsi="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2" w15:restartNumberingAfterBreak="0">
    <w:nsid w:val="78826721"/>
    <w:multiLevelType w:val="hybridMultilevel"/>
    <w:tmpl w:val="F0A6BBC0"/>
    <w:lvl w:ilvl="0" w:tplc="9AB469EC">
      <w:numFmt w:val="bullet"/>
      <w:lvlText w:val="-"/>
      <w:lvlJc w:val="left"/>
      <w:pPr>
        <w:ind w:left="993" w:hanging="360"/>
      </w:pPr>
      <w:rPr>
        <w:rFonts w:ascii="Arial" w:eastAsiaTheme="minorEastAsia" w:hAnsi="Arial" w:hint="default"/>
      </w:rPr>
    </w:lvl>
    <w:lvl w:ilvl="1" w:tplc="04050003" w:tentative="1">
      <w:start w:val="1"/>
      <w:numFmt w:val="bullet"/>
      <w:lvlText w:val="o"/>
      <w:lvlJc w:val="left"/>
      <w:pPr>
        <w:ind w:left="1713" w:hanging="360"/>
      </w:pPr>
      <w:rPr>
        <w:rFonts w:ascii="Courier New" w:hAnsi="Courier New" w:hint="default"/>
      </w:rPr>
    </w:lvl>
    <w:lvl w:ilvl="2" w:tplc="04050005" w:tentative="1">
      <w:start w:val="1"/>
      <w:numFmt w:val="bullet"/>
      <w:lvlText w:val=""/>
      <w:lvlJc w:val="left"/>
      <w:pPr>
        <w:ind w:left="2433" w:hanging="360"/>
      </w:pPr>
      <w:rPr>
        <w:rFonts w:ascii="Wingdings" w:hAnsi="Wingdings" w:hint="default"/>
      </w:rPr>
    </w:lvl>
    <w:lvl w:ilvl="3" w:tplc="04050001" w:tentative="1">
      <w:start w:val="1"/>
      <w:numFmt w:val="bullet"/>
      <w:lvlText w:val=""/>
      <w:lvlJc w:val="left"/>
      <w:pPr>
        <w:ind w:left="3153" w:hanging="360"/>
      </w:pPr>
      <w:rPr>
        <w:rFonts w:ascii="Symbol" w:hAnsi="Symbol" w:hint="default"/>
      </w:rPr>
    </w:lvl>
    <w:lvl w:ilvl="4" w:tplc="04050003" w:tentative="1">
      <w:start w:val="1"/>
      <w:numFmt w:val="bullet"/>
      <w:lvlText w:val="o"/>
      <w:lvlJc w:val="left"/>
      <w:pPr>
        <w:ind w:left="3873" w:hanging="360"/>
      </w:pPr>
      <w:rPr>
        <w:rFonts w:ascii="Courier New" w:hAnsi="Courier New" w:hint="default"/>
      </w:rPr>
    </w:lvl>
    <w:lvl w:ilvl="5" w:tplc="04050005" w:tentative="1">
      <w:start w:val="1"/>
      <w:numFmt w:val="bullet"/>
      <w:lvlText w:val=""/>
      <w:lvlJc w:val="left"/>
      <w:pPr>
        <w:ind w:left="4593" w:hanging="360"/>
      </w:pPr>
      <w:rPr>
        <w:rFonts w:ascii="Wingdings" w:hAnsi="Wingdings" w:hint="default"/>
      </w:rPr>
    </w:lvl>
    <w:lvl w:ilvl="6" w:tplc="04050001" w:tentative="1">
      <w:start w:val="1"/>
      <w:numFmt w:val="bullet"/>
      <w:lvlText w:val=""/>
      <w:lvlJc w:val="left"/>
      <w:pPr>
        <w:ind w:left="5313" w:hanging="360"/>
      </w:pPr>
      <w:rPr>
        <w:rFonts w:ascii="Symbol" w:hAnsi="Symbol" w:hint="default"/>
      </w:rPr>
    </w:lvl>
    <w:lvl w:ilvl="7" w:tplc="04050003" w:tentative="1">
      <w:start w:val="1"/>
      <w:numFmt w:val="bullet"/>
      <w:lvlText w:val="o"/>
      <w:lvlJc w:val="left"/>
      <w:pPr>
        <w:ind w:left="6033" w:hanging="360"/>
      </w:pPr>
      <w:rPr>
        <w:rFonts w:ascii="Courier New" w:hAnsi="Courier New" w:hint="default"/>
      </w:rPr>
    </w:lvl>
    <w:lvl w:ilvl="8" w:tplc="04050005" w:tentative="1">
      <w:start w:val="1"/>
      <w:numFmt w:val="bullet"/>
      <w:lvlText w:val=""/>
      <w:lvlJc w:val="left"/>
      <w:pPr>
        <w:ind w:left="675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EE"/>
    <w:rsid w:val="000123DD"/>
    <w:rsid w:val="00071D79"/>
    <w:rsid w:val="00177177"/>
    <w:rsid w:val="00196F94"/>
    <w:rsid w:val="001B6AFD"/>
    <w:rsid w:val="002232E7"/>
    <w:rsid w:val="0030580C"/>
    <w:rsid w:val="003468D3"/>
    <w:rsid w:val="003B2108"/>
    <w:rsid w:val="003F60E8"/>
    <w:rsid w:val="00422A62"/>
    <w:rsid w:val="00503696"/>
    <w:rsid w:val="005B5202"/>
    <w:rsid w:val="005C3E8D"/>
    <w:rsid w:val="00674276"/>
    <w:rsid w:val="00681DC5"/>
    <w:rsid w:val="006A4926"/>
    <w:rsid w:val="006E3FC4"/>
    <w:rsid w:val="00996918"/>
    <w:rsid w:val="00AE6561"/>
    <w:rsid w:val="00C5080D"/>
    <w:rsid w:val="00D24ED4"/>
    <w:rsid w:val="00D63C02"/>
    <w:rsid w:val="00D712EE"/>
    <w:rsid w:val="00DB4C36"/>
    <w:rsid w:val="00DE2EA8"/>
    <w:rsid w:val="00E47C4B"/>
  </w:rsids>
  <m:mathPr>
    <m:mathFont m:val="Cambria Math"/>
    <m:brkBin m:val="before"/>
    <m:brkBinSub m:val="--"/>
    <m:smallFrac/>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7CABC3-3087-4668-9426-36F53F44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ascii="Arial" w:hAnsi="Arial" w:cs="Arial"/>
      <w:sz w:val="24"/>
      <w:szCs w:val="24"/>
    </w:rPr>
  </w:style>
  <w:style w:type="paragraph" w:styleId="Nadpis1">
    <w:name w:val="heading 1"/>
    <w:basedOn w:val="Normln"/>
    <w:next w:val="Normln"/>
    <w:link w:val="Nadpis1Char"/>
    <w:uiPriority w:val="99"/>
    <w:qFormat/>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color w:val="2E74B5" w:themeColor="accent1" w:themeShade="BF"/>
      <w:sz w:val="32"/>
      <w:szCs w:val="32"/>
    </w:rPr>
  </w:style>
  <w:style w:type="paragraph" w:styleId="Zpat">
    <w:name w:val="footer"/>
    <w:basedOn w:val="Normln"/>
    <w:link w:val="ZpatChar"/>
    <w:uiPriority w:val="99"/>
    <w:unhideWhenUsed/>
    <w:rsid w:val="00681DC5"/>
    <w:pPr>
      <w:tabs>
        <w:tab w:val="center" w:pos="4536"/>
        <w:tab w:val="right" w:pos="9072"/>
      </w:tabs>
    </w:pPr>
  </w:style>
  <w:style w:type="character" w:customStyle="1" w:styleId="ZpatChar">
    <w:name w:val="Zápatí Char"/>
    <w:basedOn w:val="Standardnpsmoodstavce"/>
    <w:link w:val="Zpat"/>
    <w:uiPriority w:val="99"/>
    <w:locked/>
    <w:rsid w:val="00681DC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ettings" Target="settings.xml"/><Relationship Id="rId7" Type="http://schemas.openxmlformats.org/officeDocument/2006/relationships/hyperlink" Target="file:///C:\Users\strakosova\AppData\Local\Microsoft\Users\zadrapa\AppData\Local\Temp\IntraDoc\170324092713000000\Prilohy\rp.sucholes@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3680</Words>
  <Characters>21718</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Neckařová Martina</cp:lastModifiedBy>
  <cp:revision>2</cp:revision>
  <dcterms:created xsi:type="dcterms:W3CDTF">2018-06-05T10:23:00Z</dcterms:created>
  <dcterms:modified xsi:type="dcterms:W3CDTF">2018-06-05T10:23:00Z</dcterms:modified>
</cp:coreProperties>
</file>