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8B" w:rsidRDefault="00BB7CE6">
      <w:pPr>
        <w:tabs>
          <w:tab w:val="center" w:pos="5720"/>
        </w:tabs>
        <w:spacing w:after="0" w:line="265" w:lineRule="auto"/>
        <w:ind w:left="0" w:right="0" w:firstLine="0"/>
        <w:jc w:val="left"/>
      </w:pPr>
      <w:r>
        <w:rPr>
          <w:sz w:val="26"/>
        </w:rPr>
        <w:t>č. smlouvy objednatele HELIOS GREEN:</w:t>
      </w:r>
      <w:r>
        <w:rPr>
          <w:sz w:val="26"/>
        </w:rPr>
        <w:tab/>
        <w:t>06EU-002862</w:t>
      </w:r>
    </w:p>
    <w:p w:rsidR="00E10A8B" w:rsidRDefault="00BB7CE6">
      <w:pPr>
        <w:tabs>
          <w:tab w:val="center" w:pos="5425"/>
        </w:tabs>
        <w:spacing w:line="259" w:lineRule="auto"/>
        <w:ind w:left="0" w:right="0" w:firstLine="0"/>
        <w:jc w:val="left"/>
      </w:pPr>
      <w:r>
        <w:rPr>
          <w:sz w:val="24"/>
        </w:rPr>
        <w:t>č. smlouvy zhotovitele:</w:t>
      </w:r>
      <w:r>
        <w:rPr>
          <w:sz w:val="24"/>
        </w:rPr>
        <w:tab/>
        <w:t>59/2016</w:t>
      </w:r>
    </w:p>
    <w:p w:rsidR="00E10A8B" w:rsidRDefault="00BB7CE6">
      <w:pPr>
        <w:tabs>
          <w:tab w:val="center" w:pos="5689"/>
        </w:tabs>
        <w:spacing w:after="1451" w:line="265" w:lineRule="auto"/>
        <w:ind w:left="0" w:right="0" w:firstLine="0"/>
        <w:jc w:val="left"/>
      </w:pPr>
      <w:r>
        <w:rPr>
          <w:sz w:val="26"/>
        </w:rPr>
        <w:t>ISPROFOND:</w:t>
      </w:r>
      <w:r>
        <w:rPr>
          <w:sz w:val="26"/>
        </w:rPr>
        <w:tab/>
      </w:r>
      <w:r w:rsidRPr="00BB7CE6">
        <w:rPr>
          <w:sz w:val="26"/>
          <w:highlight w:val="black"/>
        </w:rPr>
        <w:t>500 111 0007</w:t>
      </w:r>
    </w:p>
    <w:p w:rsidR="00E10A8B" w:rsidRPr="00BB7CE6" w:rsidRDefault="00BB7CE6" w:rsidP="00BB7CE6">
      <w:pPr>
        <w:spacing w:after="1179" w:line="309" w:lineRule="auto"/>
        <w:ind w:left="2520" w:right="2367" w:firstLine="653"/>
        <w:jc w:val="center"/>
        <w:rPr>
          <w:sz w:val="24"/>
          <w:szCs w:val="24"/>
        </w:rPr>
      </w:pPr>
      <w:r w:rsidRPr="00BB7CE6">
        <w:rPr>
          <w:sz w:val="24"/>
          <w:szCs w:val="24"/>
        </w:rPr>
        <w:t>SMLOUVA O DÍLO uzavřená v souladu s Občanským zákoníkem č.89/2012 Sb.</w:t>
      </w:r>
    </w:p>
    <w:p w:rsidR="00E10A8B" w:rsidRDefault="00BB7CE6">
      <w:pPr>
        <w:spacing w:after="0" w:line="265" w:lineRule="auto"/>
        <w:ind w:left="67" w:right="0" w:hanging="10"/>
        <w:jc w:val="left"/>
      </w:pPr>
      <w:r>
        <w:rPr>
          <w:sz w:val="30"/>
        </w:rPr>
        <w:t xml:space="preserve">Název zakázky: </w:t>
      </w:r>
      <w:r>
        <w:rPr>
          <w:sz w:val="30"/>
          <w:u w:val="single" w:color="000000"/>
        </w:rPr>
        <w:t>I/26 Holýšov most ev. č. 26-029 0p</w:t>
      </w:r>
      <w:r>
        <w:rPr>
          <w:sz w:val="30"/>
          <w:u w:val="single" w:color="000000"/>
        </w:rPr>
        <w:t xml:space="preserve">rava mostních závěrů </w:t>
      </w:r>
      <w:r>
        <w:rPr>
          <w:sz w:val="30"/>
        </w:rPr>
        <w:t>—</w:t>
      </w:r>
    </w:p>
    <w:p w:rsidR="00E10A8B" w:rsidRDefault="00BB7CE6">
      <w:pPr>
        <w:spacing w:after="807" w:line="265" w:lineRule="auto"/>
        <w:ind w:left="1801" w:right="0" w:hanging="10"/>
        <w:jc w:val="left"/>
      </w:pPr>
      <w:r w:rsidRPr="00BB7CE6">
        <w:rPr>
          <w:sz w:val="30"/>
        </w:rPr>
        <w:t xml:space="preserve">   </w:t>
      </w:r>
      <w:r>
        <w:rPr>
          <w:sz w:val="30"/>
          <w:u w:val="single" w:color="000000"/>
        </w:rPr>
        <w:t xml:space="preserve"> </w:t>
      </w:r>
      <w:r>
        <w:rPr>
          <w:sz w:val="30"/>
          <w:u w:val="single" w:color="000000"/>
        </w:rPr>
        <w:t>realizace”</w:t>
      </w:r>
    </w:p>
    <w:p w:rsidR="00E10A8B" w:rsidRDefault="00BB7CE6">
      <w:pPr>
        <w:pStyle w:val="Nadpis1"/>
      </w:pPr>
      <w:r>
        <w:t>I. Smluvní str</w:t>
      </w:r>
      <w:r>
        <w:rPr>
          <w:u w:val="double"/>
        </w:rPr>
        <w:t>a</w:t>
      </w:r>
      <w:r>
        <w:t>ny</w:t>
      </w:r>
    </w:p>
    <w:tbl>
      <w:tblPr>
        <w:tblStyle w:val="TableGrid"/>
        <w:tblW w:w="9318" w:type="dxa"/>
        <w:tblInd w:w="53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113"/>
      </w:tblGrid>
      <w:tr w:rsidR="00E10A8B">
        <w:trPr>
          <w:trHeight w:val="2903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BB7CE6">
            <w:pPr>
              <w:spacing w:after="0" w:line="259" w:lineRule="auto"/>
              <w:ind w:left="14" w:right="0" w:firstLine="0"/>
            </w:pPr>
            <w:r>
              <w:rPr>
                <w:sz w:val="24"/>
              </w:rPr>
              <w:t>Objednatel: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BB7CE6">
            <w:pPr>
              <w:spacing w:after="2" w:line="247" w:lineRule="auto"/>
              <w:ind w:left="82" w:right="3351" w:hanging="29"/>
            </w:pPr>
            <w:proofErr w:type="spellStart"/>
            <w:r>
              <w:t>Reditelství</w:t>
            </w:r>
            <w:proofErr w:type="spellEnd"/>
            <w:r>
              <w:t xml:space="preserve"> silnic a dálnic CR adresa: Na Pankráci 546/56, 145 05 Praha 4 — Nusle IČO: 65993390 DIČ: CZ 65993390 Zastoupené:</w:t>
            </w:r>
          </w:p>
          <w:p w:rsidR="00E10A8B" w:rsidRPr="00BB7CE6" w:rsidRDefault="00BB7CE6">
            <w:pPr>
              <w:spacing w:after="0" w:line="256" w:lineRule="auto"/>
              <w:ind w:left="77" w:right="0" w:firstLine="0"/>
              <w:rPr>
                <w:highlight w:val="black"/>
              </w:rPr>
            </w:pPr>
            <w:r w:rsidRPr="00BB7CE6">
              <w:rPr>
                <w:highlight w:val="black"/>
              </w:rPr>
              <w:t xml:space="preserve">Ino. Zdeňkem </w:t>
            </w:r>
            <w:proofErr w:type="spellStart"/>
            <w:r w:rsidRPr="00BB7CE6">
              <w:rPr>
                <w:highlight w:val="black"/>
              </w:rPr>
              <w:t>Kuťákem</w:t>
            </w:r>
            <w:proofErr w:type="spellEnd"/>
            <w:r w:rsidRPr="00BB7CE6">
              <w:rPr>
                <w:highlight w:val="black"/>
              </w:rPr>
              <w:t>, pověřeným řízením</w:t>
            </w:r>
            <w:r>
              <w:t xml:space="preserve"> Správy Plzeň, </w:t>
            </w:r>
            <w:proofErr w:type="spellStart"/>
            <w:r>
              <w:t>Hřímalého</w:t>
            </w:r>
            <w:proofErr w:type="spellEnd"/>
            <w:r>
              <w:t xml:space="preserve"> 37, 301 00 Plzeň </w:t>
            </w:r>
            <w:r w:rsidRPr="00BB7CE6">
              <w:rPr>
                <w:highlight w:val="black"/>
              </w:rPr>
              <w:t>Bankovní spojení: Komerční banka a.s.</w:t>
            </w:r>
          </w:p>
          <w:p w:rsidR="00E10A8B" w:rsidRDefault="00BB7CE6">
            <w:pPr>
              <w:spacing w:after="0" w:line="259" w:lineRule="auto"/>
              <w:ind w:left="2798" w:right="3639" w:hanging="446"/>
              <w:jc w:val="left"/>
            </w:pPr>
            <w:r w:rsidRPr="00BB7CE6">
              <w:rPr>
                <w:highlight w:val="black"/>
              </w:rPr>
              <w:t>51-1422200277/100</w:t>
            </w:r>
            <w:r>
              <w:t xml:space="preserve"> dále jen objednatel</w:t>
            </w:r>
          </w:p>
        </w:tc>
      </w:tr>
      <w:tr w:rsidR="00E10A8B">
        <w:trPr>
          <w:trHeight w:val="6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A8B" w:rsidRDefault="00BB7CE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Zhotovitel:</w:t>
            </w: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A8B" w:rsidRDefault="00BB7CE6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SUPER-KRETE CZECH s.r.o.</w:t>
            </w:r>
          </w:p>
        </w:tc>
      </w:tr>
    </w:tbl>
    <w:p w:rsidR="00E10A8B" w:rsidRDefault="00BB7CE6">
      <w:r>
        <w:t xml:space="preserve">adresa: Nupaky 494, 251 Ol Říčany u Prahy </w:t>
      </w:r>
      <w:r w:rsidRPr="00BB7CE6">
        <w:rPr>
          <w:highlight w:val="black"/>
        </w:rPr>
        <w:t>telefon: 543 216 454 fax:</w:t>
      </w:r>
      <w:r w:rsidRPr="00BB7CE6">
        <w:rPr>
          <w:noProof/>
          <w:highlight w:val="black"/>
        </w:rPr>
        <w:drawing>
          <wp:inline distT="0" distB="0" distL="0" distR="0">
            <wp:extent cx="124984" cy="9147"/>
            <wp:effectExtent l="0" t="0" r="0" b="0"/>
            <wp:docPr id="16067" name="Picture 16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" name="Picture 160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8B" w:rsidRDefault="00BB7CE6">
      <w:pPr>
        <w:ind w:left="1258" w:right="2837"/>
      </w:pPr>
      <w:r>
        <w:t xml:space="preserve">statutární zastoupení: </w:t>
      </w:r>
      <w:r w:rsidRPr="00BB7CE6">
        <w:rPr>
          <w:highlight w:val="black"/>
        </w:rPr>
        <w:t xml:space="preserve">Ing. Zdenek </w:t>
      </w:r>
      <w:proofErr w:type="spellStart"/>
      <w:r w:rsidRPr="00BB7CE6">
        <w:rPr>
          <w:highlight w:val="black"/>
        </w:rPr>
        <w:t>Machaň</w:t>
      </w:r>
      <w:proofErr w:type="spellEnd"/>
      <w:r w:rsidRPr="00BB7CE6">
        <w:rPr>
          <w:highlight w:val="black"/>
        </w:rPr>
        <w:t>, jednatel společnosti bankovní spojení: Komerční banka, a.s. číslo účtu: 7317660287/0100</w:t>
      </w:r>
      <w:r>
        <w:t xml:space="preserve"> IČO: 25692810</w:t>
      </w:r>
    </w:p>
    <w:p w:rsidR="00E10A8B" w:rsidRDefault="00BB7CE6">
      <w:pPr>
        <w:ind w:left="1267" w:right="9"/>
      </w:pPr>
      <w:r>
        <w:t>DIČ: CZ25692810</w:t>
      </w:r>
    </w:p>
    <w:p w:rsidR="00E10A8B" w:rsidRDefault="00BB7CE6">
      <w:pPr>
        <w:ind w:left="3494" w:right="302" w:hanging="2227"/>
      </w:pPr>
      <w:r>
        <w:t xml:space="preserve">Osoby oprávněné jednat ve </w:t>
      </w:r>
      <w:r>
        <w:t xml:space="preserve">věcech smluvních: </w:t>
      </w:r>
      <w:r w:rsidRPr="00BB7CE6">
        <w:rPr>
          <w:highlight w:val="black"/>
        </w:rPr>
        <w:t>Ing. Martin Smekal, výkonný ředitel</w:t>
      </w:r>
      <w:r>
        <w:t xml:space="preserve"> ve věcech technických: </w:t>
      </w:r>
      <w:r w:rsidRPr="00BB7CE6">
        <w:rPr>
          <w:highlight w:val="black"/>
        </w:rPr>
        <w:t xml:space="preserve">Ing. Daniel </w:t>
      </w:r>
      <w:proofErr w:type="spellStart"/>
      <w:r w:rsidRPr="00BB7CE6">
        <w:rPr>
          <w:highlight w:val="black"/>
        </w:rPr>
        <w:t>Kummer</w:t>
      </w:r>
      <w:proofErr w:type="spellEnd"/>
      <w:r w:rsidRPr="00BB7CE6">
        <w:rPr>
          <w:highlight w:val="black"/>
        </w:rPr>
        <w:t>, hlavní stavbyvedoucí</w:t>
      </w:r>
    </w:p>
    <w:p w:rsidR="00E10A8B" w:rsidRDefault="00BB7CE6">
      <w:pPr>
        <w:spacing w:after="246"/>
        <w:ind w:left="1287" w:right="9"/>
      </w:pPr>
      <w:r w:rsidRPr="00BB7CE6">
        <w:rPr>
          <w:highlight w:val="black"/>
        </w:rPr>
        <w:t>Zapsána v obchodním rejstříku vedeném Městským soudem v Praze, odd. C, vložka 61 708</w:t>
      </w:r>
    </w:p>
    <w:p w:rsidR="00E10A8B" w:rsidRDefault="00BB7CE6">
      <w:pPr>
        <w:spacing w:after="550" w:line="259" w:lineRule="auto"/>
        <w:ind w:left="29" w:right="0" w:firstLine="0"/>
        <w:jc w:val="center"/>
      </w:pPr>
      <w:r>
        <w:t>dále jen zhotovitel</w:t>
      </w:r>
    </w:p>
    <w:p w:rsidR="00E10A8B" w:rsidRDefault="00BB7CE6">
      <w:pPr>
        <w:ind w:left="3053" w:right="1853" w:hanging="2986"/>
      </w:pPr>
      <w:r>
        <w:lastRenderedPageBreak/>
        <w:t xml:space="preserve">Vedením stavby jsou pověřeni: za </w:t>
      </w:r>
      <w:r>
        <w:t xml:space="preserve">objednatele </w:t>
      </w:r>
      <w:r w:rsidRPr="00BB7CE6">
        <w:rPr>
          <w:highlight w:val="black"/>
        </w:rPr>
        <w:t>Lucie Paurová, tel.: 721 873 147</w:t>
      </w:r>
      <w:r>
        <w:t xml:space="preserve"> za zhotovitele </w:t>
      </w:r>
      <w:r w:rsidRPr="00BB7CE6">
        <w:rPr>
          <w:highlight w:val="black"/>
        </w:rPr>
        <w:t xml:space="preserve">Ing. Daniel </w:t>
      </w:r>
      <w:proofErr w:type="spellStart"/>
      <w:r w:rsidRPr="00BB7CE6">
        <w:rPr>
          <w:highlight w:val="black"/>
        </w:rPr>
        <w:t>Kummer</w:t>
      </w:r>
      <w:proofErr w:type="spellEnd"/>
      <w:r w:rsidRPr="00BB7CE6">
        <w:rPr>
          <w:highlight w:val="black"/>
        </w:rPr>
        <w:t>, tel.: 602 725 221</w:t>
      </w:r>
    </w:p>
    <w:p w:rsidR="00E10A8B" w:rsidRDefault="00BB7CE6">
      <w:pPr>
        <w:pStyle w:val="Nadpis2"/>
        <w:spacing w:after="228"/>
        <w:ind w:left="125" w:right="5"/>
      </w:pPr>
      <w:r>
        <w:rPr>
          <w:rFonts w:ascii="Calibri" w:eastAsia="Calibri" w:hAnsi="Calibri" w:cs="Calibri"/>
        </w:rPr>
        <w:t>II. Předmět díla</w:t>
      </w:r>
    </w:p>
    <w:p w:rsidR="00E10A8B" w:rsidRDefault="00BB7CE6">
      <w:pPr>
        <w:spacing w:after="136" w:line="216" w:lineRule="auto"/>
        <w:ind w:left="101" w:right="0" w:firstLine="754"/>
        <w:jc w:val="left"/>
      </w:pPr>
      <w:r>
        <w:rPr>
          <w:rFonts w:ascii="Calibri" w:eastAsia="Calibri" w:hAnsi="Calibri" w:cs="Calibri"/>
          <w:sz w:val="24"/>
        </w:rPr>
        <w:t xml:space="preserve">Zhotovitel se zavazuje za podmínek sjednaných v této smlouvě k provedení stavební zakázky </w:t>
      </w:r>
      <w:r>
        <w:rPr>
          <w:rFonts w:ascii="Calibri" w:eastAsia="Calibri" w:hAnsi="Calibri" w:cs="Calibri"/>
          <w:sz w:val="24"/>
          <w:u w:val="single" w:color="000000"/>
        </w:rPr>
        <w:t>„I/26 Holýšov, most ev. č. 26-029, oprava mostních závěrů - realizace”</w:t>
      </w:r>
      <w:r>
        <w:rPr>
          <w:rFonts w:ascii="Calibri" w:eastAsia="Calibri" w:hAnsi="Calibri" w:cs="Calibri"/>
          <w:sz w:val="24"/>
        </w:rPr>
        <w:t>.</w:t>
      </w:r>
    </w:p>
    <w:p w:rsidR="00E10A8B" w:rsidRDefault="00BB7CE6">
      <w:pPr>
        <w:spacing w:after="245"/>
        <w:ind w:left="67" w:right="9" w:firstLine="715"/>
      </w:pPr>
      <w:r>
        <w:rPr>
          <w:rFonts w:ascii="Calibri" w:eastAsia="Calibri" w:hAnsi="Calibri" w:cs="Calibri"/>
        </w:rPr>
        <w:t xml:space="preserve">Jedná se o opravu nefunkčních podpovrchových dilatačních závěrů nad </w:t>
      </w:r>
      <w:proofErr w:type="spellStart"/>
      <w:r>
        <w:rPr>
          <w:rFonts w:ascii="Calibri" w:eastAsia="Calibri" w:hAnsi="Calibri" w:cs="Calibri"/>
        </w:rPr>
        <w:t>opěram</w:t>
      </w:r>
      <w:proofErr w:type="spellEnd"/>
      <w:r>
        <w:rPr>
          <w:rFonts w:ascii="Calibri" w:eastAsia="Calibri" w:hAnsi="Calibri" w:cs="Calibri"/>
        </w:rPr>
        <w:t xml:space="preserve"> u mostu ev. č. 26-029.</w:t>
      </w:r>
    </w:p>
    <w:p w:rsidR="00E10A8B" w:rsidRDefault="00BB7CE6">
      <w:pPr>
        <w:spacing w:after="539"/>
        <w:ind w:left="67" w:right="9" w:firstLine="710"/>
      </w:pPr>
      <w:r>
        <w:rPr>
          <w:rFonts w:ascii="Calibri" w:eastAsia="Calibri" w:hAnsi="Calibri" w:cs="Calibri"/>
        </w:rPr>
        <w:t>Objednatel se zavazuje převzít řádně a včas provedené dílo a zaplatit zhotoviteli cenu</w:t>
      </w:r>
      <w:r>
        <w:rPr>
          <w:rFonts w:ascii="Calibri" w:eastAsia="Calibri" w:hAnsi="Calibri" w:cs="Calibri"/>
        </w:rPr>
        <w:t xml:space="preserve"> uvedenou v čl. IV. této smlouvy.</w:t>
      </w:r>
    </w:p>
    <w:p w:rsidR="00E10A8B" w:rsidRDefault="00BB7CE6">
      <w:pPr>
        <w:pStyle w:val="Nadpis2"/>
        <w:spacing w:after="180"/>
        <w:ind w:left="125"/>
      </w:pPr>
      <w:r>
        <w:rPr>
          <w:rFonts w:ascii="Calibri" w:eastAsia="Calibri" w:hAnsi="Calibri" w:cs="Calibri"/>
        </w:rPr>
        <w:t xml:space="preserve">III. </w:t>
      </w:r>
      <w:proofErr w:type="spellStart"/>
      <w:r>
        <w:rPr>
          <w:rFonts w:ascii="Calibri" w:eastAsia="Calibri" w:hAnsi="Calibri" w:cs="Calibri"/>
        </w:rPr>
        <w:t>Casové</w:t>
      </w:r>
      <w:proofErr w:type="spellEnd"/>
      <w:r>
        <w:rPr>
          <w:rFonts w:ascii="Calibri" w:eastAsia="Calibri" w:hAnsi="Calibri" w:cs="Calibri"/>
        </w:rPr>
        <w:t xml:space="preserve"> plnění</w:t>
      </w:r>
    </w:p>
    <w:p w:rsidR="00E10A8B" w:rsidRDefault="00BB7CE6">
      <w:pPr>
        <w:tabs>
          <w:tab w:val="center" w:pos="3140"/>
        </w:tabs>
        <w:spacing w:after="3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>Zahájení:</w:t>
      </w:r>
      <w:r>
        <w:rPr>
          <w:rFonts w:ascii="Calibri" w:eastAsia="Calibri" w:hAnsi="Calibri" w:cs="Calibri"/>
        </w:rPr>
        <w:tab/>
        <w:t>08/2016 (ihned po podpisu smlouvy)</w:t>
      </w:r>
    </w:p>
    <w:p w:rsidR="00E10A8B" w:rsidRDefault="00BB7CE6">
      <w:pPr>
        <w:spacing w:after="220" w:line="259" w:lineRule="auto"/>
        <w:ind w:left="1497" w:right="0" w:hanging="1426"/>
        <w:jc w:val="left"/>
      </w:pPr>
      <w:r>
        <w:rPr>
          <w:rFonts w:ascii="Calibri" w:eastAsia="Calibri" w:hAnsi="Calibri" w:cs="Calibri"/>
          <w:sz w:val="24"/>
        </w:rPr>
        <w:t>Dokončení: doba výstavby max. 1 měsíc po zajištění příslušných povolení spojených s uzavírkou (max. 10/2016)</w:t>
      </w:r>
    </w:p>
    <w:p w:rsidR="00E10A8B" w:rsidRDefault="00BB7CE6">
      <w:pPr>
        <w:spacing w:after="243"/>
        <w:ind w:left="67" w:right="9" w:firstLine="71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6127262</wp:posOffset>
            </wp:positionH>
            <wp:positionV relativeFrom="paragraph">
              <wp:posOffset>91168</wp:posOffset>
            </wp:positionV>
            <wp:extent cx="18290" cy="33536"/>
            <wp:effectExtent l="0" t="0" r="0" b="0"/>
            <wp:wrapSquare wrapText="bothSides"/>
            <wp:docPr id="3073" name="Picture 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30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3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Nový termín realizace díla z titulu podstatných,</w:t>
      </w:r>
      <w:r>
        <w:rPr>
          <w:rFonts w:ascii="Calibri" w:eastAsia="Calibri" w:hAnsi="Calibri" w:cs="Calibri"/>
        </w:rPr>
        <w:t xml:space="preserve"> nepředvídaných překážek na straně zhotovitele případně rozšíření dodávky na základě požadavku objednatele nebo z důvodu nepříznivých klimatických podmínek, bude řešen vzájemnou dohodou smluvních stran — dodatkem ke smlouvě.</w:t>
      </w:r>
    </w:p>
    <w:p w:rsidR="00E10A8B" w:rsidRDefault="00BB7CE6">
      <w:pPr>
        <w:spacing w:after="490"/>
        <w:ind w:left="67" w:right="9" w:firstLine="715"/>
      </w:pPr>
      <w:r>
        <w:rPr>
          <w:rFonts w:ascii="Calibri" w:eastAsia="Calibri" w:hAnsi="Calibri" w:cs="Calibri"/>
        </w:rPr>
        <w:t xml:space="preserve">Dodržení doby plnění ze strany </w:t>
      </w:r>
      <w:r>
        <w:rPr>
          <w:rFonts w:ascii="Calibri" w:eastAsia="Calibri" w:hAnsi="Calibri" w:cs="Calibri"/>
        </w:rPr>
        <w:t>zhotovitele je závislé na řádném a včasném spolupůsobení objednatele.</w:t>
      </w:r>
    </w:p>
    <w:p w:rsidR="00E10A8B" w:rsidRDefault="00BB7CE6">
      <w:pPr>
        <w:pStyle w:val="Nadpis2"/>
        <w:spacing w:after="161"/>
        <w:ind w:left="125" w:right="24"/>
      </w:pPr>
      <w:r>
        <w:rPr>
          <w:rFonts w:ascii="Calibri" w:eastAsia="Calibri" w:hAnsi="Calibri" w:cs="Calibri"/>
        </w:rPr>
        <w:t>IV. Cena díla</w:t>
      </w:r>
    </w:p>
    <w:p w:rsidR="00E10A8B" w:rsidRDefault="00BB7CE6">
      <w:pPr>
        <w:spacing w:after="244"/>
        <w:ind w:left="792" w:right="9"/>
      </w:pPr>
      <w:r>
        <w:rPr>
          <w:rFonts w:ascii="Calibri" w:eastAsia="Calibri" w:hAnsi="Calibri" w:cs="Calibri"/>
        </w:rPr>
        <w:t xml:space="preserve">Cena díla specifikovaného v čl.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rFonts w:ascii="Calibri" w:eastAsia="Calibri" w:hAnsi="Calibri" w:cs="Calibri"/>
        </w:rPr>
        <w:t xml:space="preserve"> smlouvy je dána cenovou nabídkou a činí:</w:t>
      </w:r>
    </w:p>
    <w:p w:rsidR="00E10A8B" w:rsidRDefault="00BB7CE6">
      <w:pPr>
        <w:spacing w:line="259" w:lineRule="auto"/>
        <w:ind w:left="1585" w:right="0" w:hanging="10"/>
        <w:jc w:val="left"/>
      </w:pPr>
      <w:r>
        <w:rPr>
          <w:rFonts w:ascii="Calibri" w:eastAsia="Calibri" w:hAnsi="Calibri" w:cs="Calibri"/>
          <w:sz w:val="24"/>
        </w:rPr>
        <w:t>Max. cena díla:</w:t>
      </w:r>
    </w:p>
    <w:tbl>
      <w:tblPr>
        <w:tblStyle w:val="TableGrid"/>
        <w:tblW w:w="4657" w:type="dxa"/>
        <w:tblInd w:w="36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327"/>
      </w:tblGrid>
      <w:tr w:rsidR="00E10A8B">
        <w:trPr>
          <w:trHeight w:val="706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E10A8B">
            <w:pPr>
              <w:spacing w:after="0" w:line="259" w:lineRule="auto"/>
              <w:ind w:left="-4637" w:right="322" w:firstLine="0"/>
              <w:jc w:val="left"/>
            </w:pPr>
          </w:p>
          <w:tbl>
            <w:tblPr>
              <w:tblStyle w:val="TableGrid"/>
              <w:tblW w:w="4009" w:type="dxa"/>
              <w:tblInd w:w="0" w:type="dxa"/>
              <w:tblCellMar>
                <w:top w:w="5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4"/>
              <w:gridCol w:w="1575"/>
            </w:tblGrid>
            <w:tr w:rsidR="00E10A8B">
              <w:trPr>
                <w:trHeight w:val="228"/>
              </w:trPr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spacing w:after="0" w:line="259" w:lineRule="auto"/>
                    <w:ind w:left="269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bez DPH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2 186 050,80 Kč</w:t>
                  </w:r>
                </w:p>
              </w:tc>
            </w:tr>
            <w:tr w:rsidR="00E10A8B">
              <w:trPr>
                <w:trHeight w:val="250"/>
              </w:trPr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tabs>
                      <w:tab w:val="center" w:pos="831"/>
                      <w:tab w:val="center" w:pos="1001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 xml:space="preserve">DPH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4871" cy="91463"/>
                        <wp:effectExtent l="0" t="0" r="0" b="0"/>
                        <wp:docPr id="3075" name="Picture 307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5" name="Picture 307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871" cy="91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678" cy="94512"/>
                        <wp:effectExtent l="0" t="0" r="0" b="0"/>
                        <wp:docPr id="3076" name="Picture 30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30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8" cy="9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8887" cy="97560"/>
                        <wp:effectExtent l="0" t="0" r="0" b="0"/>
                        <wp:docPr id="3074" name="Picture 307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4" name="Picture 307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87" cy="97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spacing w:after="0" w:line="259" w:lineRule="auto"/>
                    <w:ind w:left="144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459 070,67 Kč</w:t>
                  </w:r>
                </w:p>
              </w:tc>
            </w:tr>
            <w:tr w:rsidR="00E10A8B">
              <w:trPr>
                <w:trHeight w:val="223"/>
              </w:trPr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včetně DPH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A8B" w:rsidRDefault="00BB7CE6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rPr>
                      <w:rFonts w:ascii="Calibri" w:eastAsia="Calibri" w:hAnsi="Calibri" w:cs="Calibri"/>
                    </w:rPr>
                    <w:t>2 645 121,47 Kč</w:t>
                  </w:r>
                </w:p>
              </w:tc>
            </w:tr>
          </w:tbl>
          <w:p w:rsidR="00E10A8B" w:rsidRDefault="00E10A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A8B" w:rsidRDefault="00BB7CE6">
            <w:pPr>
              <w:spacing w:after="0" w:line="259" w:lineRule="auto"/>
              <w:ind w:left="32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9" cy="6097"/>
                  <wp:effectExtent l="0" t="0" r="0" b="0"/>
                  <wp:docPr id="3077" name="Picture 3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30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A8B" w:rsidRDefault="00BB7CE6">
      <w:pPr>
        <w:spacing w:after="564"/>
        <w:ind w:left="67" w:right="9"/>
      </w:pPr>
      <w:r>
        <w:rPr>
          <w:rFonts w:ascii="Calibri" w:eastAsia="Calibri" w:hAnsi="Calibri" w:cs="Calibri"/>
        </w:rPr>
        <w:t>Cena díla je cenou nejvýše přípustnou, platnou po celou dobu realizace díla a celý rozsah prací.</w:t>
      </w:r>
    </w:p>
    <w:p w:rsidR="00E10A8B" w:rsidRDefault="00BB7CE6">
      <w:pPr>
        <w:pStyle w:val="Nadpis2"/>
        <w:ind w:left="125" w:right="43"/>
      </w:pPr>
      <w:r>
        <w:rPr>
          <w:rFonts w:ascii="Calibri" w:eastAsia="Calibri" w:hAnsi="Calibri" w:cs="Calibri"/>
        </w:rPr>
        <w:t xml:space="preserve">V. </w:t>
      </w:r>
      <w:r>
        <w:rPr>
          <w:rFonts w:ascii="Calibri" w:eastAsia="Calibri" w:hAnsi="Calibri" w:cs="Calibri"/>
          <w:u w:val="single" w:color="000000"/>
        </w:rPr>
        <w:t>Zár</w:t>
      </w:r>
      <w:r>
        <w:rPr>
          <w:rFonts w:ascii="Calibri" w:eastAsia="Calibri" w:hAnsi="Calibri" w:cs="Calibri"/>
        </w:rPr>
        <w:t>uční doba</w:t>
      </w:r>
    </w:p>
    <w:p w:rsidR="00E10A8B" w:rsidRDefault="00BB7CE6">
      <w:pPr>
        <w:spacing w:after="301" w:line="259" w:lineRule="auto"/>
        <w:ind w:left="5069" w:right="0" w:firstLine="0"/>
        <w:jc w:val="left"/>
      </w:pPr>
      <w:r>
        <w:rPr>
          <w:noProof/>
        </w:rPr>
        <w:drawing>
          <wp:inline distT="0" distB="0" distL="0" distR="0">
            <wp:extent cx="414581" cy="3049"/>
            <wp:effectExtent l="0" t="0" r="0" b="0"/>
            <wp:docPr id="3191" name="Picture 3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" name="Picture 31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581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8B" w:rsidRDefault="00BB7CE6">
      <w:pPr>
        <w:spacing w:after="588"/>
        <w:ind w:left="67" w:right="9"/>
      </w:pPr>
      <w:r>
        <w:rPr>
          <w:rFonts w:ascii="Calibri" w:eastAsia="Calibri" w:hAnsi="Calibri" w:cs="Calibri"/>
        </w:rPr>
        <w:t xml:space="preserve">Na provedené dílo poskytne zhotovitel záruční lhůtu v délce: 60 měsíců. Po dobu záruční lhůty poskytuje zhotovitel </w:t>
      </w:r>
      <w:proofErr w:type="spellStart"/>
      <w:r>
        <w:rPr>
          <w:rFonts w:ascii="Calibri" w:eastAsia="Calibri" w:hAnsi="Calibri" w:cs="Calibri"/>
        </w:rPr>
        <w:t>servłs</w:t>
      </w:r>
      <w:proofErr w:type="spellEnd"/>
      <w:r>
        <w:rPr>
          <w:rFonts w:ascii="Calibri" w:eastAsia="Calibri" w:hAnsi="Calibri" w:cs="Calibri"/>
        </w:rPr>
        <w:t xml:space="preserve"> na provedené práce. 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3078" name="Picture 3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0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V případě opravy záručních vad poskytne zhotovitel na jejich odstranění záruku v délce 18 měsíců, pokud lhůta z t</w:t>
      </w:r>
      <w:r>
        <w:rPr>
          <w:rFonts w:ascii="Calibri" w:eastAsia="Calibri" w:hAnsi="Calibri" w:cs="Calibri"/>
        </w:rPr>
        <w:t>itulu záruky o dílo není delší.</w:t>
      </w:r>
    </w:p>
    <w:p w:rsidR="00E10A8B" w:rsidRDefault="00BB7CE6">
      <w:pPr>
        <w:pStyle w:val="Nadpis2"/>
        <w:ind w:left="125" w:right="53"/>
      </w:pPr>
      <w:r>
        <w:rPr>
          <w:rFonts w:ascii="Calibri" w:eastAsia="Calibri" w:hAnsi="Calibri" w:cs="Calibri"/>
        </w:rPr>
        <w:lastRenderedPageBreak/>
        <w:t>VI. Dodací podmínky</w:t>
      </w:r>
    </w:p>
    <w:p w:rsidR="00E10A8B" w:rsidRDefault="00BB7CE6">
      <w:pPr>
        <w:spacing w:after="325" w:line="259" w:lineRule="auto"/>
        <w:ind w:left="5290" w:right="0" w:firstLine="0"/>
        <w:jc w:val="left"/>
      </w:pPr>
      <w:r>
        <w:rPr>
          <w:noProof/>
        </w:rPr>
        <w:drawing>
          <wp:inline distT="0" distB="0" distL="0" distR="0">
            <wp:extent cx="435920" cy="3049"/>
            <wp:effectExtent l="0" t="0" r="0" b="0"/>
            <wp:docPr id="3192" name="Picture 3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" name="Picture 31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92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A8B" w:rsidRDefault="00BB7CE6">
      <w:pPr>
        <w:numPr>
          <w:ilvl w:val="0"/>
          <w:numId w:val="1"/>
        </w:numPr>
        <w:ind w:right="9" w:hanging="710"/>
      </w:pPr>
      <w:r>
        <w:rPr>
          <w:rFonts w:ascii="Calibri" w:eastAsia="Calibri" w:hAnsi="Calibri" w:cs="Calibri"/>
        </w:rPr>
        <w:t>Zhotovitel zajistí vypracování RDS vč. VTD.</w:t>
      </w:r>
    </w:p>
    <w:p w:rsidR="00E10A8B" w:rsidRDefault="00BB7CE6">
      <w:pPr>
        <w:numPr>
          <w:ilvl w:val="0"/>
          <w:numId w:val="1"/>
        </w:numPr>
        <w:ind w:right="9" w:hanging="710"/>
      </w:pPr>
      <w:r>
        <w:rPr>
          <w:rFonts w:ascii="Calibri" w:eastAsia="Calibri" w:hAnsi="Calibri" w:cs="Calibri"/>
        </w:rPr>
        <w:t>Zhotovitel provede dílo v technologii dle soupisu prací, který je součástí této smlouvy.</w:t>
      </w:r>
    </w:p>
    <w:p w:rsidR="00E10A8B" w:rsidRDefault="00BB7CE6">
      <w:pPr>
        <w:ind w:left="773" w:right="9" w:hanging="706"/>
      </w:pPr>
      <w:r>
        <w:rPr>
          <w:noProof/>
        </w:rPr>
        <w:drawing>
          <wp:inline distT="0" distB="0" distL="0" distR="0">
            <wp:extent cx="88403" cy="94512"/>
            <wp:effectExtent l="0" t="0" r="0" b="0"/>
            <wp:docPr id="16070" name="Picture 16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" name="Picture 160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Zhotovitel je povinen při provádění díla dodržet veškeré platné práv</w:t>
      </w:r>
      <w:r>
        <w:rPr>
          <w:rFonts w:ascii="Calibri" w:eastAsia="Calibri" w:hAnsi="Calibri" w:cs="Calibri"/>
        </w:rPr>
        <w:t>ní a technické předpisy, zejména ČSN a TKP.</w:t>
      </w:r>
    </w:p>
    <w:p w:rsidR="00E10A8B" w:rsidRDefault="00BB7CE6">
      <w:pPr>
        <w:numPr>
          <w:ilvl w:val="0"/>
          <w:numId w:val="2"/>
        </w:numPr>
        <w:spacing w:after="76"/>
        <w:ind w:right="9" w:hanging="715"/>
      </w:pPr>
      <w:r>
        <w:t>Objednatel uplatní odpovědnost zhotovitele za vady písemným oznámením vad, učiněným bez zbytečného odkladu po jejich zjištění. Na tomto základě zhotovitel ve stanovené nebo dohodnuté lhůtě odstraní bezplatně exis</w:t>
      </w:r>
      <w:r>
        <w:t>tující vady předmětu díla, maximálně však do 30 dnů.</w:t>
      </w:r>
    </w:p>
    <w:p w:rsidR="00E10A8B" w:rsidRDefault="00BB7CE6">
      <w:pPr>
        <w:numPr>
          <w:ilvl w:val="0"/>
          <w:numId w:val="2"/>
        </w:numPr>
        <w:spacing w:after="48"/>
        <w:ind w:right="9" w:hanging="715"/>
      </w:pPr>
      <w:r>
        <w:t>Během provádění prací je zhotovitel povinen udržovat staveniště v přiměřeném stavu, bez zbytečných překážek a musí veškeré stavební mechanizmy a přebytečný materiál uskladnit nebo odstranit.</w:t>
      </w:r>
    </w:p>
    <w:p w:rsidR="00E10A8B" w:rsidRDefault="00BB7CE6">
      <w:pPr>
        <w:numPr>
          <w:ilvl w:val="0"/>
          <w:numId w:val="2"/>
        </w:numPr>
        <w:spacing w:after="141"/>
        <w:ind w:right="9" w:hanging="715"/>
      </w:pPr>
      <w:r>
        <w:t xml:space="preserve">Stavba bude </w:t>
      </w:r>
      <w:r>
        <w:t>prováděna za částečného omezení silničního provozu.</w:t>
      </w:r>
    </w:p>
    <w:p w:rsidR="00E10A8B" w:rsidRDefault="00BB7CE6">
      <w:pPr>
        <w:numPr>
          <w:ilvl w:val="0"/>
          <w:numId w:val="2"/>
        </w:numPr>
        <w:spacing w:after="78"/>
        <w:ind w:right="9" w:hanging="715"/>
      </w:pPr>
      <w:r>
        <w:t>Zhotovitel projedná s příslušnými orgány státní správy a s Policií CR dopravní omezení po dobu provádění stavebních prací.</w:t>
      </w:r>
    </w:p>
    <w:p w:rsidR="00E10A8B" w:rsidRDefault="00BB7CE6">
      <w:pPr>
        <w:numPr>
          <w:ilvl w:val="0"/>
          <w:numId w:val="2"/>
        </w:numPr>
        <w:spacing w:after="84"/>
        <w:ind w:right="9" w:hanging="715"/>
      </w:pPr>
      <w:r>
        <w:t xml:space="preserve">Z důvodu informovanosti řidičů a posádek motorových vozidel zajistí zhotovitel osazení informačních tabulí na staveništi. Ideové návrhy tabulí jsou dostupné na </w:t>
      </w:r>
      <w:r>
        <w:rPr>
          <w:u w:val="single" w:color="000000"/>
        </w:rPr>
        <w:t>www.rsd.cz</w:t>
      </w:r>
      <w:r>
        <w:t>.</w:t>
      </w:r>
    </w:p>
    <w:p w:rsidR="00E10A8B" w:rsidRDefault="00BB7CE6">
      <w:pPr>
        <w:numPr>
          <w:ilvl w:val="0"/>
          <w:numId w:val="2"/>
        </w:numPr>
        <w:spacing w:after="503"/>
        <w:ind w:right="9" w:hanging="715"/>
      </w:pPr>
      <w:r>
        <w:t>Nepotřebný materiál bude řešen samostatnou Kupní smlouvou.</w:t>
      </w:r>
    </w:p>
    <w:p w:rsidR="00E10A8B" w:rsidRPr="00BB7CE6" w:rsidRDefault="00BB7CE6">
      <w:pPr>
        <w:pStyle w:val="Nadpis2"/>
        <w:spacing w:after="236"/>
        <w:ind w:left="125" w:right="173"/>
        <w:rPr>
          <w:u w:val="single"/>
        </w:rPr>
      </w:pPr>
      <w:r w:rsidRPr="00BB7CE6">
        <w:rPr>
          <w:u w:val="single"/>
        </w:rPr>
        <w:t>VII. Zp</w:t>
      </w:r>
      <w:r w:rsidRPr="00BB7CE6">
        <w:rPr>
          <w:u w:val="single"/>
        </w:rPr>
        <w:t>ůsob fakturace a p</w:t>
      </w:r>
      <w:r w:rsidRPr="00BB7CE6">
        <w:rPr>
          <w:u w:val="single"/>
        </w:rPr>
        <w:t>l</w:t>
      </w:r>
      <w:r w:rsidRPr="00BB7CE6">
        <w:rPr>
          <w:u w:val="single"/>
        </w:rPr>
        <w:t>atební p</w:t>
      </w:r>
      <w:r w:rsidRPr="00BB7CE6">
        <w:rPr>
          <w:u w:val="single"/>
        </w:rPr>
        <w:t>odmínky</w:t>
      </w:r>
    </w:p>
    <w:p w:rsidR="00E10A8B" w:rsidRDefault="00BB7CE6">
      <w:pPr>
        <w:spacing w:line="304" w:lineRule="auto"/>
        <w:ind w:left="67" w:right="9"/>
      </w:pPr>
      <w:r>
        <w:t>I Objednatelem již odsouhlasené plnění na základě skutečně provedených výkonů vyfakturuje zhotovitel prostřednictvím daňového dokladu ve lhůtě do 15 dnů od uskutečnění zdanitelného plnění. 2. Zhotovitel bude požadovat platbu jedinou — konečno</w:t>
      </w:r>
      <w:r>
        <w:t>u fakturou po dokončení a předání díla.</w:t>
      </w:r>
    </w:p>
    <w:p w:rsidR="00E10A8B" w:rsidRDefault="00BB7CE6">
      <w:pPr>
        <w:spacing w:after="478"/>
        <w:ind w:left="768" w:right="9" w:hanging="701"/>
      </w:pPr>
      <w:r>
        <w:t xml:space="preserve">3. Splatnost faktury za provedené dílo se stanoví do 30 dnů od doručení faktury objednateli. Faktura bude zaslána na adresu objednatele po odsouhlasení </w:t>
      </w:r>
      <w:proofErr w:type="spellStart"/>
      <w:r>
        <w:t>soupłsu</w:t>
      </w:r>
      <w:proofErr w:type="spellEnd"/>
      <w:r>
        <w:t xml:space="preserve"> provedených prací zástupcem objednatele.</w:t>
      </w:r>
    </w:p>
    <w:p w:rsidR="00E10A8B" w:rsidRDefault="00BB7CE6">
      <w:pPr>
        <w:pStyle w:val="Nadpis1"/>
        <w:spacing w:after="270"/>
        <w:ind w:right="58"/>
      </w:pPr>
      <w:r>
        <w:t>VIII. Sankce</w:t>
      </w:r>
    </w:p>
    <w:p w:rsidR="00E10A8B" w:rsidRDefault="00BB7CE6">
      <w:pPr>
        <w:spacing w:after="57"/>
        <w:ind w:left="763" w:right="9" w:hanging="696"/>
      </w:pPr>
      <w:proofErr w:type="gramStart"/>
      <w:r>
        <w:t xml:space="preserve">l </w:t>
      </w:r>
      <w:r>
        <w:t>. Neuhradí</w:t>
      </w:r>
      <w:proofErr w:type="gramEnd"/>
      <w:r>
        <w:t>-li objednatel fakturu v termínu sjednaném touto smlouvou, je zhotovitel oprávněn požadovat na objednateli smluvní penále ve výši 0,05 % z fakturované částky za každý den prodlení.</w:t>
      </w:r>
    </w:p>
    <w:p w:rsidR="00E10A8B" w:rsidRDefault="00BB7CE6">
      <w:pPr>
        <w:numPr>
          <w:ilvl w:val="0"/>
          <w:numId w:val="3"/>
        </w:numPr>
        <w:spacing w:after="72"/>
        <w:ind w:right="9" w:hanging="725"/>
      </w:pPr>
      <w:r>
        <w:t>V případě pozdního dokončení díla ze strany zhotovitele je objedn</w:t>
      </w:r>
      <w:r>
        <w:t>atel oprávněn požadovat na zhotoviteli smluvní penále ve výši 0,05 % z ceny díla za každý den prodlení.</w:t>
      </w:r>
    </w:p>
    <w:p w:rsidR="00E10A8B" w:rsidRDefault="00BB7CE6">
      <w:pPr>
        <w:numPr>
          <w:ilvl w:val="0"/>
          <w:numId w:val="3"/>
        </w:numPr>
        <w:ind w:right="9" w:hanging="725"/>
      </w:pPr>
      <w:r>
        <w:t>Při zjištění nekvalitní části dodávky při jejím převzetí je zhotovitel povinen:</w:t>
      </w:r>
    </w:p>
    <w:p w:rsidR="00E10A8B" w:rsidRDefault="00BB7CE6">
      <w:pPr>
        <w:numPr>
          <w:ilvl w:val="1"/>
          <w:numId w:val="3"/>
        </w:numPr>
        <w:spacing w:after="34"/>
        <w:ind w:right="9"/>
      </w:pPr>
      <w:r>
        <w:t>odstranit vadu zdarma do termínu stanoveného objednatelem v samostatné v</w:t>
      </w:r>
      <w:r>
        <w:t>ýzvě.</w:t>
      </w:r>
    </w:p>
    <w:p w:rsidR="00E10A8B" w:rsidRDefault="00BB7CE6">
      <w:pPr>
        <w:numPr>
          <w:ilvl w:val="1"/>
          <w:numId w:val="3"/>
        </w:numPr>
        <w:spacing w:after="511"/>
        <w:ind w:right="9"/>
      </w:pPr>
      <w:r>
        <w:t>při nedodržení termínu stanoveného objednatelem ve výzvě na odstranění vady, zaplatit objednateli smluvní pokutu ve výši 1000,-Kč za každý den prodlení.</w:t>
      </w:r>
    </w:p>
    <w:p w:rsidR="00E10A8B" w:rsidRDefault="00BB7CE6">
      <w:pPr>
        <w:pStyle w:val="Nadpis1"/>
        <w:spacing w:after="308"/>
        <w:ind w:right="82"/>
      </w:pPr>
      <w:r>
        <w:t>IX. Zvláštní uj</w:t>
      </w:r>
      <w:r>
        <w:t>ednání_</w:t>
      </w:r>
    </w:p>
    <w:p w:rsidR="00E10A8B" w:rsidRDefault="00BB7CE6">
      <w:pPr>
        <w:spacing w:after="55"/>
        <w:ind w:left="744" w:right="9" w:hanging="677"/>
      </w:pPr>
      <w:proofErr w:type="gramStart"/>
      <w:r>
        <w:t>l . Zhotovitel</w:t>
      </w:r>
      <w:proofErr w:type="gramEnd"/>
      <w:r>
        <w:t xml:space="preserve"> odpovídá za bezpečnost práce (BOZP) a požární ochrany (PO) svých pracovníků i případných </w:t>
      </w:r>
      <w:proofErr w:type="spellStart"/>
      <w:r>
        <w:t>podzhotovitelů</w:t>
      </w:r>
      <w:proofErr w:type="spellEnd"/>
      <w:r>
        <w:t>, v celém rozsahu předpisů BOZP a PO.</w:t>
      </w:r>
    </w:p>
    <w:p w:rsidR="00E10A8B" w:rsidRDefault="00BB7CE6">
      <w:pPr>
        <w:numPr>
          <w:ilvl w:val="0"/>
          <w:numId w:val="4"/>
        </w:numPr>
        <w:spacing w:after="44"/>
        <w:ind w:left="773" w:right="9" w:hanging="706"/>
      </w:pPr>
      <w:r>
        <w:lastRenderedPageBreak/>
        <w:t>Zhotovitel povede o průběhu svých prací stavební deník. Změny vedlejšího charakteru, které budou mít vliv na termín dokončení, budou řešeny písemným dodatkem k této smlouvě o dílo.</w:t>
      </w:r>
    </w:p>
    <w:p w:rsidR="00E10A8B" w:rsidRDefault="00BB7CE6">
      <w:pPr>
        <w:numPr>
          <w:ilvl w:val="0"/>
          <w:numId w:val="4"/>
        </w:numPr>
        <w:spacing w:after="104"/>
        <w:ind w:left="773" w:right="9" w:hanging="706"/>
      </w:pPr>
      <w:r>
        <w:t>Zhotovitel je povinen na svém staveništi udržovat pořádek a čistotu.</w:t>
      </w:r>
    </w:p>
    <w:p w:rsidR="00E10A8B" w:rsidRDefault="00BB7CE6">
      <w:pPr>
        <w:numPr>
          <w:ilvl w:val="0"/>
          <w:numId w:val="4"/>
        </w:numPr>
        <w:spacing w:after="488"/>
        <w:ind w:left="773" w:right="9" w:hanging="706"/>
      </w:pPr>
      <w:r>
        <w:t>Zhotov</w:t>
      </w:r>
      <w:r>
        <w:t xml:space="preserve">itel bude odpovídat za jednání nebo chyby všech </w:t>
      </w:r>
      <w:proofErr w:type="spellStart"/>
      <w:r>
        <w:t>podzhotovitelů</w:t>
      </w:r>
      <w:proofErr w:type="spellEnd"/>
      <w:r>
        <w:t xml:space="preserve"> stejně jako by šlo o jednání nebo chyby zhotovitele.</w:t>
      </w:r>
    </w:p>
    <w:p w:rsidR="00E10A8B" w:rsidRDefault="00BB7CE6">
      <w:pPr>
        <w:spacing w:after="259" w:line="259" w:lineRule="auto"/>
        <w:ind w:left="0" w:right="62" w:firstLine="0"/>
        <w:jc w:val="center"/>
      </w:pPr>
      <w:r>
        <w:rPr>
          <w:sz w:val="24"/>
        </w:rPr>
        <w:t xml:space="preserve">X. </w:t>
      </w:r>
      <w:proofErr w:type="spellStart"/>
      <w:r>
        <w:rPr>
          <w:sz w:val="24"/>
        </w:rPr>
        <w:t>Rešení</w:t>
      </w:r>
      <w:proofErr w:type="spellEnd"/>
      <w:r>
        <w:rPr>
          <w:sz w:val="24"/>
        </w:rPr>
        <w:t xml:space="preserve"> sp</w:t>
      </w:r>
      <w:r>
        <w:rPr>
          <w:sz w:val="24"/>
        </w:rPr>
        <w:t>orů</w:t>
      </w:r>
    </w:p>
    <w:p w:rsidR="00E10A8B" w:rsidRDefault="00BB7CE6">
      <w:pPr>
        <w:numPr>
          <w:ilvl w:val="0"/>
          <w:numId w:val="5"/>
        </w:numPr>
        <w:spacing w:after="66"/>
        <w:ind w:left="773" w:right="9" w:hanging="706"/>
      </w:pPr>
      <w:proofErr w:type="spellStart"/>
      <w:r>
        <w:t>Zádná</w:t>
      </w:r>
      <w:proofErr w:type="spellEnd"/>
      <w:r>
        <w:t xml:space="preserve"> ze smluvních stran nesmí podat návrh na zahájení soudního řízení, pokud nebyl učiněn pokus vyřešit spor smírně.</w:t>
      </w:r>
    </w:p>
    <w:p w:rsidR="00E10A8B" w:rsidRDefault="00BB7CE6">
      <w:pPr>
        <w:numPr>
          <w:ilvl w:val="0"/>
          <w:numId w:val="5"/>
        </w:numPr>
        <w:spacing w:line="315" w:lineRule="auto"/>
        <w:ind w:left="773" w:right="9" w:hanging="706"/>
      </w:pPr>
      <w:r>
        <w:t xml:space="preserve">Každá </w:t>
      </w:r>
      <w:r>
        <w:t>smluvní strana této smlouvy je oprávněna od smlouvy odstoupit při jejím podstatném porušení druhou smluvní stranou.</w:t>
      </w:r>
    </w:p>
    <w:p w:rsidR="00E10A8B" w:rsidRDefault="00BB7CE6">
      <w:pPr>
        <w:numPr>
          <w:ilvl w:val="0"/>
          <w:numId w:val="5"/>
        </w:numPr>
        <w:spacing w:after="476"/>
        <w:ind w:left="773" w:right="9" w:hanging="706"/>
      </w:pPr>
      <w:r>
        <w:t>Za podstatné porušení smlouvy zhotovitelem se považuje skutečnost, že zhotovitel neprovede dílo dohodnutým způsobem, přičemž postup nebo dos</w:t>
      </w:r>
      <w:r>
        <w:t>avadní výsledek dodávek vede nepochybně k vadnému dílu.</w:t>
      </w:r>
      <w:bookmarkStart w:id="0" w:name="_GoBack"/>
      <w:bookmarkEnd w:id="0"/>
    </w:p>
    <w:p w:rsidR="00BB7CE6" w:rsidRDefault="00BB7CE6" w:rsidP="00BB7CE6">
      <w:pPr>
        <w:spacing w:after="476"/>
        <w:ind w:left="772" w:right="9" w:firstLine="0"/>
      </w:pPr>
    </w:p>
    <w:p w:rsidR="00BB7CE6" w:rsidRDefault="00BB7CE6">
      <w:pPr>
        <w:pStyle w:val="Nadpis1"/>
        <w:spacing w:after="286"/>
        <w:ind w:right="48"/>
      </w:pPr>
    </w:p>
    <w:p w:rsidR="00E10A8B" w:rsidRDefault="00BB7CE6" w:rsidP="00BB7CE6">
      <w:pPr>
        <w:pStyle w:val="Nadpis1"/>
        <w:spacing w:after="286"/>
        <w:ind w:right="48"/>
      </w:pPr>
      <w:r>
        <w:t>Závěrečn</w:t>
      </w:r>
      <w:r>
        <w:rPr>
          <w:u w:val="none"/>
        </w:rPr>
        <w:t>á</w:t>
      </w:r>
      <w:r>
        <w:t xml:space="preserve"> ustanovení</w:t>
      </w:r>
    </w:p>
    <w:p w:rsidR="00E10A8B" w:rsidRDefault="00BB7CE6">
      <w:pPr>
        <w:ind w:left="753" w:right="9" w:hanging="686"/>
      </w:pPr>
      <w:proofErr w:type="gramStart"/>
      <w:r>
        <w:t>l . Zhotovitel</w:t>
      </w:r>
      <w:proofErr w:type="gramEnd"/>
      <w:r>
        <w:t xml:space="preserve"> je vlastníkem díla a nese nebezpečí škody na něm vzniklé až do doby předání a převzetí díla objednatelem.</w:t>
      </w:r>
    </w:p>
    <w:p w:rsidR="00E10A8B" w:rsidRDefault="00BB7CE6">
      <w:pPr>
        <w:spacing w:after="56" w:line="259" w:lineRule="auto"/>
        <w:ind w:left="0" w:right="154" w:firstLine="0"/>
        <w:jc w:val="right"/>
      </w:pPr>
      <w:r>
        <w:rPr>
          <w:noProof/>
        </w:rPr>
        <w:drawing>
          <wp:inline distT="0" distB="0" distL="0" distR="0">
            <wp:extent cx="88403" cy="94512"/>
            <wp:effectExtent l="0" t="0" r="0" b="0"/>
            <wp:docPr id="16073" name="Picture 1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" name="Picture 160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se vyhotovuje ve čtyřech stejnopisech, z nichž dva obdrží objednatel a dva zhotovitel.</w:t>
      </w:r>
    </w:p>
    <w:p w:rsidR="00E10A8B" w:rsidRDefault="00BB7CE6">
      <w:pPr>
        <w:numPr>
          <w:ilvl w:val="0"/>
          <w:numId w:val="6"/>
        </w:numPr>
        <w:spacing w:after="75"/>
        <w:ind w:left="773" w:right="9" w:hanging="706"/>
      </w:pPr>
      <w:r>
        <w:t>Tato smlouva nabývá účinnosti dnem jejího podpisu oběma smluvními stranami.</w:t>
      </w:r>
    </w:p>
    <w:p w:rsidR="00E10A8B" w:rsidRDefault="00BB7CE6">
      <w:pPr>
        <w:numPr>
          <w:ilvl w:val="0"/>
          <w:numId w:val="6"/>
        </w:numPr>
        <w:ind w:left="773" w:right="9" w:hanging="706"/>
      </w:pPr>
      <w:r>
        <w:t>Nedílnou součástí smlouvy o dílo je příloha: Dopis nabídky ze ZD, Soupis prací a</w:t>
      </w:r>
      <w:r>
        <w:t xml:space="preserve"> Doplňující požadavky na zhotovitele stavby.</w:t>
      </w:r>
    </w:p>
    <w:p w:rsidR="00E10A8B" w:rsidRDefault="00E10A8B"/>
    <w:p w:rsidR="00BB7CE6" w:rsidRDefault="00BB7CE6"/>
    <w:p w:rsidR="00BB7CE6" w:rsidRDefault="00BB7CE6">
      <w:pPr>
        <w:sectPr w:rsidR="00BB7CE6">
          <w:footerReference w:type="even" r:id="rId18"/>
          <w:footerReference w:type="default" r:id="rId19"/>
          <w:footerReference w:type="first" r:id="rId20"/>
          <w:pgSz w:w="11906" w:h="16838"/>
          <w:pgMar w:top="1621" w:right="1243" w:bottom="1668" w:left="970" w:header="708" w:footer="708" w:gutter="0"/>
          <w:cols w:space="708"/>
          <w:titlePg/>
        </w:sectPr>
      </w:pPr>
    </w:p>
    <w:tbl>
      <w:tblPr>
        <w:tblStyle w:val="TableGrid"/>
        <w:tblpPr w:vertAnchor="text" w:tblpX="-6337" w:tblpY="-2849"/>
        <w:tblOverlap w:val="never"/>
        <w:tblW w:w="8511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389"/>
        <w:gridCol w:w="3576"/>
      </w:tblGrid>
      <w:tr w:rsidR="00E10A8B">
        <w:trPr>
          <w:trHeight w:val="661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BB7CE6">
            <w:pPr>
              <w:spacing w:after="0" w:line="259" w:lineRule="auto"/>
              <w:ind w:left="5" w:right="0" w:firstLine="0"/>
              <w:jc w:val="left"/>
            </w:pPr>
            <w:r>
              <w:t>V Plzni dne: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BB7CE6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04178" cy="146340"/>
                  <wp:effectExtent l="0" t="0" r="0" b="0"/>
                  <wp:docPr id="8899" name="Picture 8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9" name="Picture 889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78" cy="14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BB7CE6">
            <w:pPr>
              <w:spacing w:after="0" w:line="259" w:lineRule="auto"/>
              <w:ind w:left="0" w:right="0" w:firstLine="0"/>
              <w:jc w:val="right"/>
            </w:pPr>
            <w:r>
              <w:t>V Brně dne 18. 08. 2016</w:t>
            </w:r>
          </w:p>
        </w:tc>
      </w:tr>
      <w:tr w:rsidR="00E10A8B">
        <w:trPr>
          <w:trHeight w:val="619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A8B" w:rsidRDefault="00E10A8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E10A8B" w:rsidRDefault="00E10A8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A8B" w:rsidRDefault="00BB7CE6" w:rsidP="00BB7CE6">
            <w:pPr>
              <w:spacing w:after="0" w:line="259" w:lineRule="auto"/>
              <w:ind w:left="576" w:right="0" w:firstLine="0"/>
              <w:jc w:val="left"/>
            </w:pPr>
            <w:r>
              <w:t>XI</w:t>
            </w:r>
          </w:p>
        </w:tc>
      </w:tr>
    </w:tbl>
    <w:p w:rsidR="00BB7CE6" w:rsidRDefault="00BB7CE6" w:rsidP="00BB7CE6">
      <w:pPr>
        <w:ind w:left="0" w:right="9" w:firstLine="0"/>
      </w:pPr>
    </w:p>
    <w:p w:rsidR="00BB7CE6" w:rsidRDefault="00BB7CE6" w:rsidP="00BB7CE6">
      <w:pPr>
        <w:ind w:left="0" w:right="9" w:firstLine="0"/>
      </w:pPr>
    </w:p>
    <w:p w:rsidR="00BB7CE6" w:rsidRDefault="00BB7CE6" w:rsidP="00BB7CE6">
      <w:pPr>
        <w:ind w:left="0" w:right="9" w:firstLine="0"/>
      </w:pPr>
    </w:p>
    <w:p w:rsidR="00BB7CE6" w:rsidRDefault="00BB7CE6" w:rsidP="00BB7CE6">
      <w:pPr>
        <w:ind w:left="0" w:right="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B7CE6">
      <w:type w:val="continuous"/>
      <w:pgSz w:w="11906" w:h="16838"/>
      <w:pgMar w:top="1621" w:right="2592" w:bottom="8186" w:left="73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7CE6">
      <w:pPr>
        <w:spacing w:after="0" w:line="240" w:lineRule="auto"/>
      </w:pPr>
      <w:r>
        <w:separator/>
      </w:r>
    </w:p>
  </w:endnote>
  <w:endnote w:type="continuationSeparator" w:id="0">
    <w:p w:rsidR="00000000" w:rsidRDefault="00B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8B" w:rsidRDefault="00BB7CE6">
    <w:pPr>
      <w:spacing w:after="0" w:line="259" w:lineRule="auto"/>
      <w:ind w:left="2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2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8B" w:rsidRDefault="00BB7CE6">
    <w:pPr>
      <w:spacing w:after="0" w:line="259" w:lineRule="auto"/>
      <w:ind w:left="2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B7CE6">
      <w:rPr>
        <w:rFonts w:ascii="Calibri" w:eastAsia="Calibri" w:hAnsi="Calibri" w:cs="Calibri"/>
        <w:noProof/>
        <w:sz w:val="18"/>
      </w:rPr>
      <w:t>4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8B" w:rsidRDefault="00E10A8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7CE6">
      <w:pPr>
        <w:spacing w:after="0" w:line="240" w:lineRule="auto"/>
      </w:pPr>
      <w:r>
        <w:separator/>
      </w:r>
    </w:p>
  </w:footnote>
  <w:footnote w:type="continuationSeparator" w:id="0">
    <w:p w:rsidR="00000000" w:rsidRDefault="00BB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5789"/>
    <w:multiLevelType w:val="hybridMultilevel"/>
    <w:tmpl w:val="E660B42C"/>
    <w:lvl w:ilvl="0" w:tplc="7FD6C6F4">
      <w:start w:val="2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EDF6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6C23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D1B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34A03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C37F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8955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CF95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013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465C7"/>
    <w:multiLevelType w:val="hybridMultilevel"/>
    <w:tmpl w:val="7F38F948"/>
    <w:lvl w:ilvl="0" w:tplc="008C4A60">
      <w:start w:val="4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CC2A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388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069E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08B5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459FE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C56B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41F2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0F59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C4E08"/>
    <w:multiLevelType w:val="hybridMultilevel"/>
    <w:tmpl w:val="8DDA8890"/>
    <w:lvl w:ilvl="0" w:tplc="6DA84590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CC1C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C81A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C4A0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EC388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B6046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0BAB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6D6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2E82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D2886"/>
    <w:multiLevelType w:val="hybridMultilevel"/>
    <w:tmpl w:val="991E819C"/>
    <w:lvl w:ilvl="0" w:tplc="BEF082DC">
      <w:start w:val="2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E3048">
      <w:start w:val="1"/>
      <w:numFmt w:val="lowerLetter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0815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0A79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FE2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26A3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200A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670C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4527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82757"/>
    <w:multiLevelType w:val="hybridMultilevel"/>
    <w:tmpl w:val="FA120B8A"/>
    <w:lvl w:ilvl="0" w:tplc="EF2630EA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697B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E7A8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6C9B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E3ED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2D32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48C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C26B9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63FE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80124E"/>
    <w:multiLevelType w:val="hybridMultilevel"/>
    <w:tmpl w:val="C0E6ECC4"/>
    <w:lvl w:ilvl="0" w:tplc="9CD88160">
      <w:start w:val="3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648C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E73C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2572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0BE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EB09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4288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87F3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00BD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8B"/>
    <w:rsid w:val="00BB7CE6"/>
    <w:rsid w:val="00E1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4E2D"/>
  <w15:docId w15:val="{237DBBFD-E496-40B1-849A-DE936EEF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4" w:lineRule="auto"/>
      <w:ind w:left="1272" w:right="3903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9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9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2016-11-08T13:33:00Z</dcterms:created>
  <dcterms:modified xsi:type="dcterms:W3CDTF">2016-11-08T13:33:00Z</dcterms:modified>
</cp:coreProperties>
</file>