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3F2CD834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40685A">
        <w:rPr>
          <w:rFonts w:ascii="Times New Roman" w:hAnsi="Times New Roman"/>
          <w:i w:val="0"/>
        </w:rPr>
        <w:t>mezi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5AF8A416" w14:textId="4A44AAC2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720A25">
        <w:rPr>
          <w:sz w:val="24"/>
          <w:szCs w:val="24"/>
        </w:rPr>
        <w:t>xxxxxxxxxxxxxxxxxx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A59C481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sp</w:t>
      </w:r>
      <w:r w:rsidR="00720A25">
        <w:rPr>
          <w:sz w:val="24"/>
          <w:szCs w:val="24"/>
        </w:rPr>
        <w:t xml:space="preserve">ojení: </w:t>
      </w:r>
      <w:r w:rsidR="00720A25">
        <w:rPr>
          <w:sz w:val="24"/>
          <w:szCs w:val="24"/>
        </w:rPr>
        <w:tab/>
      </w:r>
      <w:r w:rsidR="00720A25">
        <w:rPr>
          <w:sz w:val="24"/>
          <w:szCs w:val="24"/>
        </w:rPr>
        <w:tab/>
        <w:t>xxxxxxxxxxxxxxxxxx</w:t>
      </w:r>
    </w:p>
    <w:p w14:paraId="71BA997E" w14:textId="5C09E586" w:rsidR="00A66240" w:rsidRPr="00A66240" w:rsidRDefault="00720A25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023C260A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ve věcech </w:t>
      </w:r>
      <w:r w:rsidR="00720A25">
        <w:rPr>
          <w:rFonts w:ascii="Times New Roman" w:hAnsi="Times New Roman"/>
          <w:sz w:val="24"/>
          <w:szCs w:val="24"/>
        </w:rPr>
        <w:t>smluvních:</w:t>
      </w:r>
      <w:r w:rsidR="00720A25">
        <w:rPr>
          <w:rFonts w:ascii="Times New Roman" w:hAnsi="Times New Roman"/>
          <w:sz w:val="24"/>
          <w:szCs w:val="24"/>
        </w:rPr>
        <w:tab/>
        <w:t>xxxxxxxxxxxxxxxxxx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60A84D6D" w14:textId="085A0EEC" w:rsidR="005105F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720A25">
        <w:rPr>
          <w:rFonts w:ascii="Times New Roman" w:hAnsi="Times New Roman"/>
          <w:sz w:val="24"/>
          <w:szCs w:val="24"/>
        </w:rPr>
        <w:t>xxxxxxxxxxxxxxxxxx</w:t>
      </w:r>
    </w:p>
    <w:p w14:paraId="195CCDDD" w14:textId="32C36C03" w:rsidR="00A66240" w:rsidRPr="002A3430" w:rsidRDefault="00720A25" w:rsidP="005105F2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649B3584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183D6A66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 w:rsidRPr="004A5757">
        <w:rPr>
          <w:b/>
          <w:sz w:val="24"/>
          <w:szCs w:val="24"/>
        </w:rPr>
        <w:t>Trade FIDES, a.s.</w:t>
      </w:r>
    </w:p>
    <w:p w14:paraId="7643940F" w14:textId="71054928" w:rsidR="00A66240" w:rsidRPr="00A66240" w:rsidRDefault="00A66240" w:rsidP="004A5757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 w:rsidRPr="004A5757">
        <w:rPr>
          <w:sz w:val="24"/>
          <w:szCs w:val="24"/>
        </w:rPr>
        <w:t>Dornych 129/57, Trnitá, 617 00 Brno</w:t>
      </w:r>
    </w:p>
    <w:p w14:paraId="1994083A" w14:textId="2346FD80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>
        <w:rPr>
          <w:sz w:val="24"/>
          <w:szCs w:val="24"/>
        </w:rPr>
        <w:t>v obchodním rejstříku vedeném KS v Brně, oddíl B, vložka 2987</w:t>
      </w:r>
    </w:p>
    <w:p w14:paraId="5F0C4773" w14:textId="6132FB66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B37D7B">
        <w:rPr>
          <w:sz w:val="24"/>
          <w:szCs w:val="24"/>
        </w:rPr>
        <w:t>xxxxxxxxxxxxxxxxxx</w:t>
      </w:r>
    </w:p>
    <w:p w14:paraId="751DF153" w14:textId="4D93144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>
        <w:rPr>
          <w:sz w:val="24"/>
          <w:szCs w:val="24"/>
        </w:rPr>
        <w:t>61974731</w:t>
      </w:r>
    </w:p>
    <w:p w14:paraId="18BFE23C" w14:textId="65D14764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>
        <w:rPr>
          <w:sz w:val="24"/>
          <w:szCs w:val="24"/>
        </w:rPr>
        <w:t>CZ61774731</w:t>
      </w:r>
    </w:p>
    <w:p w14:paraId="1456CCA0" w14:textId="070AE29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5757">
        <w:rPr>
          <w:sz w:val="24"/>
          <w:szCs w:val="24"/>
        </w:rPr>
        <w:t>eu5gqkq</w:t>
      </w:r>
    </w:p>
    <w:p w14:paraId="60F4CBC6" w14:textId="5BBB050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37D7B">
        <w:rPr>
          <w:sz w:val="24"/>
          <w:szCs w:val="24"/>
        </w:rPr>
        <w:t>xxxxxxxxxxxxxxxxxx</w:t>
      </w:r>
    </w:p>
    <w:p w14:paraId="2A3A46DE" w14:textId="2A67CDD9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B37D7B">
        <w:rPr>
          <w:sz w:val="24"/>
          <w:szCs w:val="24"/>
        </w:rPr>
        <w:t>xxxxxxxxxxxxxxxxxx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30B6F487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B37D7B">
        <w:rPr>
          <w:rFonts w:ascii="Times New Roman" w:hAnsi="Times New Roman"/>
          <w:sz w:val="24"/>
          <w:szCs w:val="24"/>
        </w:rPr>
        <w:t>xxxxxxxxxxxxxxxxxx</w:t>
      </w:r>
    </w:p>
    <w:p w14:paraId="75C2411F" w14:textId="3FF288AD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B37D7B">
        <w:rPr>
          <w:rFonts w:ascii="Times New Roman" w:hAnsi="Times New Roman"/>
          <w:sz w:val="24"/>
          <w:szCs w:val="24"/>
        </w:rPr>
        <w:t>xxxxxxxxxxxxxxxxxx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1028836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„zhotovitel“</w:t>
      </w:r>
      <w:r w:rsidR="0040685A">
        <w:rPr>
          <w:sz w:val="24"/>
          <w:szCs w:val="24"/>
          <w:lang w:eastAsia="zh-CN"/>
        </w:rPr>
        <w:t>, společně též „smluvní strany“</w:t>
      </w:r>
      <w:r w:rsidRPr="00A66240">
        <w:rPr>
          <w:sz w:val="24"/>
          <w:szCs w:val="24"/>
          <w:lang w:eastAsia="zh-CN"/>
        </w:rPr>
        <w:t xml:space="preserve">). </w:t>
      </w:r>
    </w:p>
    <w:p w14:paraId="5004B3AE" w14:textId="77777777" w:rsidR="00A66240" w:rsidRPr="00176E21" w:rsidRDefault="00A66240" w:rsidP="00183B2C">
      <w:pPr>
        <w:suppressAutoHyphens/>
        <w:spacing w:line="100" w:lineRule="atLeast"/>
        <w:jc w:val="both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236224F" w14:textId="6EDA3DCE" w:rsidR="00692ECE" w:rsidRDefault="003A4CC7" w:rsidP="00475866">
      <w:pPr>
        <w:pStyle w:val="Zkladntext"/>
        <w:rPr>
          <w:rFonts w:ascii="Times New Roman" w:hAnsi="Times New Roman"/>
          <w:b w:val="0"/>
          <w:bCs/>
          <w:i w:val="0"/>
          <w:iCs/>
          <w:color w:val="000000"/>
        </w:rPr>
      </w:pPr>
      <w:r w:rsidRPr="00475866">
        <w:rPr>
          <w:rFonts w:ascii="Times New Roman" w:hAnsi="Times New Roman"/>
          <w:b w:val="0"/>
          <w:i w:val="0"/>
        </w:rPr>
        <w:t xml:space="preserve">Předmětem </w:t>
      </w:r>
      <w:r w:rsidR="003B6F68" w:rsidRPr="00475866">
        <w:rPr>
          <w:rFonts w:ascii="Times New Roman" w:hAnsi="Times New Roman"/>
          <w:b w:val="0"/>
          <w:i w:val="0"/>
        </w:rPr>
        <w:t xml:space="preserve">této smlouvy je </w:t>
      </w:r>
      <w:r w:rsidR="00FA2D4A" w:rsidRPr="00475866">
        <w:rPr>
          <w:rFonts w:ascii="Times New Roman" w:hAnsi="Times New Roman"/>
          <w:b w:val="0"/>
          <w:i w:val="0"/>
        </w:rPr>
        <w:t xml:space="preserve">závazek zhotovitele </w:t>
      </w:r>
      <w:r w:rsidR="00692ECE" w:rsidRPr="00475866">
        <w:rPr>
          <w:rFonts w:ascii="Times New Roman" w:hAnsi="Times New Roman"/>
          <w:b w:val="0"/>
          <w:i w:val="0"/>
        </w:rPr>
        <w:t>zajisti</w:t>
      </w:r>
      <w:r w:rsidR="00AE2BBA" w:rsidRPr="00475866">
        <w:rPr>
          <w:rFonts w:ascii="Times New Roman" w:hAnsi="Times New Roman"/>
          <w:b w:val="0"/>
          <w:i w:val="0"/>
        </w:rPr>
        <w:t>t</w:t>
      </w:r>
      <w:r w:rsidR="00692ECE" w:rsidRPr="00475866">
        <w:rPr>
          <w:rFonts w:ascii="Times New Roman" w:hAnsi="Times New Roman"/>
          <w:b w:val="0"/>
          <w:i w:val="0"/>
        </w:rPr>
        <w:t xml:space="preserve"> pro objednatele realizaci akce</w:t>
      </w:r>
      <w:r w:rsidR="005105F2" w:rsidRPr="00475866">
        <w:rPr>
          <w:rFonts w:ascii="Times New Roman" w:hAnsi="Times New Roman"/>
          <w:b w:val="0"/>
          <w:i w:val="0"/>
        </w:rPr>
        <w:t xml:space="preserve"> </w:t>
      </w:r>
      <w:r w:rsidR="00475866" w:rsidRPr="00475866">
        <w:rPr>
          <w:rFonts w:ascii="Times New Roman" w:hAnsi="Times New Roman"/>
          <w:b w:val="0"/>
          <w:bCs/>
          <w:i w:val="0"/>
          <w:iCs/>
          <w:color w:val="000000"/>
        </w:rPr>
        <w:t xml:space="preserve">„Vyškov, Víta Nejedlého </w:t>
      </w:r>
      <w:r w:rsidR="005C2F8E">
        <w:rPr>
          <w:rFonts w:ascii="Times New Roman" w:hAnsi="Times New Roman"/>
          <w:b w:val="0"/>
          <w:bCs/>
          <w:i w:val="0"/>
          <w:iCs/>
          <w:color w:val="000000"/>
        </w:rPr>
        <w:t>235 – Internát I-6 – zajištění šesti</w:t>
      </w:r>
      <w:r w:rsidR="00475866" w:rsidRPr="00475866">
        <w:rPr>
          <w:rFonts w:ascii="Times New Roman" w:hAnsi="Times New Roman"/>
          <w:b w:val="0"/>
          <w:bCs/>
          <w:i w:val="0"/>
          <w:iCs/>
          <w:color w:val="000000"/>
        </w:rPr>
        <w:t xml:space="preserve"> kanceláří v 1. NP </w:t>
      </w:r>
      <w:r w:rsidR="00475866">
        <w:rPr>
          <w:rFonts w:ascii="Times New Roman" w:hAnsi="Times New Roman"/>
          <w:b w:val="0"/>
          <w:bCs/>
          <w:i w:val="0"/>
          <w:iCs/>
          <w:color w:val="000000"/>
        </w:rPr>
        <w:t xml:space="preserve">elektronickým zabezpečovacím </w:t>
      </w:r>
      <w:r w:rsidR="00475866" w:rsidRPr="00475866">
        <w:rPr>
          <w:rFonts w:ascii="Times New Roman" w:hAnsi="Times New Roman"/>
          <w:b w:val="0"/>
          <w:bCs/>
          <w:i w:val="0"/>
          <w:iCs/>
          <w:color w:val="000000"/>
        </w:rPr>
        <w:t xml:space="preserve">systémem </w:t>
      </w:r>
      <w:r w:rsidR="00475866">
        <w:rPr>
          <w:rFonts w:ascii="Times New Roman" w:hAnsi="Times New Roman"/>
          <w:b w:val="0"/>
          <w:bCs/>
          <w:i w:val="0"/>
          <w:iCs/>
          <w:color w:val="000000"/>
        </w:rPr>
        <w:t>(dále jen „</w:t>
      </w:r>
      <w:r w:rsidR="00475866" w:rsidRPr="00475866">
        <w:rPr>
          <w:rFonts w:ascii="Times New Roman" w:hAnsi="Times New Roman"/>
          <w:b w:val="0"/>
          <w:bCs/>
          <w:i w:val="0"/>
          <w:iCs/>
          <w:color w:val="000000"/>
        </w:rPr>
        <w:t>EZS</w:t>
      </w:r>
      <w:r w:rsidR="00475866">
        <w:rPr>
          <w:rFonts w:ascii="Times New Roman" w:hAnsi="Times New Roman"/>
          <w:b w:val="0"/>
          <w:bCs/>
          <w:i w:val="0"/>
          <w:iCs/>
          <w:color w:val="000000"/>
        </w:rPr>
        <w:t>“)</w:t>
      </w:r>
      <w:r w:rsidR="00475866" w:rsidRPr="00475866">
        <w:rPr>
          <w:rFonts w:ascii="Times New Roman" w:hAnsi="Times New Roman"/>
          <w:b w:val="0"/>
          <w:bCs/>
          <w:i w:val="0"/>
          <w:iCs/>
          <w:color w:val="000000"/>
        </w:rPr>
        <w:t xml:space="preserve"> včetně opravy prostor“</w:t>
      </w:r>
      <w:r w:rsidR="005C2F8E">
        <w:rPr>
          <w:rFonts w:ascii="Times New Roman" w:hAnsi="Times New Roman"/>
          <w:b w:val="0"/>
          <w:bCs/>
          <w:i w:val="0"/>
          <w:iCs/>
          <w:color w:val="000000"/>
        </w:rPr>
        <w:t>.</w:t>
      </w:r>
    </w:p>
    <w:p w14:paraId="4581F6BB" w14:textId="77777777" w:rsidR="005C2F8E" w:rsidRDefault="005C2F8E" w:rsidP="00475866">
      <w:pPr>
        <w:pStyle w:val="Zkladntext"/>
      </w:pPr>
    </w:p>
    <w:p w14:paraId="05B17E66" w14:textId="05D8F276" w:rsidR="005105F2" w:rsidRDefault="000B70BA" w:rsidP="005105F2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5C2F8E">
        <w:rPr>
          <w:sz w:val="24"/>
          <w:szCs w:val="24"/>
        </w:rPr>
        <w:t>.</w:t>
      </w:r>
    </w:p>
    <w:p w14:paraId="25E3372E" w14:textId="77777777" w:rsidR="005C2F8E" w:rsidRDefault="005C2F8E" w:rsidP="005105F2">
      <w:pPr>
        <w:spacing w:beforeLines="20" w:before="48"/>
        <w:jc w:val="both"/>
        <w:rPr>
          <w:sz w:val="24"/>
          <w:szCs w:val="24"/>
        </w:rPr>
      </w:pPr>
    </w:p>
    <w:p w14:paraId="20C02354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Realizace díla v rozsahu dle zpracovaného výkazu výměr:</w:t>
      </w:r>
    </w:p>
    <w:p w14:paraId="061804E4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Demontáž dveřních křídel</w:t>
      </w:r>
    </w:p>
    <w:p w14:paraId="62805B38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Vybourání dveřních zárubní</w:t>
      </w:r>
    </w:p>
    <w:p w14:paraId="71385C9E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 xml:space="preserve">Zazdění stavebního otvoru po dveřích </w:t>
      </w:r>
    </w:p>
    <w:p w14:paraId="1A45FB1C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 xml:space="preserve">Vybourání stávající příčky oddělující chodbu od kanceláří </w:t>
      </w:r>
    </w:p>
    <w:p w14:paraId="09BF0F42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Demontáž zařizovacích předmětů elektro</w:t>
      </w:r>
    </w:p>
    <w:p w14:paraId="01B8FF4B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 xml:space="preserve">Stavební práce v technologické místnosti </w:t>
      </w:r>
    </w:p>
    <w:p w14:paraId="31268915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Montáž antistatické podlahy v technologické místnosti</w:t>
      </w:r>
    </w:p>
    <w:p w14:paraId="2E65C43F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lastRenderedPageBreak/>
        <w:t>Demontáž kuchyňské linky</w:t>
      </w:r>
    </w:p>
    <w:p w14:paraId="112678A9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Výstavbu nové příčky oddělující chodbu od kanceláří (jiná dispozice)</w:t>
      </w:r>
    </w:p>
    <w:p w14:paraId="0BEFA1B9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Opravu světelných a zásuvkových obvodů a rozvodů</w:t>
      </w:r>
    </w:p>
    <w:p w14:paraId="031BDDC6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 xml:space="preserve">Opravu slaboproudých rozvodů a elektronického zabezpečovacího systému </w:t>
      </w:r>
    </w:p>
    <w:p w14:paraId="5F17A4CF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Opravu chodbového rozvaděče a jištění elektrických obvodů</w:t>
      </w:r>
    </w:p>
    <w:p w14:paraId="291A75AA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Montáž zařizovacích předmětů</w:t>
      </w:r>
    </w:p>
    <w:p w14:paraId="7720CAC7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 xml:space="preserve">Montáž klimatizační jednotky </w:t>
      </w:r>
    </w:p>
    <w:p w14:paraId="40103432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Montáž mechanických zabezpečovacích prvků na okna</w:t>
      </w:r>
    </w:p>
    <w:p w14:paraId="48AF3E67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Montáž bezpečnostních dveří do nové příčky</w:t>
      </w:r>
    </w:p>
    <w:p w14:paraId="05F9BFE7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Oprava omítek a výmalba všech prostor</w:t>
      </w:r>
    </w:p>
    <w:p w14:paraId="5943A329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Oprava podlah – výměna koberců a podlahové krytiny</w:t>
      </w:r>
    </w:p>
    <w:p w14:paraId="12D7361C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Zpětná montáž kuchyňské linky</w:t>
      </w:r>
    </w:p>
    <w:p w14:paraId="65439E52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Ekologická likvidace demontovaného materiálu a suti</w:t>
      </w:r>
    </w:p>
    <w:p w14:paraId="6E1D9AEF" w14:textId="77777777" w:rsidR="005C2F8E" w:rsidRPr="005C2F8E" w:rsidRDefault="005C2F8E" w:rsidP="005C2F8E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Průběžný a závěrečný úklid</w:t>
      </w:r>
    </w:p>
    <w:p w14:paraId="0CC10492" w14:textId="11D462E8" w:rsidR="00B36D06" w:rsidRPr="00B36D06" w:rsidRDefault="005C2F8E" w:rsidP="00B36D06">
      <w:pPr>
        <w:jc w:val="both"/>
        <w:rPr>
          <w:sz w:val="24"/>
          <w:szCs w:val="24"/>
        </w:rPr>
      </w:pPr>
      <w:r w:rsidRPr="005C2F8E">
        <w:rPr>
          <w:sz w:val="24"/>
          <w:szCs w:val="24"/>
        </w:rPr>
        <w:t>Zajištění všech revizí, zkoušek a doložení prohlášení o shodách na dodávané materiály a prvky</w:t>
      </w:r>
    </w:p>
    <w:p w14:paraId="288CEA9D" w14:textId="77777777" w:rsidR="00B36D06" w:rsidRDefault="00B36D06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</w:p>
    <w:p w14:paraId="3FE064A0" w14:textId="77777777" w:rsidR="00A66240" w:rsidRPr="00C43B98" w:rsidRDefault="00A66240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1BB9C9B2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183B2C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B70BA">
        <w:rPr>
          <w:sz w:val="24"/>
          <w:szCs w:val="24"/>
        </w:rPr>
        <w:t xml:space="preserve"> 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51ABBE2C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B77579">
        <w:rPr>
          <w:sz w:val="24"/>
          <w:szCs w:val="24"/>
        </w:rPr>
        <w:t xml:space="preserve">do </w:t>
      </w:r>
      <w:r w:rsidR="005C2F8E" w:rsidRPr="005C2F8E">
        <w:rPr>
          <w:color w:val="000000"/>
          <w:sz w:val="24"/>
        </w:rPr>
        <w:t>31. 05. 2018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194660BF" w:rsidR="00C042BD" w:rsidRPr="00852925" w:rsidRDefault="00852925" w:rsidP="00B36D06">
      <w:pPr>
        <w:ind w:left="3600" w:hanging="3600"/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5105F2" w:rsidRPr="005C2F8E">
        <w:rPr>
          <w:color w:val="000000"/>
          <w:sz w:val="24"/>
        </w:rPr>
        <w:t xml:space="preserve">Vojenské ubytovací zařízení </w:t>
      </w:r>
      <w:r w:rsidR="00B36D06" w:rsidRPr="005C2F8E">
        <w:rPr>
          <w:color w:val="000000"/>
          <w:sz w:val="24"/>
        </w:rPr>
        <w:t>Internát I-6, Víta Nejedlého 235, Vyškov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2515C7BE" w14:textId="77777777" w:rsidR="0040685A" w:rsidRDefault="0040685A" w:rsidP="00EA3BE5">
      <w:pPr>
        <w:rPr>
          <w:sz w:val="24"/>
          <w:szCs w:val="24"/>
        </w:rPr>
      </w:pPr>
    </w:p>
    <w:p w14:paraId="0832FE87" w14:textId="250813C1" w:rsidR="00C042BD" w:rsidRPr="00183B2C" w:rsidRDefault="00183B2C" w:rsidP="00183B2C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183B2C">
        <w:rPr>
          <w:b/>
          <w:sz w:val="24"/>
          <w:szCs w:val="24"/>
        </w:rPr>
        <w:t xml:space="preserve">III. </w:t>
      </w:r>
      <w:r w:rsidR="00A66240" w:rsidRPr="00183B2C">
        <w:rPr>
          <w:b/>
          <w:sz w:val="24"/>
          <w:szCs w:val="24"/>
        </w:rPr>
        <w:t>Cena díla</w:t>
      </w:r>
    </w:p>
    <w:p w14:paraId="275B45D4" w14:textId="3073E728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4A5757">
        <w:rPr>
          <w:b/>
          <w:sz w:val="24"/>
        </w:rPr>
        <w:t xml:space="preserve">1 603 355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0711D8EE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r w:rsidR="004A5757">
        <w:rPr>
          <w:sz w:val="24"/>
        </w:rPr>
        <w:t xml:space="preserve">jedenmilionšestsettřitisícetřistapadesátpět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7D599FF" w14:textId="77777777" w:rsidR="0040685A" w:rsidRPr="00095FDB" w:rsidRDefault="0040685A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8E81901" w14:textId="77777777" w:rsidR="009A44EE" w:rsidRPr="003B6F68" w:rsidRDefault="009A44EE" w:rsidP="009A44E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6B141174" w14:textId="59ED19C0" w:rsidR="009A44EE" w:rsidRPr="00605DE4" w:rsidRDefault="009A44EE" w:rsidP="009A44E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9A44EE">
        <w:rPr>
          <w:rFonts w:ascii="Times New Roman" w:hAnsi="Times New Roman"/>
          <w:b w:val="0"/>
          <w:i w:val="0"/>
        </w:rPr>
        <w:t>Objednatel se zavazuje uhradit cenu díla na základě faktury, jež bude vystavena v souladu s ustanovením § 11 odst. 1 zák.č. 563/1991 Sb., ve znění pozdějších předpisů. Faktura musí dále obsahovat údaje podle zák.č. 235/2004, ve znění pozdějších předpisů, včetně uvedení klasifikace CZ-CPA a dále údaje pro účely stanovení režimu přenesené daňové povinnosti v souladu s § 92a tohoto zákona.</w:t>
      </w:r>
    </w:p>
    <w:p w14:paraId="084BE82C" w14:textId="0F31F74D" w:rsidR="009A44EE" w:rsidRPr="009A44EE" w:rsidRDefault="009A44EE" w:rsidP="009A44E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do</w:t>
      </w:r>
      <w:r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63169B8D" w14:textId="5B69B8A4" w:rsidR="009A44EE" w:rsidRPr="0093306C" w:rsidRDefault="009A44EE" w:rsidP="009A44E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fakturována do výše 100</w:t>
      </w:r>
      <w:r w:rsidR="00E755D9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9A0E8E">
        <w:rPr>
          <w:rFonts w:ascii="Times New Roman" w:hAnsi="Times New Roman"/>
          <w:b w:val="0"/>
          <w:i w:val="0"/>
        </w:rPr>
        <w:t xml:space="preserve"> na základě předávacího protokolu po předání díla se zádržným 10</w:t>
      </w:r>
      <w:r w:rsidR="00E755D9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9A0E8E">
        <w:rPr>
          <w:rFonts w:ascii="Times New Roman" w:hAnsi="Times New Roman"/>
          <w:b w:val="0"/>
          <w:i w:val="0"/>
        </w:rPr>
        <w:t xml:space="preserve"> do </w:t>
      </w:r>
      <w:r w:rsidRPr="003B6F68">
        <w:rPr>
          <w:rFonts w:ascii="Times New Roman" w:hAnsi="Times New Roman"/>
          <w:b w:val="0"/>
          <w:i w:val="0"/>
        </w:rPr>
        <w:t>odstranění případných vad a</w:t>
      </w:r>
      <w:r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nedodělků</w:t>
      </w:r>
      <w:r>
        <w:rPr>
          <w:rFonts w:ascii="Times New Roman" w:hAnsi="Times New Roman"/>
          <w:b w:val="0"/>
          <w:i w:val="0"/>
        </w:rPr>
        <w:t>.</w:t>
      </w:r>
    </w:p>
    <w:p w14:paraId="7601FC55" w14:textId="314CDF9B" w:rsidR="00095FDB" w:rsidRDefault="009A44EE" w:rsidP="009A44EE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lastRenderedPageBreak/>
        <w:t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a</w:t>
      </w:r>
      <w:r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technickým dozorem </w:t>
      </w:r>
      <w:r>
        <w:rPr>
          <w:rFonts w:ascii="Times New Roman" w:hAnsi="Times New Roman"/>
          <w:b w:val="0"/>
          <w:i w:val="0"/>
        </w:rPr>
        <w:t>stavebníka (dále jen „</w:t>
      </w:r>
      <w:r w:rsidR="00E755D9">
        <w:rPr>
          <w:rFonts w:ascii="Times New Roman" w:hAnsi="Times New Roman"/>
          <w:b w:val="0"/>
          <w:i w:val="0"/>
        </w:rPr>
        <w:t>TDS“)</w:t>
      </w:r>
      <w:r w:rsidR="00E755D9" w:rsidRPr="0093306C">
        <w:rPr>
          <w:rFonts w:ascii="Times New Roman" w:hAnsi="Times New Roman"/>
          <w:b w:val="0"/>
          <w:i w:val="0"/>
        </w:rPr>
        <w:t xml:space="preserve"> </w:t>
      </w:r>
      <w:r w:rsidR="00E755D9" w:rsidRPr="003B6F68">
        <w:rPr>
          <w:rFonts w:ascii="Times New Roman" w:hAnsi="Times New Roman"/>
          <w:b w:val="0"/>
          <w:i w:val="0"/>
        </w:rPr>
        <w:t>a zástupcem</w:t>
      </w:r>
      <w:r w:rsidRPr="003B6F68">
        <w:rPr>
          <w:rFonts w:ascii="Times New Roman" w:hAnsi="Times New Roman"/>
          <w:b w:val="0"/>
          <w:i w:val="0"/>
        </w:rPr>
        <w:t xml:space="preserve"> objednatele.</w:t>
      </w:r>
    </w:p>
    <w:p w14:paraId="546F329D" w14:textId="77777777" w:rsidR="009A0E8E" w:rsidRDefault="009A0E8E" w:rsidP="009A0E8E">
      <w:pPr>
        <w:pStyle w:val="Zkladntext"/>
        <w:ind w:left="284"/>
        <w:jc w:val="both"/>
        <w:rPr>
          <w:rFonts w:ascii="Times New Roman" w:hAnsi="Times New Roman"/>
          <w:b w:val="0"/>
          <w:i w:val="0"/>
        </w:rPr>
      </w:pPr>
    </w:p>
    <w:p w14:paraId="48F59EA8" w14:textId="77777777" w:rsidR="009A0E8E" w:rsidRPr="009A44EE" w:rsidRDefault="009A0E8E" w:rsidP="009A0E8E">
      <w:pPr>
        <w:pStyle w:val="Zkladntext"/>
        <w:ind w:left="284"/>
        <w:jc w:val="both"/>
        <w:rPr>
          <w:rFonts w:ascii="Times New Roman" w:hAnsi="Times New Roman"/>
          <w:b w:val="0"/>
          <w:i w:val="0"/>
        </w:rPr>
      </w:pPr>
    </w:p>
    <w:p w14:paraId="0515C86D" w14:textId="3364A3B5" w:rsidR="00421634" w:rsidRPr="00421634" w:rsidRDefault="00A66240" w:rsidP="00183B2C">
      <w:pPr>
        <w:pStyle w:val="Nadpis6"/>
        <w:spacing w:before="0"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44AEC9E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Objednatel je oprávněn průběžně kontrolovat provádění díla formou kontrolních dnů, kdy 1</w:t>
      </w:r>
      <w:r w:rsidR="00AB1D32" w:rsidRPr="009C42A7">
        <w:rPr>
          <w:sz w:val="24"/>
        </w:rPr>
        <w:t>.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183B2C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410224F8" w:rsidR="009C42A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9A44EE">
        <w:rPr>
          <w:sz w:val="24"/>
        </w:rPr>
        <w:t xml:space="preserve">V případě, že dojde ke změně </w:t>
      </w:r>
      <w:r w:rsidR="004F604D" w:rsidRPr="009A44EE">
        <w:rPr>
          <w:sz w:val="24"/>
        </w:rPr>
        <w:t>poddodavatele</w:t>
      </w:r>
      <w:r w:rsidRPr="009A44EE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9C42A7">
        <w:rPr>
          <w:sz w:val="24"/>
          <w:highlight w:val="yellow"/>
        </w:rPr>
        <w:t xml:space="preserve"> 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40153850" w14:textId="013AA3F8" w:rsidR="00FA2D4A" w:rsidRPr="002A3430" w:rsidRDefault="00B77579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>
        <w:rPr>
          <w:color w:val="000000"/>
          <w:sz w:val="24"/>
          <w:szCs w:val="24"/>
        </w:rPr>
        <w:t>Zhotovitel bere na vědomí, že budova, v níž bude dílo provádět, je součástí vojenského areálu a práce budou probíhat za provozu</w:t>
      </w:r>
      <w:r w:rsidR="00FA2D4A" w:rsidRPr="009A44EE">
        <w:rPr>
          <w:sz w:val="24"/>
        </w:rPr>
        <w:t>.</w:t>
      </w:r>
      <w:r w:rsidR="00FA2D4A" w:rsidRPr="002A3430">
        <w:rPr>
          <w:sz w:val="24"/>
        </w:rPr>
        <w:t xml:space="preserve"> </w:t>
      </w:r>
      <w:r w:rsidR="00567814" w:rsidRPr="002A3430">
        <w:rPr>
          <w:sz w:val="24"/>
        </w:rPr>
        <w:t xml:space="preserve"> </w:t>
      </w:r>
    </w:p>
    <w:p w14:paraId="091E2E3B" w14:textId="77777777" w:rsidR="00605DE4" w:rsidRPr="00A27386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77777777" w:rsidR="00605DE4" w:rsidRPr="00AB1D32" w:rsidRDefault="00605DE4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souhlas, atd.) hradí zhotovitel.</w:t>
      </w:r>
    </w:p>
    <w:p w14:paraId="529DE044" w14:textId="77777777" w:rsidR="00AB1D32" w:rsidRDefault="00AB1D32" w:rsidP="002A3430"/>
    <w:p w14:paraId="48819404" w14:textId="77777777" w:rsidR="0040685A" w:rsidRPr="00300ADC" w:rsidRDefault="0040685A" w:rsidP="002A3430"/>
    <w:p w14:paraId="738FF7F7" w14:textId="77777777" w:rsidR="00AE2642" w:rsidRPr="00A27386" w:rsidRDefault="00F866AD" w:rsidP="00183B2C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19622D25" w14:textId="77777777" w:rsidR="009A44EE" w:rsidRPr="00B54AA7" w:rsidRDefault="009A44EE" w:rsidP="009A44EE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měsíců od předání díla (dále jen „záruční doba“).</w:t>
      </w:r>
    </w:p>
    <w:p w14:paraId="666A9BA9" w14:textId="77777777" w:rsidR="009A44EE" w:rsidRPr="00BA1192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době, nejpozději do 48 hod. od nahlášení závad.</w:t>
      </w:r>
    </w:p>
    <w:p w14:paraId="22E29D94" w14:textId="77777777" w:rsidR="009A44EE" w:rsidRPr="00B54AA7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lastRenderedPageBreak/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IX této smlouvy, popřípadě po záruční dobu stanovenou výrobcem určitého materiálu nebo vybavení a technologie, pokud taková záruční doba stanovená výrobcem bude delší než výše uvedená doba.</w:t>
      </w:r>
    </w:p>
    <w:p w14:paraId="6AC401EB" w14:textId="77777777" w:rsidR="009A44EE" w:rsidRPr="00BA1192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7C8A7553" w14:textId="77777777" w:rsidR="009A44EE" w:rsidRPr="00BA1192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6C3F300" w14:textId="77777777" w:rsidR="009A44EE" w:rsidRPr="00BA1192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064E3EF7" w14:textId="77777777" w:rsidR="009A44EE" w:rsidRDefault="009A44EE" w:rsidP="009A44EE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7A380C20" w14:textId="7221E52F" w:rsidR="00A66240" w:rsidRDefault="00A66240" w:rsidP="009A44EE">
      <w:pPr>
        <w:spacing w:before="120" w:after="120"/>
        <w:ind w:left="284"/>
        <w:jc w:val="both"/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2E184920" w14:textId="77777777" w:rsidR="0040685A" w:rsidRDefault="0040685A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434DB990" w:rsidR="00EA3BE5" w:rsidRPr="009A44EE" w:rsidRDefault="009A44EE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9A44EE">
        <w:rPr>
          <w:sz w:val="24"/>
          <w:szCs w:val="24"/>
        </w:rPr>
        <w:t>Všichni pracovníci, kteří se podílí na realizaci díla, musí být občané České republiky – realizace probíhá v uzavřeném vojenském areálu.</w:t>
      </w:r>
    </w:p>
    <w:p w14:paraId="73058625" w14:textId="703B122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40685A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757B7163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5C2F8E">
        <w:rPr>
          <w:rFonts w:ascii="Times New Roman" w:hAnsi="Times New Roman"/>
          <w:sz w:val="24"/>
          <w:szCs w:val="24"/>
        </w:rPr>
        <w:t>4 000 000</w:t>
      </w:r>
      <w:r w:rsidR="002632C6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61079DA0" w14:textId="77777777" w:rsidR="00183B2C" w:rsidRDefault="00183B2C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A9D9F0C" w14:textId="77777777" w:rsidR="0040685A" w:rsidRPr="00A27386" w:rsidRDefault="0040685A" w:rsidP="00183B2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183B2C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méněprací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méněpráce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Stanovení ceny víceprací a méněprací</w:t>
      </w:r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naceněna nabídkou zhotovitele, použije se jednotková cena z této nabídky, </w:t>
      </w:r>
    </w:p>
    <w:p w14:paraId="0304F800" w14:textId="0C5CDAF0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lastRenderedPageBreak/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víc</w:t>
      </w:r>
      <w:r w:rsidR="00AB6B1B">
        <w:rPr>
          <w:rFonts w:ascii="Times New Roman" w:hAnsi="Times New Roman"/>
          <w:sz w:val="24"/>
          <w:szCs w:val="24"/>
        </w:rPr>
        <w:t>epráce realizovány, snížené o 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58AB1F5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(méněpráce), budou odečteny ve výši součtu veškerých odpovídajících položek a</w:t>
      </w:r>
      <w:r w:rsidR="00183B2C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62782D7B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povinen na základě písemné žádosti pro zadavatele 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0BEB964F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40685A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7F20D6B" w14:textId="77777777" w:rsidR="0040685A" w:rsidRDefault="0040685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245376" w:rsidRDefault="0075034C" w:rsidP="002A3430">
      <w:pPr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veškerou dokumentaci dle </w:t>
      </w:r>
      <w:r w:rsidR="00654A49" w:rsidRPr="00AB1D32">
        <w:rPr>
          <w:sz w:val="24"/>
        </w:rPr>
        <w:t>č</w:t>
      </w:r>
      <w:r w:rsidR="00197CB7" w:rsidRPr="002A3430">
        <w:rPr>
          <w:sz w:val="24"/>
        </w:rPr>
        <w:t xml:space="preserve">lánku </w:t>
      </w:r>
      <w:r w:rsidR="002354D1" w:rsidRPr="002A3430">
        <w:rPr>
          <w:sz w:val="24"/>
        </w:rPr>
        <w:t xml:space="preserve">č. </w:t>
      </w:r>
      <w:r w:rsidR="00245376">
        <w:rPr>
          <w:sz w:val="24"/>
        </w:rPr>
        <w:t>I.</w:t>
      </w:r>
      <w:r w:rsidR="00245376" w:rsidRPr="00A27386">
        <w:rPr>
          <w:sz w:val="24"/>
        </w:rPr>
        <w:t xml:space="preserve"> </w:t>
      </w:r>
      <w:r w:rsidR="00197CB7" w:rsidRPr="00A27386">
        <w:rPr>
          <w:sz w:val="24"/>
        </w:rPr>
        <w:t>této smlouvy.</w:t>
      </w:r>
    </w:p>
    <w:p w14:paraId="636DF75F" w14:textId="77777777" w:rsidR="00183B2C" w:rsidRDefault="00183B2C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4BF9AEF7" w14:textId="77777777" w:rsidR="0040685A" w:rsidRPr="00095FDB" w:rsidRDefault="0040685A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2F5FF792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  <w:r w:rsidR="00B77579">
        <w:rPr>
          <w:rFonts w:ascii="Times New Roman" w:hAnsi="Times New Roman"/>
          <w:caps w:val="0"/>
          <w:u w:val="none"/>
        </w:rPr>
        <w:t xml:space="preserve"> 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78D5D679" w:rsidR="0019573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V případě nedodržení</w:t>
      </w:r>
      <w:r w:rsidR="00D8656A" w:rsidRPr="00231BB5">
        <w:rPr>
          <w:rFonts w:ascii="Times New Roman" w:hAnsi="Times New Roman"/>
          <w:sz w:val="24"/>
          <w:szCs w:val="20"/>
        </w:rPr>
        <w:t xml:space="preserve"> dohodnutého</w:t>
      </w:r>
      <w:r w:rsidRPr="00231BB5">
        <w:rPr>
          <w:rFonts w:ascii="Times New Roman" w:hAnsi="Times New Roman"/>
          <w:sz w:val="24"/>
          <w:szCs w:val="20"/>
        </w:rPr>
        <w:t xml:space="preserve"> termínu dokončení díla</w:t>
      </w:r>
      <w:r w:rsidR="00A11243" w:rsidRPr="00231BB5">
        <w:rPr>
          <w:rFonts w:ascii="Times New Roman" w:hAnsi="Times New Roman"/>
          <w:sz w:val="24"/>
          <w:szCs w:val="20"/>
        </w:rPr>
        <w:t xml:space="preserve"> uhradí zhotovitel </w:t>
      </w:r>
      <w:r w:rsidR="007B3C1E" w:rsidRPr="00231BB5">
        <w:rPr>
          <w:rFonts w:ascii="Times New Roman" w:hAnsi="Times New Roman"/>
          <w:sz w:val="24"/>
          <w:szCs w:val="20"/>
        </w:rPr>
        <w:t xml:space="preserve">objednateli </w:t>
      </w:r>
      <w:r w:rsidR="00A11243" w:rsidRPr="00231BB5">
        <w:rPr>
          <w:rFonts w:ascii="Times New Roman" w:hAnsi="Times New Roman"/>
          <w:sz w:val="24"/>
          <w:szCs w:val="20"/>
        </w:rPr>
        <w:t xml:space="preserve">smluvní pokutu ve výši </w:t>
      </w:r>
      <w:r w:rsidR="005C2F8E">
        <w:rPr>
          <w:rFonts w:ascii="Times New Roman" w:hAnsi="Times New Roman"/>
          <w:sz w:val="24"/>
          <w:szCs w:val="20"/>
        </w:rPr>
        <w:t>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 za každý i započatý den prodlení z předání díla.</w:t>
      </w:r>
      <w:r w:rsidR="007976B8" w:rsidRPr="00231BB5">
        <w:rPr>
          <w:rFonts w:ascii="Times New Roman" w:hAnsi="Times New Roman"/>
          <w:sz w:val="24"/>
          <w:szCs w:val="20"/>
        </w:rPr>
        <w:t xml:space="preserve"> </w:t>
      </w:r>
    </w:p>
    <w:p w14:paraId="3C7C35F9" w14:textId="34E2C523" w:rsidR="00AE2642" w:rsidRPr="00231BB5" w:rsidRDefault="00A11243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Z</w:t>
      </w:r>
      <w:r w:rsidR="00AE2642" w:rsidRPr="00231BB5">
        <w:rPr>
          <w:rFonts w:ascii="Times New Roman" w:hAnsi="Times New Roman"/>
          <w:sz w:val="24"/>
          <w:szCs w:val="20"/>
        </w:rPr>
        <w:t xml:space="preserve"> prodlení s odstraněním vad a nedodělků v termínech stanovených v zápise o předání a převzetí díla uhradí zhotovitel objednateli smluvní pokutu ve výši</w:t>
      </w:r>
      <w:r w:rsidR="005C2F8E">
        <w:rPr>
          <w:rFonts w:ascii="Times New Roman" w:hAnsi="Times New Roman"/>
          <w:sz w:val="24"/>
          <w:szCs w:val="20"/>
        </w:rPr>
        <w:t xml:space="preserve"> 1 000</w:t>
      </w:r>
      <w:r w:rsidR="002632C6">
        <w:rPr>
          <w:rFonts w:ascii="Times New Roman" w:hAnsi="Times New Roman"/>
          <w:sz w:val="24"/>
          <w:szCs w:val="20"/>
        </w:rPr>
        <w:t xml:space="preserve"> </w:t>
      </w:r>
      <w:r w:rsidRPr="00231BB5">
        <w:rPr>
          <w:rFonts w:ascii="Times New Roman" w:hAnsi="Times New Roman"/>
          <w:sz w:val="24"/>
          <w:szCs w:val="20"/>
        </w:rPr>
        <w:t>Kč</w:t>
      </w:r>
      <w:r w:rsidR="00AE2642" w:rsidRPr="00231BB5">
        <w:rPr>
          <w:rFonts w:ascii="Times New Roman" w:hAnsi="Times New Roman"/>
          <w:sz w:val="24"/>
          <w:szCs w:val="20"/>
        </w:rPr>
        <w:t>  za každý i započatý den prodlení.</w:t>
      </w:r>
    </w:p>
    <w:p w14:paraId="042F5E43" w14:textId="4854EE6A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2632C6">
        <w:rPr>
          <w:rFonts w:ascii="Times New Roman" w:hAnsi="Times New Roman"/>
          <w:sz w:val="24"/>
          <w:szCs w:val="20"/>
        </w:rPr>
        <w:t xml:space="preserve">1.000,-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4E4DF211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</w:t>
      </w:r>
      <w:r w:rsidR="005C2F8E">
        <w:rPr>
          <w:rFonts w:ascii="Times New Roman" w:hAnsi="Times New Roman"/>
          <w:sz w:val="24"/>
          <w:szCs w:val="20"/>
        </w:rPr>
        <w:t xml:space="preserve">ém znění je stanovena ve výši 1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lastRenderedPageBreak/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1434A0A5" w14:textId="44BA258D" w:rsidR="00AE2642" w:rsidRPr="00231BB5" w:rsidRDefault="00AE26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115CC0AA" w14:textId="77777777" w:rsidR="00AB1D32" w:rsidRDefault="00AB1D32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343F7AAC" w14:textId="77777777" w:rsidR="0040685A" w:rsidRPr="007B3C1E" w:rsidRDefault="0040685A" w:rsidP="00183B2C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183B2C">
      <w:pPr>
        <w:spacing w:beforeLines="20" w:before="48"/>
        <w:ind w:left="851"/>
        <w:jc w:val="both"/>
        <w:rPr>
          <w:sz w:val="24"/>
        </w:rPr>
      </w:pPr>
    </w:p>
    <w:p w14:paraId="0251FA45" w14:textId="77777777" w:rsidR="0040685A" w:rsidRDefault="0040685A" w:rsidP="00183B2C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183B2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2E8F3D8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40685A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183B2C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17D4A5B4" w14:textId="77777777" w:rsidR="009A44EE" w:rsidRDefault="009A44EE" w:rsidP="00EA3BE5">
      <w:pPr>
        <w:rPr>
          <w:sz w:val="24"/>
          <w:szCs w:val="24"/>
        </w:rPr>
      </w:pPr>
    </w:p>
    <w:p w14:paraId="53E59C71" w14:textId="77777777" w:rsidR="009A44EE" w:rsidRDefault="009A44EE" w:rsidP="00EA3BE5">
      <w:pPr>
        <w:rPr>
          <w:sz w:val="24"/>
          <w:szCs w:val="24"/>
        </w:rPr>
      </w:pPr>
    </w:p>
    <w:p w14:paraId="2AAF81C7" w14:textId="77777777" w:rsidR="009A44EE" w:rsidRDefault="009A44EE" w:rsidP="00EA3BE5">
      <w:pPr>
        <w:rPr>
          <w:sz w:val="24"/>
          <w:szCs w:val="24"/>
        </w:rPr>
      </w:pP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01DD5D79" w14:textId="77777777" w:rsidR="009A0E8E" w:rsidRDefault="009A0E8E" w:rsidP="00EA3BE5">
      <w:pPr>
        <w:rPr>
          <w:sz w:val="24"/>
          <w:szCs w:val="24"/>
        </w:rPr>
      </w:pPr>
    </w:p>
    <w:p w14:paraId="2457A208" w14:textId="77777777" w:rsidR="009A0E8E" w:rsidRDefault="009A0E8E" w:rsidP="00EA3BE5">
      <w:pPr>
        <w:rPr>
          <w:sz w:val="24"/>
          <w:szCs w:val="24"/>
        </w:rPr>
      </w:pPr>
    </w:p>
    <w:p w14:paraId="50EFD3CA" w14:textId="77777777" w:rsidR="009A0E8E" w:rsidRDefault="009A0E8E" w:rsidP="00EA3BE5">
      <w:pPr>
        <w:rPr>
          <w:sz w:val="24"/>
          <w:szCs w:val="24"/>
        </w:rPr>
      </w:pPr>
    </w:p>
    <w:p w14:paraId="1B9CD6C9" w14:textId="77777777" w:rsidR="009A0E8E" w:rsidRDefault="009A0E8E" w:rsidP="00EA3BE5">
      <w:pPr>
        <w:rPr>
          <w:sz w:val="24"/>
          <w:szCs w:val="24"/>
        </w:rPr>
      </w:pPr>
    </w:p>
    <w:p w14:paraId="6AE88DCC" w14:textId="77777777" w:rsidR="009A0E8E" w:rsidRDefault="009A0E8E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34230C15" w14:textId="3392BE99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9A0E8E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  <w:bookmarkStart w:id="0" w:name="_GoBack"/>
      <w:bookmarkEnd w:id="0"/>
    </w:p>
    <w:p w14:paraId="0DDF611D" w14:textId="77777777" w:rsidR="0040685A" w:rsidRDefault="0040685A" w:rsidP="009C5B53">
      <w:pPr>
        <w:shd w:val="clear" w:color="auto" w:fill="FFFFFF"/>
        <w:rPr>
          <w:sz w:val="24"/>
        </w:rPr>
      </w:pPr>
    </w:p>
    <w:p w14:paraId="4D9D5F7D" w14:textId="77777777" w:rsidR="0040685A" w:rsidRDefault="0040685A" w:rsidP="009C5B53">
      <w:pPr>
        <w:shd w:val="clear" w:color="auto" w:fill="FFFFFF"/>
        <w:rPr>
          <w:sz w:val="24"/>
        </w:rPr>
      </w:pPr>
    </w:p>
    <w:p w14:paraId="296522F7" w14:textId="77777777" w:rsidR="0040685A" w:rsidRDefault="0040685A" w:rsidP="009C5B53">
      <w:pPr>
        <w:shd w:val="clear" w:color="auto" w:fill="FFFFFF"/>
        <w:rPr>
          <w:sz w:val="24"/>
        </w:rPr>
      </w:pPr>
    </w:p>
    <w:p w14:paraId="27FB2E6E" w14:textId="77777777" w:rsidR="0040685A" w:rsidRDefault="0040685A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36FAFF06" w14:textId="77777777" w:rsidR="00183B2C" w:rsidRDefault="00183B2C" w:rsidP="009C5B53">
      <w:pPr>
        <w:shd w:val="clear" w:color="auto" w:fill="FFFFFF"/>
        <w:rPr>
          <w:sz w:val="24"/>
        </w:rPr>
      </w:pPr>
    </w:p>
    <w:p w14:paraId="28E1FBDF" w14:textId="77777777" w:rsidR="00183B2C" w:rsidRDefault="00183B2C" w:rsidP="009C5B53">
      <w:pPr>
        <w:shd w:val="clear" w:color="auto" w:fill="FFFFFF"/>
        <w:rPr>
          <w:sz w:val="24"/>
        </w:rPr>
      </w:pPr>
    </w:p>
    <w:p w14:paraId="008860F9" w14:textId="77777777" w:rsidR="00183B2C" w:rsidRDefault="00183B2C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79CDC1E5" w:rsidR="009C5B53" w:rsidRPr="009C5B53" w:rsidRDefault="009C5B53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360" w:lineRule="auto"/>
        <w:ind w:left="0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="00183B2C"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5C96A03E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8BE">
        <w:rPr>
          <w:rFonts w:ascii="Times New Roman" w:hAnsi="Times New Roman"/>
          <w:sz w:val="24"/>
        </w:rPr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9A0E8E">
        <w:rPr>
          <w:rFonts w:ascii="Times New Roman" w:hAnsi="Times New Roman"/>
          <w:sz w:val="24"/>
          <w:szCs w:val="24"/>
        </w:rPr>
        <w:t>Trade FIDES, a.s.</w:t>
      </w:r>
    </w:p>
    <w:p w14:paraId="2E50A4EA" w14:textId="40AF199F" w:rsidR="009C5B53" w:rsidRPr="009C5B53" w:rsidRDefault="00183B2C" w:rsidP="00183B2C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B0102">
        <w:rPr>
          <w:rFonts w:ascii="Times New Roman" w:hAnsi="Times New Roman"/>
          <w:sz w:val="24"/>
        </w:rPr>
        <w:t>xxxxxxxxxxxx</w:t>
      </w:r>
      <w:r>
        <w:rPr>
          <w:rFonts w:ascii="Times New Roman" w:hAnsi="Times New Roman"/>
          <w:sz w:val="24"/>
        </w:rPr>
        <w:tab/>
      </w:r>
      <w:r w:rsidR="00AB0102">
        <w:rPr>
          <w:rFonts w:ascii="Times New Roman" w:hAnsi="Times New Roman"/>
          <w:sz w:val="24"/>
          <w:szCs w:val="24"/>
        </w:rPr>
        <w:t>xxxxxxxxx</w:t>
      </w:r>
    </w:p>
    <w:p w14:paraId="66D36D3D" w14:textId="2184238E" w:rsidR="00183B2C" w:rsidRDefault="00183B2C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  <w:szCs w:val="24"/>
          <w:highlight w:val="yellow"/>
        </w:rPr>
      </w:pPr>
      <w:r>
        <w:rPr>
          <w:sz w:val="24"/>
        </w:rPr>
        <w:tab/>
      </w:r>
      <w:r w:rsidR="00AB0102">
        <w:rPr>
          <w:sz w:val="24"/>
        </w:rPr>
        <w:t>xxxxxx</w:t>
      </w:r>
      <w:r>
        <w:rPr>
          <w:sz w:val="24"/>
        </w:rPr>
        <w:tab/>
      </w:r>
      <w:r w:rsidR="00AB0102">
        <w:rPr>
          <w:sz w:val="24"/>
          <w:szCs w:val="24"/>
        </w:rPr>
        <w:t>xxxxxx</w:t>
      </w:r>
    </w:p>
    <w:p w14:paraId="6997E739" w14:textId="77777777" w:rsidR="00183B2C" w:rsidRDefault="00183B2C">
      <w:pPr>
        <w:rPr>
          <w:sz w:val="24"/>
          <w:szCs w:val="24"/>
          <w:highlight w:val="yellow"/>
        </w:rPr>
        <w:sectPr w:rsidR="00183B2C" w:rsidSect="002A343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sz w:val="24"/>
          <w:szCs w:val="24"/>
          <w:highlight w:val="yellow"/>
        </w:rPr>
        <w:br w:type="page"/>
      </w:r>
    </w:p>
    <w:p w14:paraId="704C6F05" w14:textId="77777777" w:rsidR="00183B2C" w:rsidRDefault="00183B2C" w:rsidP="00183B2C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3F4BFC8A" w14:textId="77777777" w:rsidR="00183B2C" w:rsidRDefault="00183B2C" w:rsidP="00183B2C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183B2C" w14:paraId="35F1AC12" w14:textId="77777777" w:rsidTr="00183B2C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D3F579" w14:textId="77777777" w:rsidR="00183B2C" w:rsidRDefault="00183B2C" w:rsidP="0034232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7CEFC1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64A" w14:textId="77777777" w:rsidR="00183B2C" w:rsidRDefault="00183B2C" w:rsidP="003423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183B2C" w14:paraId="44BFD9B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363084F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27A0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C7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08F88ED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083C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9BF62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025D8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183B2C" w14:paraId="150C57F1" w14:textId="77777777" w:rsidTr="00183B2C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5B0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E9CB7F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0AA9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183B2C" w14:paraId="3D3EA8E1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6755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F8A2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4D3C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183B2C" w14:paraId="08B4F57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E1A32B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D83E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815" w14:textId="77777777" w:rsidR="00183B2C" w:rsidRDefault="00183B2C" w:rsidP="0034232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183B2C" w14:paraId="43ACE8B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EBC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9470C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75B79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183B2C" w14:paraId="17936A5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820A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B86EC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7F4553" w14:textId="77777777" w:rsidR="00183B2C" w:rsidRDefault="00183B2C" w:rsidP="0034232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183B2C" w14:paraId="26CA40B6" w14:textId="77777777" w:rsidTr="00183B2C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63D97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994FE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AC20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7D2F52C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214DF9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92AB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F7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0B86154" w14:textId="77777777" w:rsidTr="00183B2C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83008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A7672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DA24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183B2C" w14:paraId="62B88A9E" w14:textId="77777777" w:rsidTr="00183B2C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A90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B2953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3DAA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183B2C" w14:paraId="0A724D56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AA796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EC1DAE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D2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0E51061B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0D8261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FAE8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BC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54387F00" w14:textId="77777777" w:rsidTr="00183B2C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63EC3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A9D00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615F5B9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08343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183B2C" w14:paraId="23C1FAC4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6CFECA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77526A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2A18DD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B4926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183B2C" w14:paraId="3620A0A9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E0160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A75B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EBFB9D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183B2C" w14:paraId="2389573B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C03915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5A8B43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D3865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183B2C" w14:paraId="68135303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E4326C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F37B8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B9698E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183B2C" w14:paraId="6F13FEAD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647F8B" w14:textId="77777777" w:rsidR="00183B2C" w:rsidRDefault="00183B2C" w:rsidP="00183B2C">
            <w:pPr>
              <w:pStyle w:val="13Stupovit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7DCF16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5CB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83B2C" w14:paraId="2E0188AA" w14:textId="77777777" w:rsidTr="00183B2C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E1C32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C92FD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FD23F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183B2C" w14:paraId="0B8E1E25" w14:textId="77777777" w:rsidTr="00183B2C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E4AA11" w14:textId="77777777" w:rsidR="00183B2C" w:rsidRDefault="00183B2C" w:rsidP="00183B2C">
            <w:pPr>
              <w:pStyle w:val="13Stupovit"/>
              <w:numPr>
                <w:ilvl w:val="1"/>
                <w:numId w:val="4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5D0C84" w14:textId="77777777" w:rsidR="00183B2C" w:rsidRDefault="00183B2C" w:rsidP="0034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97" w14:textId="77777777" w:rsidR="00183B2C" w:rsidRDefault="00183B2C" w:rsidP="003423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272943" w14:textId="77777777" w:rsidR="00183B2C" w:rsidRPr="00560BF2" w:rsidRDefault="00183B2C" w:rsidP="00183B2C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5C88919B" w14:textId="77777777" w:rsidR="009C5B53" w:rsidRDefault="009C5B53" w:rsidP="00183B2C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sectPr w:rsidR="009C5B53" w:rsidSect="002A3430">
      <w:headerReference w:type="default" r:id="rId12"/>
      <w:footerReference w:type="default" r:id="rId13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90622" w14:textId="77777777" w:rsidR="004B11B5" w:rsidRDefault="004B11B5">
      <w:r>
        <w:separator/>
      </w:r>
    </w:p>
  </w:endnote>
  <w:endnote w:type="continuationSeparator" w:id="0">
    <w:p w14:paraId="1BBF7DB9" w14:textId="77777777" w:rsidR="004B11B5" w:rsidRDefault="004B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667B07">
      <w:rPr>
        <w:rStyle w:val="slostrnky"/>
        <w:noProof/>
        <w:sz w:val="24"/>
        <w:szCs w:val="24"/>
      </w:rPr>
      <w:t>5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D777" w14:textId="77777777" w:rsidR="00183B2C" w:rsidRDefault="00183B2C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63C4B4A3" wp14:editId="0C52CB34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6ED2F" w14:textId="77777777" w:rsidR="004B11B5" w:rsidRDefault="004B11B5">
      <w:r>
        <w:separator/>
      </w:r>
    </w:p>
  </w:footnote>
  <w:footnote w:type="continuationSeparator" w:id="0">
    <w:p w14:paraId="5E2097B9" w14:textId="77777777" w:rsidR="004B11B5" w:rsidRDefault="004B1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2E3C87E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C64B63">
      <w:rPr>
        <w:b/>
        <w:sz w:val="24"/>
        <w:szCs w:val="24"/>
      </w:rPr>
      <w:t>U-028</w:t>
    </w:r>
    <w:r w:rsidRPr="00722094">
      <w:rPr>
        <w:b/>
        <w:sz w:val="24"/>
        <w:szCs w:val="24"/>
      </w:rPr>
      <w:t>-00/1</w:t>
    </w:r>
    <w:r w:rsidR="004D401F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0806076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E344" w14:textId="75BE57EC" w:rsidR="00DC7628" w:rsidRPr="00722094" w:rsidRDefault="00DC762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9A0E8E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C64B63">
      <w:rPr>
        <w:b/>
        <w:sz w:val="24"/>
        <w:szCs w:val="24"/>
      </w:rPr>
      <w:t>028</w:t>
    </w:r>
    <w:r w:rsidRPr="00722094">
      <w:rPr>
        <w:b/>
        <w:sz w:val="24"/>
        <w:szCs w:val="24"/>
      </w:rPr>
      <w:t>-00/1</w:t>
    </w:r>
    <w:r w:rsidR="009A0E8E">
      <w:rPr>
        <w:b/>
        <w:sz w:val="24"/>
        <w:szCs w:val="24"/>
      </w:rPr>
      <w:t>8</w:t>
    </w:r>
  </w:p>
  <w:p w14:paraId="6334546F" w14:textId="77777777" w:rsidR="00DC7628" w:rsidRPr="003B5832" w:rsidRDefault="00DC762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9981105" w14:textId="77777777" w:rsidR="00DC7628" w:rsidRPr="00F76CCA" w:rsidRDefault="00DC7628" w:rsidP="00F76CCA">
    <w:pPr>
      <w:pStyle w:val="Zhlav"/>
    </w:pPr>
    <w:r w:rsidRPr="00D56DF2">
      <w:rPr>
        <w:b/>
        <w:sz w:val="24"/>
        <w:szCs w:val="24"/>
      </w:rPr>
      <w:object w:dxaOrig="9808" w:dyaOrig="13612" w14:anchorId="3F892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8080607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874DE3"/>
    <w:multiLevelType w:val="hybridMultilevel"/>
    <w:tmpl w:val="1A86FE54"/>
    <w:lvl w:ilvl="0" w:tplc="8636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461D9"/>
    <w:multiLevelType w:val="hybridMultilevel"/>
    <w:tmpl w:val="A71A1DDC"/>
    <w:lvl w:ilvl="0" w:tplc="D5443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31C3"/>
    <w:multiLevelType w:val="hybridMultilevel"/>
    <w:tmpl w:val="17DE0068"/>
    <w:lvl w:ilvl="0" w:tplc="F56A6F7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51E88"/>
    <w:multiLevelType w:val="hybridMultilevel"/>
    <w:tmpl w:val="4B68504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9E079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2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334E"/>
    <w:multiLevelType w:val="hybridMultilevel"/>
    <w:tmpl w:val="DEA019CA"/>
    <w:lvl w:ilvl="0" w:tplc="AD4850C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42"/>
  </w:num>
  <w:num w:numId="5">
    <w:abstractNumId w:val="44"/>
  </w:num>
  <w:num w:numId="6">
    <w:abstractNumId w:val="12"/>
  </w:num>
  <w:num w:numId="7">
    <w:abstractNumId w:val="8"/>
  </w:num>
  <w:num w:numId="8">
    <w:abstractNumId w:val="39"/>
  </w:num>
  <w:num w:numId="9">
    <w:abstractNumId w:val="4"/>
  </w:num>
  <w:num w:numId="10">
    <w:abstractNumId w:val="40"/>
  </w:num>
  <w:num w:numId="11">
    <w:abstractNumId w:val="38"/>
  </w:num>
  <w:num w:numId="12">
    <w:abstractNumId w:val="15"/>
  </w:num>
  <w:num w:numId="13">
    <w:abstractNumId w:val="0"/>
  </w:num>
  <w:num w:numId="14">
    <w:abstractNumId w:val="37"/>
  </w:num>
  <w:num w:numId="15">
    <w:abstractNumId w:val="16"/>
  </w:num>
  <w:num w:numId="16">
    <w:abstractNumId w:val="33"/>
  </w:num>
  <w:num w:numId="17">
    <w:abstractNumId w:val="41"/>
  </w:num>
  <w:num w:numId="18">
    <w:abstractNumId w:val="32"/>
  </w:num>
  <w:num w:numId="19">
    <w:abstractNumId w:val="43"/>
  </w:num>
  <w:num w:numId="20">
    <w:abstractNumId w:val="3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5"/>
  </w:num>
  <w:num w:numId="26">
    <w:abstractNumId w:val="18"/>
  </w:num>
  <w:num w:numId="27">
    <w:abstractNumId w:val="14"/>
  </w:num>
  <w:num w:numId="28">
    <w:abstractNumId w:val="25"/>
  </w:num>
  <w:num w:numId="29">
    <w:abstractNumId w:val="36"/>
  </w:num>
  <w:num w:numId="30">
    <w:abstractNumId w:val="24"/>
  </w:num>
  <w:num w:numId="31">
    <w:abstractNumId w:val="1"/>
  </w:num>
  <w:num w:numId="32">
    <w:abstractNumId w:val="2"/>
  </w:num>
  <w:num w:numId="33">
    <w:abstractNumId w:val="17"/>
  </w:num>
  <w:num w:numId="34">
    <w:abstractNumId w:val="10"/>
  </w:num>
  <w:num w:numId="35">
    <w:abstractNumId w:val="27"/>
  </w:num>
  <w:num w:numId="36">
    <w:abstractNumId w:val="30"/>
  </w:num>
  <w:num w:numId="37">
    <w:abstractNumId w:val="28"/>
  </w:num>
  <w:num w:numId="38">
    <w:abstractNumId w:val="22"/>
  </w:num>
  <w:num w:numId="39">
    <w:abstractNumId w:val="26"/>
  </w:num>
  <w:num w:numId="40">
    <w:abstractNumId w:val="19"/>
  </w:num>
  <w:num w:numId="41">
    <w:abstractNumId w:val="34"/>
  </w:num>
  <w:num w:numId="42">
    <w:abstractNumId w:val="7"/>
  </w:num>
  <w:num w:numId="43">
    <w:abstractNumId w:val="35"/>
  </w:num>
  <w:num w:numId="44">
    <w:abstractNumId w:val="1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178B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83B2C"/>
    <w:rsid w:val="0019238A"/>
    <w:rsid w:val="00195732"/>
    <w:rsid w:val="001962E3"/>
    <w:rsid w:val="00197CB7"/>
    <w:rsid w:val="001A246E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1ABE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32C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3191"/>
    <w:rsid w:val="00384C20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85A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75866"/>
    <w:rsid w:val="00481EBB"/>
    <w:rsid w:val="00482F7A"/>
    <w:rsid w:val="0048318A"/>
    <w:rsid w:val="004934DE"/>
    <w:rsid w:val="00495DE3"/>
    <w:rsid w:val="004A5757"/>
    <w:rsid w:val="004B11B5"/>
    <w:rsid w:val="004B3E4F"/>
    <w:rsid w:val="004B6C64"/>
    <w:rsid w:val="004D401F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05F2"/>
    <w:rsid w:val="00512814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83357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2F8E"/>
    <w:rsid w:val="005C5662"/>
    <w:rsid w:val="005D67EA"/>
    <w:rsid w:val="005E005F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7B07"/>
    <w:rsid w:val="00672836"/>
    <w:rsid w:val="00681A23"/>
    <w:rsid w:val="006904F9"/>
    <w:rsid w:val="00690BCB"/>
    <w:rsid w:val="00692ECE"/>
    <w:rsid w:val="006939AA"/>
    <w:rsid w:val="00694AF4"/>
    <w:rsid w:val="00694D59"/>
    <w:rsid w:val="006A1AA4"/>
    <w:rsid w:val="006A2A29"/>
    <w:rsid w:val="006A4D35"/>
    <w:rsid w:val="006A5382"/>
    <w:rsid w:val="006B0EA7"/>
    <w:rsid w:val="006B425F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0A25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25E0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B0E9D"/>
    <w:rsid w:val="007B245C"/>
    <w:rsid w:val="007B268E"/>
    <w:rsid w:val="007B3C1E"/>
    <w:rsid w:val="007B6975"/>
    <w:rsid w:val="007C4059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8494E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D07"/>
    <w:rsid w:val="008E02C8"/>
    <w:rsid w:val="008E069F"/>
    <w:rsid w:val="008F59AC"/>
    <w:rsid w:val="008F6F60"/>
    <w:rsid w:val="008F7F7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0B1B"/>
    <w:rsid w:val="009A0E8E"/>
    <w:rsid w:val="009A3F58"/>
    <w:rsid w:val="009A44EE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0102"/>
    <w:rsid w:val="00AB10C1"/>
    <w:rsid w:val="00AB137B"/>
    <w:rsid w:val="00AB1D32"/>
    <w:rsid w:val="00AB4D65"/>
    <w:rsid w:val="00AB62F1"/>
    <w:rsid w:val="00AB695B"/>
    <w:rsid w:val="00AB6B1B"/>
    <w:rsid w:val="00AC1195"/>
    <w:rsid w:val="00AC384A"/>
    <w:rsid w:val="00AD3584"/>
    <w:rsid w:val="00AD470B"/>
    <w:rsid w:val="00AE0E14"/>
    <w:rsid w:val="00AE2642"/>
    <w:rsid w:val="00AE2BBA"/>
    <w:rsid w:val="00AE3EFB"/>
    <w:rsid w:val="00AE6295"/>
    <w:rsid w:val="00AE745D"/>
    <w:rsid w:val="00AF092D"/>
    <w:rsid w:val="00B0365A"/>
    <w:rsid w:val="00B0703E"/>
    <w:rsid w:val="00B10CE7"/>
    <w:rsid w:val="00B235B3"/>
    <w:rsid w:val="00B245E9"/>
    <w:rsid w:val="00B30054"/>
    <w:rsid w:val="00B36D06"/>
    <w:rsid w:val="00B37D7B"/>
    <w:rsid w:val="00B46B1D"/>
    <w:rsid w:val="00B612D5"/>
    <w:rsid w:val="00B673FC"/>
    <w:rsid w:val="00B753A2"/>
    <w:rsid w:val="00B77579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721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4B63"/>
    <w:rsid w:val="00C73640"/>
    <w:rsid w:val="00C77854"/>
    <w:rsid w:val="00C80DC9"/>
    <w:rsid w:val="00C8278E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589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B0147"/>
    <w:rsid w:val="00DC1B06"/>
    <w:rsid w:val="00DC26F4"/>
    <w:rsid w:val="00DC7628"/>
    <w:rsid w:val="00DD1AF4"/>
    <w:rsid w:val="00DD1FCA"/>
    <w:rsid w:val="00DE5981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1354"/>
    <w:rsid w:val="00E72798"/>
    <w:rsid w:val="00E75237"/>
    <w:rsid w:val="00E755D9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1E8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26B16AE1-50BC-405A-8198-3E6CECDD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56F8-B7BC-49BA-8E13-840A84D6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2643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18207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7</cp:revision>
  <cp:lastPrinted>2018-01-15T15:16:00Z</cp:lastPrinted>
  <dcterms:created xsi:type="dcterms:W3CDTF">2018-02-22T10:55:00Z</dcterms:created>
  <dcterms:modified xsi:type="dcterms:W3CDTF">2018-02-22T11:02:00Z</dcterms:modified>
</cp:coreProperties>
</file>