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2A" w:rsidRPr="00A90F77" w:rsidRDefault="00A90F7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307" w:right="0"/>
        <w:jc w:val="left"/>
        <w:rPr>
          <w:sz w:val="40"/>
          <w:szCs w:val="40"/>
        </w:rPr>
      </w:pPr>
      <w:r w:rsidRPr="00A90F77">
        <w:rPr>
          <w:sz w:val="40"/>
          <w:szCs w:val="40"/>
        </w:rPr>
        <w:t xml:space="preserve">S M LO U VA </w:t>
      </w:r>
      <w:r>
        <w:rPr>
          <w:sz w:val="40"/>
          <w:szCs w:val="40"/>
        </w:rPr>
        <w:t xml:space="preserve">  </w:t>
      </w:r>
      <w:r w:rsidRPr="00A90F77">
        <w:rPr>
          <w:sz w:val="40"/>
          <w:szCs w:val="40"/>
        </w:rPr>
        <w:t xml:space="preserve">O </w:t>
      </w:r>
      <w:r>
        <w:rPr>
          <w:sz w:val="40"/>
          <w:szCs w:val="40"/>
        </w:rPr>
        <w:t xml:space="preserve">  </w:t>
      </w:r>
      <w:r w:rsidRPr="00A90F77">
        <w:rPr>
          <w:sz w:val="40"/>
          <w:szCs w:val="40"/>
        </w:rPr>
        <w:t xml:space="preserve">P O S KYTO </w:t>
      </w:r>
      <w:proofErr w:type="gramStart"/>
      <w:r w:rsidRPr="00A90F77">
        <w:rPr>
          <w:sz w:val="40"/>
          <w:szCs w:val="40"/>
        </w:rPr>
        <w:t>VÁN Í</w:t>
      </w:r>
      <w:r>
        <w:rPr>
          <w:sz w:val="40"/>
          <w:szCs w:val="40"/>
        </w:rPr>
        <w:t xml:space="preserve">  </w:t>
      </w:r>
      <w:r w:rsidRPr="00A90F77">
        <w:rPr>
          <w:sz w:val="40"/>
          <w:szCs w:val="40"/>
        </w:rPr>
        <w:t xml:space="preserve"> S L U ŽE</w:t>
      </w:r>
      <w:proofErr w:type="gramEnd"/>
      <w:r w:rsidRPr="00A90F77">
        <w:rPr>
          <w:sz w:val="40"/>
          <w:szCs w:val="40"/>
        </w:rPr>
        <w:t xml:space="preserve"> B</w:t>
      </w:r>
    </w:p>
    <w:p w:rsidR="00BC772A" w:rsidRDefault="00A90F7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6824"/>
        </w:tabs>
        <w:spacing w:after="0" w:line="259" w:lineRule="auto"/>
        <w:ind w:left="307" w:right="0"/>
        <w:jc w:val="center"/>
      </w:pPr>
      <w:r>
        <w:rPr>
          <w:sz w:val="26"/>
        </w:rPr>
        <w:t>Číslo poskytovatele: 16W22 026</w:t>
      </w:r>
      <w:r>
        <w:rPr>
          <w:sz w:val="26"/>
        </w:rPr>
        <w:tab/>
        <w:t>číslo objednatele: 06EU-002842</w:t>
      </w:r>
    </w:p>
    <w:p w:rsidR="00BC772A" w:rsidRDefault="00A90F7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" w:line="247" w:lineRule="auto"/>
        <w:ind w:left="2593" w:right="0" w:hanging="2286"/>
        <w:jc w:val="left"/>
      </w:pPr>
      <w:r>
        <w:rPr>
          <w:sz w:val="26"/>
          <w:u w:val="single" w:color="000000"/>
        </w:rPr>
        <w:t xml:space="preserve">I/26 Plzeň okružní křižovatka Domažlická - Folmavská” — technická měřená studie </w:t>
      </w:r>
      <w:r>
        <w:rPr>
          <w:sz w:val="26"/>
        </w:rPr>
        <w:t xml:space="preserve">ISPROFIN: </w:t>
      </w:r>
      <w:r w:rsidRPr="00A90F77">
        <w:rPr>
          <w:sz w:val="26"/>
          <w:highlight w:val="black"/>
        </w:rPr>
        <w:t>500 121 0002.16978.2204</w:t>
      </w:r>
    </w:p>
    <w:p w:rsidR="00BC772A" w:rsidRDefault="00A90F77">
      <w:pPr>
        <w:spacing w:after="419" w:line="265" w:lineRule="auto"/>
        <w:ind w:left="365" w:right="0" w:hanging="10"/>
        <w:jc w:val="left"/>
      </w:pPr>
      <w:r>
        <w:rPr>
          <w:sz w:val="22"/>
        </w:rPr>
        <w:t xml:space="preserve">uzavřená v souladu s Občanským zákoníkem č. 89/2012 Sb. a </w:t>
      </w:r>
      <w:proofErr w:type="spellStart"/>
      <w:r>
        <w:rPr>
          <w:sz w:val="22"/>
        </w:rPr>
        <w:t>podminek</w:t>
      </w:r>
      <w:proofErr w:type="spellEnd"/>
      <w:r>
        <w:rPr>
          <w:sz w:val="22"/>
        </w:rPr>
        <w:t xml:space="preserve"> uvedených v této smlouvě,</w:t>
      </w:r>
    </w:p>
    <w:p w:rsidR="00BC772A" w:rsidRDefault="00A90F77">
      <w:pPr>
        <w:spacing w:after="0" w:line="259" w:lineRule="auto"/>
        <w:ind w:left="279" w:right="0" w:hanging="10"/>
        <w:jc w:val="center"/>
      </w:pPr>
      <w:r>
        <w:rPr>
          <w:sz w:val="32"/>
        </w:rPr>
        <w:t>ČLÁNEK l.</w:t>
      </w:r>
    </w:p>
    <w:p w:rsidR="00BC772A" w:rsidRDefault="00A90F77">
      <w:pPr>
        <w:spacing w:after="0" w:line="259" w:lineRule="auto"/>
        <w:ind w:left="269" w:right="0"/>
        <w:jc w:val="center"/>
      </w:pPr>
      <w:proofErr w:type="spellStart"/>
      <w:r>
        <w:rPr>
          <w:sz w:val="28"/>
        </w:rPr>
        <w:t>SMLUVNi</w:t>
      </w:r>
      <w:proofErr w:type="spellEnd"/>
      <w:r>
        <w:rPr>
          <w:sz w:val="28"/>
        </w:rPr>
        <w:t xml:space="preserve"> STRANY:</w:t>
      </w:r>
    </w:p>
    <w:tbl>
      <w:tblPr>
        <w:tblStyle w:val="TableGrid"/>
        <w:tblW w:w="9307" w:type="dxa"/>
        <w:tblInd w:w="0" w:type="dxa"/>
        <w:tblCellMar>
          <w:top w:w="41" w:type="dxa"/>
          <w:left w:w="115" w:type="dxa"/>
          <w:bottom w:w="0" w:type="dxa"/>
          <w:right w:w="346" w:type="dxa"/>
        </w:tblCellMar>
        <w:tblLook w:val="04A0" w:firstRow="1" w:lastRow="0" w:firstColumn="1" w:lastColumn="0" w:noHBand="0" w:noVBand="1"/>
      </w:tblPr>
      <w:tblGrid>
        <w:gridCol w:w="131"/>
        <w:gridCol w:w="2197"/>
        <w:gridCol w:w="951"/>
        <w:gridCol w:w="3572"/>
        <w:gridCol w:w="2456"/>
      </w:tblGrid>
      <w:tr w:rsidR="00BC772A">
        <w:trPr>
          <w:trHeight w:val="1261"/>
        </w:trPr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rPr>
                <w:sz w:val="28"/>
              </w:rPr>
              <w:t>OBJEDNATEL:</w:t>
            </w:r>
          </w:p>
        </w:tc>
        <w:tc>
          <w:tcPr>
            <w:tcW w:w="72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72A" w:rsidRDefault="00A90F77" w:rsidP="00A90F77">
            <w:pPr>
              <w:spacing w:after="0" w:line="259" w:lineRule="auto"/>
              <w:ind w:right="0"/>
              <w:jc w:val="left"/>
            </w:pPr>
            <w:r>
              <w:rPr>
                <w:sz w:val="26"/>
              </w:rPr>
              <w:t xml:space="preserve">             </w:t>
            </w:r>
            <w:proofErr w:type="spellStart"/>
            <w:r>
              <w:rPr>
                <w:sz w:val="26"/>
              </w:rPr>
              <w:t>Ředitelstvi</w:t>
            </w:r>
            <w:proofErr w:type="spellEnd"/>
            <w:r>
              <w:rPr>
                <w:sz w:val="26"/>
              </w:rPr>
              <w:t xml:space="preserve"> silnic a dálnic </w:t>
            </w:r>
          </w:p>
          <w:p w:rsidR="00BC772A" w:rsidRDefault="00A90F77">
            <w:pPr>
              <w:spacing w:after="0"/>
              <w:ind w:left="941" w:right="1537" w:firstLine="10"/>
              <w:jc w:val="left"/>
            </w:pPr>
            <w:r>
              <w:t>Na Pankráci 56, 145 05 Praha 4 Zastoupené:</w:t>
            </w:r>
          </w:p>
          <w:p w:rsidR="00BC772A" w:rsidRDefault="00A90F77">
            <w:pPr>
              <w:spacing w:after="0" w:line="259" w:lineRule="auto"/>
              <w:ind w:left="951" w:right="0"/>
            </w:pPr>
            <w:r w:rsidRPr="00A90F77">
              <w:rPr>
                <w:sz w:val="26"/>
                <w:highlight w:val="black"/>
              </w:rPr>
              <w:t xml:space="preserve">Ing. Zdeňkem </w:t>
            </w:r>
            <w:proofErr w:type="spellStart"/>
            <w:r w:rsidRPr="00A90F77">
              <w:rPr>
                <w:sz w:val="26"/>
                <w:highlight w:val="black"/>
              </w:rPr>
              <w:t>Kuťákem</w:t>
            </w:r>
            <w:proofErr w:type="spellEnd"/>
            <w:r w:rsidRPr="00A90F77">
              <w:rPr>
                <w:sz w:val="26"/>
                <w:highlight w:val="black"/>
              </w:rPr>
              <w:t xml:space="preserve"> — pověřeným řízením</w:t>
            </w:r>
            <w:r>
              <w:rPr>
                <w:sz w:val="26"/>
              </w:rPr>
              <w:t xml:space="preserve"> Správy Plzeň </w:t>
            </w:r>
            <w:proofErr w:type="spellStart"/>
            <w:r>
              <w:rPr>
                <w:sz w:val="26"/>
              </w:rPr>
              <w:t>Hřímalého</w:t>
            </w:r>
            <w:proofErr w:type="spellEnd"/>
            <w:r>
              <w:rPr>
                <w:sz w:val="26"/>
              </w:rPr>
              <w:t xml:space="preserve"> 37, 301 OO Plzeň</w:t>
            </w:r>
          </w:p>
        </w:tc>
      </w:tr>
      <w:tr w:rsidR="00BC772A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gridAfter w:val="1"/>
          <w:wBefore w:w="112" w:type="dxa"/>
          <w:wAfter w:w="2645" w:type="dxa"/>
          <w:trHeight w:val="228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10" w:right="0"/>
              <w:jc w:val="left"/>
            </w:pPr>
            <w:r>
              <w:rPr>
                <w:sz w:val="22"/>
              </w:rPr>
              <w:t xml:space="preserve">Identifikační </w:t>
            </w:r>
            <w:proofErr w:type="spellStart"/>
            <w:r>
              <w:rPr>
                <w:sz w:val="22"/>
              </w:rPr>
              <w:t>čislo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48" w:right="0"/>
              <w:jc w:val="left"/>
            </w:pPr>
            <w:r>
              <w:rPr>
                <w:sz w:val="26"/>
              </w:rPr>
              <w:t>659 93 390</w:t>
            </w:r>
          </w:p>
        </w:tc>
      </w:tr>
      <w:tr w:rsidR="00BC772A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gridAfter w:val="1"/>
          <w:wBefore w:w="112" w:type="dxa"/>
          <w:wAfter w:w="2645" w:type="dxa"/>
          <w:trHeight w:val="2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10" w:right="0"/>
              <w:jc w:val="left"/>
            </w:pPr>
            <w:r>
              <w:rPr>
                <w:sz w:val="22"/>
              </w:rPr>
              <w:t>Daňové identifikační číslo: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58" w:right="0"/>
              <w:jc w:val="left"/>
            </w:pPr>
            <w:r>
              <w:rPr>
                <w:sz w:val="26"/>
              </w:rPr>
              <w:t>CZ659 93 390</w:t>
            </w:r>
          </w:p>
        </w:tc>
      </w:tr>
      <w:tr w:rsidR="00BC772A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gridAfter w:val="1"/>
          <w:wBefore w:w="112" w:type="dxa"/>
          <w:wAfter w:w="2645" w:type="dxa"/>
          <w:trHeight w:val="246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t>Bankovní spojení: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58" w:right="0"/>
              <w:jc w:val="left"/>
              <w:rPr>
                <w:highlight w:val="black"/>
              </w:rPr>
            </w:pPr>
            <w:r w:rsidRPr="00A90F77">
              <w:rPr>
                <w:sz w:val="26"/>
                <w:highlight w:val="black"/>
              </w:rPr>
              <w:t>KB Praha</w:t>
            </w:r>
          </w:p>
        </w:tc>
      </w:tr>
      <w:tr w:rsidR="00BC772A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gridAfter w:val="1"/>
          <w:wBefore w:w="112" w:type="dxa"/>
          <w:wAfter w:w="2645" w:type="dxa"/>
          <w:trHeight w:val="489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C. účtu:</w:t>
            </w:r>
          </w:p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t>Osoby oprávněné jednat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48" w:right="0"/>
              <w:jc w:val="left"/>
              <w:rPr>
                <w:highlight w:val="black"/>
              </w:rPr>
            </w:pPr>
            <w:r w:rsidRPr="00A90F77">
              <w:rPr>
                <w:highlight w:val="black"/>
              </w:rPr>
              <w:t>51-1422200277/0100</w:t>
            </w:r>
          </w:p>
        </w:tc>
      </w:tr>
      <w:tr w:rsidR="00BC772A">
        <w:tblPrEx>
          <w:tblCellMar>
            <w:top w:w="1" w:type="dxa"/>
            <w:left w:w="0" w:type="dxa"/>
            <w:right w:w="0" w:type="dxa"/>
          </w:tblCellMar>
        </w:tblPrEx>
        <w:trPr>
          <w:gridBefore w:val="1"/>
          <w:gridAfter w:val="1"/>
          <w:wBefore w:w="112" w:type="dxa"/>
          <w:wAfter w:w="2645" w:type="dxa"/>
          <w:trHeight w:val="707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586" w:right="0"/>
              <w:jc w:val="left"/>
            </w:pPr>
            <w:r>
              <w:t>ve věcech technických: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58" w:right="0"/>
              <w:jc w:val="left"/>
              <w:rPr>
                <w:highlight w:val="black"/>
              </w:rPr>
            </w:pPr>
            <w:proofErr w:type="spellStart"/>
            <w:r w:rsidRPr="00A90F77">
              <w:rPr>
                <w:highlight w:val="black"/>
              </w:rPr>
              <w:t>Bc.Miroslav</w:t>
            </w:r>
            <w:proofErr w:type="spellEnd"/>
            <w:r w:rsidRPr="00A90F77">
              <w:rPr>
                <w:highlight w:val="black"/>
              </w:rPr>
              <w:t xml:space="preserve"> </w:t>
            </w:r>
            <w:proofErr w:type="spellStart"/>
            <w:r w:rsidRPr="00A90F77">
              <w:rPr>
                <w:highlight w:val="black"/>
              </w:rPr>
              <w:t>Blabol</w:t>
            </w:r>
            <w:proofErr w:type="spellEnd"/>
            <w:r w:rsidRPr="00A90F77">
              <w:rPr>
                <w:highlight w:val="black"/>
              </w:rPr>
              <w:t xml:space="preserve">, </w:t>
            </w:r>
            <w:proofErr w:type="spellStart"/>
            <w:r w:rsidRPr="00A90F77">
              <w:rPr>
                <w:highlight w:val="black"/>
              </w:rPr>
              <w:t>DiS</w:t>
            </w:r>
            <w:proofErr w:type="spellEnd"/>
            <w:r w:rsidRPr="00A90F77">
              <w:rPr>
                <w:highlight w:val="black"/>
              </w:rPr>
              <w:t>.</w:t>
            </w:r>
          </w:p>
          <w:p w:rsidR="00BC772A" w:rsidRPr="00A90F77" w:rsidRDefault="00A90F77">
            <w:pPr>
              <w:spacing w:after="0" w:line="259" w:lineRule="auto"/>
              <w:ind w:left="48" w:right="0"/>
              <w:rPr>
                <w:highlight w:val="black"/>
              </w:rPr>
            </w:pPr>
            <w:r w:rsidRPr="00A90F77">
              <w:rPr>
                <w:highlight w:val="black"/>
              </w:rPr>
              <w:t xml:space="preserve">tel.: 377 333 729 fax: 377 422 619 e-mail: </w:t>
            </w:r>
            <w:r w:rsidRPr="00A90F77">
              <w:rPr>
                <w:highlight w:val="black"/>
                <w:u w:val="single" w:color="000000"/>
              </w:rPr>
              <w:t>miroslav.blabol@rsd.cz</w:t>
            </w:r>
          </w:p>
        </w:tc>
      </w:tr>
    </w:tbl>
    <w:p w:rsidR="00BC772A" w:rsidRDefault="00A90F77">
      <w:pPr>
        <w:spacing w:after="0" w:line="259" w:lineRule="auto"/>
        <w:ind w:left="0" w:right="115"/>
        <w:jc w:val="right"/>
      </w:pPr>
      <w:r>
        <w:rPr>
          <w:noProof/>
        </w:rPr>
        <w:drawing>
          <wp:inline distT="0" distB="0" distL="0" distR="0">
            <wp:extent cx="24395" cy="97541"/>
            <wp:effectExtent l="0" t="0" r="0" b="0"/>
            <wp:docPr id="1489" name="Picture 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Picture 1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dále 'en </w:t>
      </w:r>
      <w:proofErr w:type="spellStart"/>
      <w:r>
        <w:rPr>
          <w:sz w:val="20"/>
        </w:rPr>
        <w:t>ob'ednatel</w:t>
      </w:r>
      <w:proofErr w:type="spellEnd"/>
      <w:r>
        <w:rPr>
          <w:noProof/>
        </w:rPr>
        <w:drawing>
          <wp:inline distT="0" distB="0" distL="0" distR="0">
            <wp:extent cx="30494" cy="97541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07" w:type="dxa"/>
        <w:tblInd w:w="5" w:type="dxa"/>
        <w:tblCellMar>
          <w:top w:w="37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"/>
        <w:gridCol w:w="2375"/>
        <w:gridCol w:w="915"/>
        <w:gridCol w:w="4630"/>
        <w:gridCol w:w="1240"/>
      </w:tblGrid>
      <w:tr w:rsidR="00BC772A">
        <w:trPr>
          <w:trHeight w:val="528"/>
        </w:trPr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rPr>
                <w:sz w:val="28"/>
              </w:rPr>
              <w:t>POSKYTOVATEL:</w:t>
            </w:r>
          </w:p>
        </w:tc>
        <w:tc>
          <w:tcPr>
            <w:tcW w:w="72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72A" w:rsidRDefault="00A90F77">
            <w:pPr>
              <w:spacing w:after="0" w:line="259" w:lineRule="auto"/>
              <w:ind w:left="927" w:right="0"/>
              <w:jc w:val="left"/>
            </w:pPr>
            <w:proofErr w:type="spellStart"/>
            <w:r>
              <w:rPr>
                <w:sz w:val="26"/>
              </w:rPr>
              <w:t>Woring</w:t>
            </w:r>
            <w:proofErr w:type="spellEnd"/>
            <w:r>
              <w:rPr>
                <w:sz w:val="26"/>
              </w:rPr>
              <w:t xml:space="preserve"> s.r.o.</w:t>
            </w:r>
          </w:p>
          <w:p w:rsidR="00BC772A" w:rsidRDefault="00A90F77">
            <w:pPr>
              <w:spacing w:after="0" w:line="259" w:lineRule="auto"/>
              <w:ind w:left="946" w:right="0"/>
              <w:jc w:val="left"/>
            </w:pPr>
            <w:r>
              <w:t>Na Roudné 93, 301 OO Plzeň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222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10" w:right="0"/>
              <w:jc w:val="left"/>
            </w:pPr>
            <w:r>
              <w:rPr>
                <w:sz w:val="22"/>
              </w:rPr>
              <w:t>Identifikační číslo.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58" w:right="0"/>
              <w:jc w:val="left"/>
            </w:pPr>
            <w:r>
              <w:t>29159342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246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10" w:right="0"/>
              <w:jc w:val="left"/>
            </w:pPr>
            <w:r>
              <w:rPr>
                <w:sz w:val="22"/>
              </w:rPr>
              <w:t>Daňové identifikační číslo: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58" w:right="0"/>
              <w:jc w:val="left"/>
            </w:pPr>
            <w:r>
              <w:t>CZ29159342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244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t>Bankovní spojení: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67" w:right="0"/>
              <w:jc w:val="left"/>
              <w:rPr>
                <w:highlight w:val="black"/>
              </w:rPr>
            </w:pPr>
            <w:proofErr w:type="spellStart"/>
            <w:r w:rsidRPr="00A90F77">
              <w:rPr>
                <w:highlight w:val="black"/>
              </w:rPr>
              <w:t>RaiffeisenBank</w:t>
            </w:r>
            <w:proofErr w:type="spellEnd"/>
            <w:r w:rsidRPr="00A90F77">
              <w:rPr>
                <w:highlight w:val="black"/>
              </w:rPr>
              <w:t xml:space="preserve"> a.s.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225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rPr>
                <w:sz w:val="22"/>
              </w:rPr>
              <w:t>Č. účtu: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58" w:right="0"/>
              <w:jc w:val="left"/>
              <w:rPr>
                <w:highlight w:val="black"/>
              </w:rPr>
            </w:pPr>
            <w:r w:rsidRPr="00A90F77">
              <w:rPr>
                <w:highlight w:val="black"/>
              </w:rPr>
              <w:t>7095712001/5500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51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t>zastoupený:</w:t>
            </w:r>
          </w:p>
          <w:p w:rsidR="00BC772A" w:rsidRDefault="00A90F77">
            <w:pPr>
              <w:spacing w:after="0" w:line="259" w:lineRule="auto"/>
              <w:ind w:left="10" w:right="0"/>
              <w:jc w:val="left"/>
            </w:pPr>
            <w:r>
              <w:t>Osoby oprávněné jednat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58" w:right="0"/>
              <w:rPr>
                <w:highlight w:val="black"/>
              </w:rPr>
            </w:pPr>
            <w:r w:rsidRPr="00A90F77">
              <w:rPr>
                <w:highlight w:val="black"/>
              </w:rPr>
              <w:t>Ing. Zbyňkem Voříškem — jednatelem společnosti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24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192" w:right="0"/>
              <w:jc w:val="center"/>
            </w:pPr>
            <w:r>
              <w:t>ve věcech smluvních: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67" w:right="0"/>
              <w:jc w:val="left"/>
              <w:rPr>
                <w:highlight w:val="black"/>
              </w:rPr>
            </w:pPr>
            <w:r w:rsidRPr="00A90F77">
              <w:rPr>
                <w:highlight w:val="black"/>
              </w:rPr>
              <w:t>Ing. Zbyněk Voříšek</w:t>
            </w:r>
          </w:p>
        </w:tc>
      </w:tr>
      <w:tr w:rsidR="00BC772A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17" w:type="dxa"/>
          <w:wAfter w:w="1352" w:type="dxa"/>
          <w:trHeight w:val="234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538" w:right="0"/>
              <w:jc w:val="left"/>
            </w:pPr>
            <w:r>
              <w:t>ve věcech technických: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67" w:right="0"/>
              <w:jc w:val="left"/>
              <w:rPr>
                <w:highlight w:val="black"/>
              </w:rPr>
            </w:pPr>
            <w:r w:rsidRPr="00A90F77">
              <w:rPr>
                <w:sz w:val="26"/>
                <w:highlight w:val="black"/>
              </w:rPr>
              <w:t>Ing. Pavel Marek</w:t>
            </w:r>
          </w:p>
        </w:tc>
      </w:tr>
    </w:tbl>
    <w:p w:rsidR="00BC772A" w:rsidRDefault="00A90F77">
      <w:pPr>
        <w:spacing w:after="720" w:line="259" w:lineRule="auto"/>
        <w:ind w:left="0" w:right="106"/>
        <w:jc w:val="right"/>
      </w:pPr>
      <w:r>
        <w:rPr>
          <w:sz w:val="22"/>
        </w:rPr>
        <w:t>(dále jen poskytovatel)</w:t>
      </w:r>
    </w:p>
    <w:p w:rsidR="00BC772A" w:rsidRDefault="00A90F77">
      <w:r>
        <w:lastRenderedPageBreak/>
        <w:t xml:space="preserve">V případě nesprávných údajů v čl. I., či při nesplnění povinnosti ohlášeni jejich změn, nese strana, která uvedla druhou stranu v omyl, odpovědnost za škody, které </w:t>
      </w:r>
      <w:proofErr w:type="spellStart"/>
      <w:r>
        <w:t>tim</w:t>
      </w:r>
      <w:proofErr w:type="spellEnd"/>
      <w:r>
        <w:t xml:space="preserve"> druhé straně vznikly.</w:t>
      </w:r>
    </w:p>
    <w:p w:rsidR="00BC772A" w:rsidRDefault="00A90F77">
      <w:pPr>
        <w:spacing w:after="0" w:line="259" w:lineRule="auto"/>
        <w:ind w:left="279" w:right="375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>.</w:t>
      </w:r>
    </w:p>
    <w:p w:rsidR="00BC772A" w:rsidRDefault="00A90F77">
      <w:pPr>
        <w:spacing w:after="238" w:line="259" w:lineRule="auto"/>
        <w:ind w:left="10" w:right="106" w:hanging="10"/>
        <w:jc w:val="center"/>
      </w:pPr>
      <w:r>
        <w:rPr>
          <w:sz w:val="28"/>
          <w:u w:val="single" w:color="000000"/>
        </w:rPr>
        <w:t>PŘEDMĚT SMLOUVY (dílo, činnost)</w:t>
      </w:r>
      <w:r>
        <w:rPr>
          <w:sz w:val="28"/>
          <w:u w:val="single" w:color="000000"/>
        </w:rPr>
        <w:t>:</w:t>
      </w:r>
    </w:p>
    <w:p w:rsidR="00BC772A" w:rsidRDefault="00A90F77">
      <w:pPr>
        <w:spacing w:after="154"/>
        <w:ind w:left="345" w:right="182" w:hanging="259"/>
      </w:pPr>
      <w:r>
        <w:rPr>
          <w:noProof/>
        </w:rPr>
        <w:drawing>
          <wp:inline distT="0" distB="0" distL="0" distR="0">
            <wp:extent cx="85384" cy="103637"/>
            <wp:effectExtent l="0" t="0" r="0" b="0"/>
            <wp:docPr id="25101" name="Picture 2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1" name="Picture 251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 se zavazuje za podmínek dohodnutých v této smlouvě provést výkony nezbytné pro </w:t>
      </w:r>
      <w:proofErr w:type="gramStart"/>
      <w:r>
        <w:t>splněni</w:t>
      </w:r>
      <w:proofErr w:type="gramEnd"/>
      <w:r>
        <w:t xml:space="preserve"> předmětu smlouvy a objednatel se zavazuje za stejných podmínek plněni smlouvy odebrat a poskytovateli zaplatit.</w:t>
      </w:r>
    </w:p>
    <w:p w:rsidR="00BC772A" w:rsidRDefault="00A90F77">
      <w:pPr>
        <w:spacing w:after="53"/>
        <w:ind w:left="346" w:right="0"/>
      </w:pPr>
      <w:r>
        <w:t>Předmětem zakázky je vypracováni „</w:t>
      </w:r>
      <w:r>
        <w:rPr>
          <w:u w:val="single" w:color="000000"/>
        </w:rPr>
        <w:t>TECHNIC</w:t>
      </w:r>
      <w:r>
        <w:rPr>
          <w:u w:val="single" w:color="000000"/>
        </w:rPr>
        <w:t>KÉ MĚŘENÉ STUDIE</w:t>
      </w:r>
      <w:r>
        <w:t xml:space="preserve">”, úseku komunikace </w:t>
      </w:r>
      <w:proofErr w:type="spellStart"/>
      <w:r>
        <w:t>l.třidy</w:t>
      </w:r>
      <w:proofErr w:type="spellEnd"/>
      <w:r>
        <w:t xml:space="preserve"> — I/26 v km 14,690 </w:t>
      </w:r>
      <w:proofErr w:type="gramStart"/>
      <w:r>
        <w:t>stávající z .</w:t>
      </w:r>
      <w:proofErr w:type="gramEnd"/>
    </w:p>
    <w:p w:rsidR="00BC772A" w:rsidRDefault="00A90F77">
      <w:pPr>
        <w:spacing w:after="193"/>
        <w:ind w:left="403" w:right="192"/>
      </w:pPr>
      <w:r>
        <w:rPr>
          <w:noProof/>
        </w:rPr>
        <w:drawing>
          <wp:inline distT="0" distB="0" distL="0" distR="0">
            <wp:extent cx="54890" cy="30481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PROJEKTOVÉ DOKUMENTACE (</w:t>
      </w:r>
      <w:proofErr w:type="spellStart"/>
      <w:r>
        <w:t>průvodni</w:t>
      </w:r>
      <w:proofErr w:type="spellEnd"/>
      <w:r>
        <w:t xml:space="preserve"> a technické zprávy, výkresové části, </w:t>
      </w:r>
      <w:proofErr w:type="spellStart"/>
      <w:r>
        <w:t>souvisejicich</w:t>
      </w:r>
      <w:proofErr w:type="spellEnd"/>
      <w:r>
        <w:t xml:space="preserve"> dokumentů, dokladové části a odhadu </w:t>
      </w:r>
      <w:proofErr w:type="spellStart"/>
      <w:r>
        <w:t>stavebnich</w:t>
      </w:r>
      <w:proofErr w:type="spellEnd"/>
      <w:r>
        <w:t xml:space="preserve"> nákladů a další) </w:t>
      </w:r>
      <w:r>
        <w:rPr>
          <w:noProof/>
        </w:rPr>
        <w:drawing>
          <wp:inline distT="0" distB="0" distL="0" distR="0">
            <wp:extent cx="60989" cy="30481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9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OSTATNiCH</w:t>
      </w:r>
      <w:proofErr w:type="spellEnd"/>
      <w:r>
        <w:t xml:space="preserve"> ČINNOSTÍ (</w:t>
      </w:r>
      <w:proofErr w:type="spellStart"/>
      <w:proofErr w:type="gramStart"/>
      <w:r>
        <w:t>koncepč</w:t>
      </w:r>
      <w:r>
        <w:t>n</w:t>
      </w:r>
      <w:proofErr w:type="spellEnd"/>
      <w:r>
        <w:t>( a koordinační</w:t>
      </w:r>
      <w:proofErr w:type="gramEnd"/>
      <w:r>
        <w:t xml:space="preserve"> práce, průzkumy, geodetická zaměření, digitalizace mapy katastru, reprografické práce na konceptu a čistopisu)</w:t>
      </w:r>
    </w:p>
    <w:p w:rsidR="00BC772A" w:rsidRDefault="00A90F77">
      <w:pPr>
        <w:spacing w:after="586"/>
        <w:ind w:left="336" w:right="0" w:firstLine="413"/>
      </w:pPr>
      <w:r>
        <w:t>Přesný popis předmětu zakázky — technické měřené studie — je specifikován v soupisu služeb k ocenění, která je nedílnou součásti</w:t>
      </w:r>
      <w:r>
        <w:t xml:space="preserve"> této smlouvy.</w:t>
      </w:r>
    </w:p>
    <w:p w:rsidR="00BC772A" w:rsidRDefault="00A90F77">
      <w:pPr>
        <w:spacing w:after="0" w:line="259" w:lineRule="auto"/>
        <w:ind w:left="279" w:right="384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Ill</w:t>
      </w:r>
      <w:proofErr w:type="spellEnd"/>
      <w:r>
        <w:rPr>
          <w:sz w:val="32"/>
        </w:rPr>
        <w:t>.</w:t>
      </w:r>
    </w:p>
    <w:p w:rsidR="00BC772A" w:rsidRDefault="00A90F77">
      <w:pPr>
        <w:spacing w:after="293" w:line="259" w:lineRule="auto"/>
        <w:ind w:left="250" w:right="365" w:hanging="1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981918</wp:posOffset>
                </wp:positionH>
                <wp:positionV relativeFrom="page">
                  <wp:posOffset>9528501</wp:posOffset>
                </wp:positionV>
                <wp:extent cx="5617059" cy="12193"/>
                <wp:effectExtent l="0" t="0" r="0" b="0"/>
                <wp:wrapTopAndBottom/>
                <wp:docPr id="25104" name="Group 2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059" cy="12193"/>
                          <a:chOff x="0" y="0"/>
                          <a:chExt cx="5617059" cy="12193"/>
                        </a:xfrm>
                      </wpg:grpSpPr>
                      <wps:wsp>
                        <wps:cNvPr id="25103" name="Shape 25103"/>
                        <wps:cNvSpPr/>
                        <wps:spPr>
                          <a:xfrm>
                            <a:off x="0" y="0"/>
                            <a:ext cx="561705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059" h="12193">
                                <a:moveTo>
                                  <a:pt x="0" y="6097"/>
                                </a:moveTo>
                                <a:lnTo>
                                  <a:pt x="561705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04" style="width:442.288pt;height:0.960083pt;position:absolute;mso-position-horizontal-relative:page;mso-position-horizontal:absolute;margin-left:77.3164pt;mso-position-vertical-relative:page;margin-top:750.276pt;" coordsize="56170,121">
                <v:shape id="Shape 25103" style="position:absolute;width:56170;height:121;left:0;top:0;" coordsize="5617059,12193" path="m0,6097l5617059,6097">
                  <v:stroke weight="0.96008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0"/>
          <w:u w:val="single" w:color="000000"/>
        </w:rPr>
        <w:t>PODKLADY A SOUČINNOST OBJEDNATELE:</w:t>
      </w:r>
    </w:p>
    <w:p w:rsidR="00BC772A" w:rsidRDefault="00A90F77">
      <w:pPr>
        <w:ind w:left="336" w:right="182" w:hanging="336"/>
      </w:pPr>
      <w:proofErr w:type="gramStart"/>
      <w:r>
        <w:t>I . Objednatel</w:t>
      </w:r>
      <w:proofErr w:type="gramEnd"/>
      <w:r>
        <w:t xml:space="preserve"> se zavazuje poskytnout poskytovateli včas všechnu potřebnou součinnost v nevyhnutelném rozsahu, spočívající zejména v předáni doplňujících podkladů, vyjádření a stanovisek, jejichž potřeba vznikne v průběhu plnění smlouvy.</w:t>
      </w:r>
    </w:p>
    <w:p w:rsidR="00BC772A" w:rsidRDefault="00A90F77">
      <w:pPr>
        <w:numPr>
          <w:ilvl w:val="0"/>
          <w:numId w:val="1"/>
        </w:numPr>
        <w:ind w:right="182" w:hanging="317"/>
      </w:pPr>
      <w:r>
        <w:t xml:space="preserve">V </w:t>
      </w:r>
      <w:proofErr w:type="spellStart"/>
      <w:r>
        <w:t>připadé</w:t>
      </w:r>
      <w:proofErr w:type="spellEnd"/>
      <w:r>
        <w:t xml:space="preserve"> změny po</w:t>
      </w:r>
      <w:r>
        <w:t xml:space="preserve">dkladů nebo vzneseni nových požadavků ze strany objednatele v průběhu provádění </w:t>
      </w:r>
      <w:proofErr w:type="spellStart"/>
      <w:r>
        <w:t>praci</w:t>
      </w:r>
      <w:proofErr w:type="spellEnd"/>
      <w:r>
        <w:t xml:space="preserve"> poskytovatelem, budou dohodnuty nové termíny plněni a objednatel uhradí takto vzniklé vícepráce na základě stavu rozpracovanosti a odsouhlasené cenové kalkulace těchto pr</w:t>
      </w:r>
      <w:r>
        <w:t>ací.</w:t>
      </w:r>
    </w:p>
    <w:p w:rsidR="00BC772A" w:rsidRDefault="00A90F77">
      <w:pPr>
        <w:numPr>
          <w:ilvl w:val="0"/>
          <w:numId w:val="1"/>
        </w:numPr>
        <w:spacing w:after="672"/>
        <w:ind w:right="182" w:hanging="317"/>
      </w:pPr>
      <w:r>
        <w:t xml:space="preserve">Poskytovatel </w:t>
      </w:r>
      <w:proofErr w:type="spellStart"/>
      <w:r>
        <w:t>pisemně</w:t>
      </w:r>
      <w:proofErr w:type="spellEnd"/>
      <w:r>
        <w:t xml:space="preserve"> upozorní objednatele bez zbytečného odkladu na nevhodné podklady či pokyny předané objednatelem. Jestliže nevhodné podklady či pokyny překážejí v řádném provádění díla, je poskytovatel povinen jeho provádění v nezbytném rozsahu př</w:t>
      </w:r>
      <w:r>
        <w:t xml:space="preserve">erušit. O dobu přerušení se prodlouží lhůta stanovená pro jeho </w:t>
      </w:r>
      <w:proofErr w:type="gramStart"/>
      <w:r>
        <w:t>dokončeni</w:t>
      </w:r>
      <w:proofErr w:type="gramEnd"/>
      <w:r>
        <w:t>. Případné prodloužení lhůty bude řešeno dodatkem ke smlouvě.</w:t>
      </w:r>
    </w:p>
    <w:p w:rsidR="00BC772A" w:rsidRDefault="00A90F77">
      <w:pPr>
        <w:spacing w:after="0" w:line="259" w:lineRule="auto"/>
        <w:ind w:left="279" w:right="740" w:hanging="10"/>
        <w:jc w:val="center"/>
      </w:pPr>
      <w:r>
        <w:rPr>
          <w:sz w:val="32"/>
        </w:rPr>
        <w:t>ČLÁNEK IV.</w:t>
      </w:r>
    </w:p>
    <w:p w:rsidR="00BC772A" w:rsidRDefault="00A90F77">
      <w:pPr>
        <w:spacing w:after="332" w:line="259" w:lineRule="auto"/>
        <w:ind w:left="10" w:right="134" w:hanging="10"/>
        <w:jc w:val="center"/>
      </w:pPr>
      <w:proofErr w:type="spellStart"/>
      <w:r>
        <w:rPr>
          <w:sz w:val="28"/>
          <w:u w:val="single" w:color="000000"/>
        </w:rPr>
        <w:t>TERMiN</w:t>
      </w:r>
      <w:proofErr w:type="spellEnd"/>
      <w:r>
        <w:rPr>
          <w:sz w:val="28"/>
          <w:u w:val="single" w:color="000000"/>
        </w:rPr>
        <w:t xml:space="preserve"> PLNĚNÍ</w:t>
      </w:r>
      <w:r>
        <w:rPr>
          <w:sz w:val="28"/>
        </w:rPr>
        <w:t>:</w:t>
      </w:r>
    </w:p>
    <w:p w:rsidR="00BC772A" w:rsidRDefault="00A90F77">
      <w:pPr>
        <w:spacing w:after="43"/>
        <w:ind w:left="403" w:right="0" w:hanging="336"/>
      </w:pPr>
      <w:proofErr w:type="gramStart"/>
      <w:r>
        <w:t>I . Za</w:t>
      </w:r>
      <w:proofErr w:type="gramEnd"/>
      <w:r>
        <w:t xml:space="preserve"> předpokladu včasného a řádného splnění součinnosti objednatele podle této smlouvy, se pos</w:t>
      </w:r>
      <w:r>
        <w:t>kytovatel zavazuje dodat objednateli dílo</w:t>
      </w:r>
    </w:p>
    <w:tbl>
      <w:tblPr>
        <w:tblStyle w:val="TableGrid"/>
        <w:tblW w:w="5628" w:type="dxa"/>
        <w:tblInd w:w="5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393"/>
      </w:tblGrid>
      <w:tr w:rsidR="00BC772A">
        <w:trPr>
          <w:trHeight w:val="22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lastRenderedPageBreak/>
              <w:t>Technická měřená studie v konceptu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  <w:jc w:val="left"/>
            </w:pPr>
            <w:r>
              <w:t>do 09/2016</w:t>
            </w:r>
          </w:p>
        </w:tc>
      </w:tr>
      <w:tr w:rsidR="00BC772A">
        <w:trPr>
          <w:trHeight w:val="23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2440" w:right="0"/>
              <w:jc w:val="left"/>
            </w:pPr>
            <w:r>
              <w:t>v čistopise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BC772A" w:rsidRDefault="00A90F77">
            <w:pPr>
              <w:spacing w:after="0" w:line="259" w:lineRule="auto"/>
              <w:ind w:left="0" w:right="0"/>
            </w:pPr>
            <w:r>
              <w:t xml:space="preserve">do </w:t>
            </w:r>
            <w:proofErr w:type="gramStart"/>
            <w:r>
              <w:t>15.11.2016</w:t>
            </w:r>
            <w:proofErr w:type="gramEnd"/>
          </w:p>
        </w:tc>
      </w:tr>
    </w:tbl>
    <w:p w:rsidR="00BC772A" w:rsidRDefault="00A90F77">
      <w:pPr>
        <w:spacing w:after="343" w:line="259" w:lineRule="auto"/>
        <w:ind w:left="279" w:right="10" w:hanging="10"/>
        <w:jc w:val="center"/>
      </w:pPr>
      <w:r>
        <w:rPr>
          <w:sz w:val="32"/>
        </w:rPr>
        <w:t xml:space="preserve">ČLÁNEK V. </w:t>
      </w:r>
      <w:r>
        <w:rPr>
          <w:sz w:val="32"/>
          <w:u w:val="single" w:color="000000"/>
        </w:rPr>
        <w:t>CENA:</w:t>
      </w:r>
    </w:p>
    <w:p w:rsidR="00BC772A" w:rsidRDefault="00A90F77">
      <w:pPr>
        <w:spacing w:after="43"/>
        <w:ind w:left="605" w:right="0" w:hanging="336"/>
      </w:pPr>
      <w:proofErr w:type="gramStart"/>
      <w:r>
        <w:t>I . Smluvní</w:t>
      </w:r>
      <w:proofErr w:type="gramEnd"/>
      <w:r>
        <w:t xml:space="preserve"> strany dohodly na následující ceně o dílo, která vychází z cenové nabídky poskytovatele, která je nedílnou součásti této smlouvy.</w:t>
      </w:r>
    </w:p>
    <w:tbl>
      <w:tblPr>
        <w:tblStyle w:val="TableGrid"/>
        <w:tblW w:w="4802" w:type="dxa"/>
        <w:tblInd w:w="19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421"/>
      </w:tblGrid>
      <w:tr w:rsidR="00BC772A" w:rsidRPr="00A90F77">
        <w:trPr>
          <w:trHeight w:val="22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A90F77">
              <w:rPr>
                <w:sz w:val="22"/>
              </w:rPr>
              <w:t>Cena bez DPH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38" w:right="0"/>
              <w:rPr>
                <w:sz w:val="22"/>
              </w:rPr>
            </w:pPr>
            <w:r w:rsidRPr="00A90F77">
              <w:rPr>
                <w:sz w:val="22"/>
              </w:rPr>
              <w:t>385 800,00 Kč</w:t>
            </w:r>
          </w:p>
        </w:tc>
      </w:tr>
      <w:tr w:rsidR="00BC772A" w:rsidRPr="00A90F77">
        <w:trPr>
          <w:trHeight w:val="2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A90F77">
              <w:rPr>
                <w:sz w:val="22"/>
                <w:u w:val="single" w:color="000000"/>
              </w:rPr>
              <w:t xml:space="preserve">DPH 21 </w:t>
            </w:r>
            <w:r w:rsidRPr="00A90F77">
              <w:rPr>
                <w:sz w:val="22"/>
                <w:vertAlign w:val="superscript"/>
              </w:rPr>
              <w:t>0</w:t>
            </w:r>
            <w:r w:rsidRPr="00A90F77">
              <w:rPr>
                <w:sz w:val="22"/>
                <w:u w:val="single" w:color="000000"/>
              </w:rPr>
              <w:t>/0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134" w:right="0"/>
              <w:jc w:val="left"/>
              <w:rPr>
                <w:sz w:val="22"/>
              </w:rPr>
            </w:pPr>
            <w:r w:rsidRPr="00A90F77">
              <w:rPr>
                <w:sz w:val="22"/>
                <w:u w:val="single" w:color="000000"/>
              </w:rPr>
              <w:t xml:space="preserve">81 018.00 </w:t>
            </w:r>
            <w:r w:rsidRPr="00A90F77">
              <w:rPr>
                <w:sz w:val="22"/>
              </w:rPr>
              <w:t>Kč</w:t>
            </w:r>
          </w:p>
        </w:tc>
      </w:tr>
      <w:tr w:rsidR="00BC772A" w:rsidRPr="00A90F77">
        <w:trPr>
          <w:trHeight w:val="223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A90F77">
              <w:rPr>
                <w:sz w:val="22"/>
              </w:rPr>
              <w:t>Cena celkem vč. DPH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0" w:right="0"/>
              <w:rPr>
                <w:sz w:val="22"/>
              </w:rPr>
            </w:pPr>
            <w:r w:rsidRPr="00A90F77">
              <w:rPr>
                <w:sz w:val="22"/>
              </w:rPr>
              <w:t>466 818,00 Kč</w:t>
            </w:r>
          </w:p>
        </w:tc>
      </w:tr>
    </w:tbl>
    <w:p w:rsidR="00BC772A" w:rsidRDefault="00A90F77">
      <w:pPr>
        <w:spacing w:after="0" w:line="259" w:lineRule="auto"/>
        <w:ind w:left="279" w:right="10" w:hanging="10"/>
        <w:jc w:val="center"/>
      </w:pPr>
      <w:r>
        <w:rPr>
          <w:sz w:val="32"/>
        </w:rPr>
        <w:t xml:space="preserve">ČLÁNEK </w:t>
      </w:r>
      <w:proofErr w:type="spellStart"/>
      <w:r>
        <w:rPr>
          <w:sz w:val="32"/>
        </w:rPr>
        <w:t>Vl</w:t>
      </w:r>
      <w:proofErr w:type="spellEnd"/>
      <w:r>
        <w:rPr>
          <w:sz w:val="32"/>
        </w:rPr>
        <w:t>.</w:t>
      </w:r>
    </w:p>
    <w:p w:rsidR="00BC772A" w:rsidRDefault="00A90F77">
      <w:pPr>
        <w:spacing w:after="384" w:line="259" w:lineRule="auto"/>
        <w:ind w:left="250" w:right="0" w:hanging="10"/>
        <w:jc w:val="center"/>
      </w:pPr>
      <w:r>
        <w:rPr>
          <w:sz w:val="30"/>
          <w:u w:val="single" w:color="000000"/>
        </w:rPr>
        <w:t>ZVLÁŠTNÍ UJEDNÁNÍ:</w:t>
      </w:r>
    </w:p>
    <w:p w:rsidR="00BC772A" w:rsidRDefault="00A90F77">
      <w:pPr>
        <w:spacing w:after="0" w:line="259" w:lineRule="auto"/>
        <w:ind w:left="269" w:right="0" w:hanging="10"/>
        <w:jc w:val="left"/>
      </w:pPr>
      <w:r>
        <w:rPr>
          <w:sz w:val="26"/>
        </w:rPr>
        <w:t>I. Ujednáni o smluvních pokutách:</w:t>
      </w:r>
    </w:p>
    <w:p w:rsidR="00BC772A" w:rsidRDefault="00A90F77">
      <w:pPr>
        <w:ind w:left="672" w:right="0"/>
      </w:pPr>
      <w:r>
        <w:t>Při převzetí výsledku předmětu plnění neúplně zpracované oproti zadání je poskytovatel povinen:</w:t>
      </w:r>
    </w:p>
    <w:p w:rsidR="00BC772A" w:rsidRDefault="00A90F77">
      <w:pPr>
        <w:numPr>
          <w:ilvl w:val="0"/>
          <w:numId w:val="2"/>
        </w:numPr>
        <w:ind w:right="0" w:hanging="269"/>
      </w:pPr>
      <w:r>
        <w:t>dokončit nebo doplnit zadanou zakázku do termínu stanoveného objednatelem v samostatné výzvě.</w:t>
      </w:r>
    </w:p>
    <w:p w:rsidR="00BC772A" w:rsidRDefault="00A90F77">
      <w:pPr>
        <w:numPr>
          <w:ilvl w:val="0"/>
          <w:numId w:val="2"/>
        </w:numPr>
        <w:ind w:right="0" w:hanging="269"/>
      </w:pPr>
      <w:r>
        <w:t>při nedodržen</w:t>
      </w:r>
      <w:r>
        <w:t xml:space="preserve">í termínu stanoveného objednatelem ve výzvě k </w:t>
      </w:r>
      <w:proofErr w:type="gramStart"/>
      <w:r>
        <w:t>dokončeni</w:t>
      </w:r>
      <w:proofErr w:type="gramEnd"/>
      <w:r>
        <w:t xml:space="preserve"> nebo doplnění zakázky, zaplatit objednateli smluvní pokutu ve výši 0,05 % z hodnoty díla za každý den prodleni.</w:t>
      </w:r>
    </w:p>
    <w:p w:rsidR="00BC772A" w:rsidRDefault="00A90F77">
      <w:pPr>
        <w:spacing w:after="43"/>
        <w:ind w:left="580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1103896</wp:posOffset>
                </wp:positionH>
                <wp:positionV relativeFrom="page">
                  <wp:posOffset>9583368</wp:posOffset>
                </wp:positionV>
                <wp:extent cx="5604862" cy="12193"/>
                <wp:effectExtent l="0" t="0" r="0" b="0"/>
                <wp:wrapTopAndBottom/>
                <wp:docPr id="25106" name="Group 25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862" cy="12193"/>
                          <a:chOff x="0" y="0"/>
                          <a:chExt cx="5604862" cy="12193"/>
                        </a:xfrm>
                      </wpg:grpSpPr>
                      <wps:wsp>
                        <wps:cNvPr id="25105" name="Shape 25105"/>
                        <wps:cNvSpPr/>
                        <wps:spPr>
                          <a:xfrm>
                            <a:off x="0" y="0"/>
                            <a:ext cx="560486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862" h="12193">
                                <a:moveTo>
                                  <a:pt x="0" y="6097"/>
                                </a:moveTo>
                                <a:lnTo>
                                  <a:pt x="560486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06" style="width:441.328pt;height:0.960083pt;position:absolute;mso-position-horizontal-relative:page;mso-position-horizontal:absolute;margin-left:86.9209pt;mso-position-vertical-relative:page;margin-top:754.596pt;" coordsize="56048,121">
                <v:shape id="Shape 25105" style="position:absolute;width:56048;height:121;left:0;top:0;" coordsize="5604862,12193" path="m0,6097l5604862,6097">
                  <v:stroke weight="0.96008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Při zjištění nekvalitní části dodávky při jejím převzetí je poskytovatel povinen:</w:t>
      </w:r>
    </w:p>
    <w:p w:rsidR="00BC772A" w:rsidRDefault="00A90F77">
      <w:pPr>
        <w:numPr>
          <w:ilvl w:val="0"/>
          <w:numId w:val="3"/>
        </w:numPr>
        <w:spacing w:after="43"/>
        <w:ind w:right="0" w:hanging="269"/>
      </w:pPr>
      <w:r>
        <w:t>odstranit vadu zdarma do termínu stanoveného objednatelem v samostatné výzvě.</w:t>
      </w:r>
    </w:p>
    <w:p w:rsidR="00BC772A" w:rsidRDefault="00A90F77">
      <w:pPr>
        <w:numPr>
          <w:ilvl w:val="0"/>
          <w:numId w:val="3"/>
        </w:numPr>
        <w:ind w:right="0" w:hanging="269"/>
      </w:pPr>
      <w:r>
        <w:t>při nedodržení termínu stanoveného objednatelem ve výzvě na odstranění vady, zaplatit objednateli smluvní pokutu ve výši 1 000,- Kč za každý den prodlení.</w:t>
      </w:r>
    </w:p>
    <w:p w:rsidR="00BC772A" w:rsidRDefault="00A90F77">
      <w:pPr>
        <w:ind w:left="663" w:right="0"/>
      </w:pPr>
      <w:r>
        <w:t xml:space="preserve">Při prodlení s úhradou </w:t>
      </w:r>
      <w:r>
        <w:t>peněžitého plnění dle této smlouvy je objednatel povinen zaplatit poskytovateli smluvní pokutu ve výši 0,05% z dlužné částky bez DPH od data splatnosti faktury za každý den prodlení do zaplacení.</w:t>
      </w:r>
    </w:p>
    <w:p w:rsidR="00BC772A" w:rsidRDefault="00A90F77">
      <w:pPr>
        <w:ind w:left="663" w:right="0"/>
      </w:pPr>
      <w:r>
        <w:t>Provedeni bezplatného doplnění či opravy příslušného dílčího</w:t>
      </w:r>
      <w:r>
        <w:t xml:space="preserve"> předmětu smlouvy neomezuje nárok objednatele na úhradu eventuální škody, která mu použitím vadné nebo neúplné dokumentace vznikla.</w:t>
      </w:r>
    </w:p>
    <w:p w:rsidR="00BC772A" w:rsidRDefault="00A90F77">
      <w:pPr>
        <w:ind w:left="663" w:right="0"/>
      </w:pPr>
      <w:r>
        <w:t>Dohoda o smluvních pokutách nevylučuje povinnost poskytovatele uhradit objednateli škodu, která mu prokazatelné vznikne v so</w:t>
      </w:r>
      <w:r>
        <w:t>uvislosti s neplněním smluvních závazků.</w:t>
      </w:r>
    </w:p>
    <w:p w:rsidR="00BC772A" w:rsidRDefault="00A90F77">
      <w:pPr>
        <w:spacing w:after="0" w:line="259" w:lineRule="auto"/>
        <w:ind w:left="187" w:right="0" w:hanging="10"/>
        <w:jc w:val="left"/>
      </w:pPr>
      <w:r>
        <w:rPr>
          <w:rFonts w:ascii="Calibri" w:eastAsia="Calibri" w:hAnsi="Calibri" w:cs="Calibri"/>
          <w:sz w:val="26"/>
        </w:rPr>
        <w:t xml:space="preserve">2. </w:t>
      </w:r>
      <w:r>
        <w:rPr>
          <w:sz w:val="26"/>
        </w:rPr>
        <w:t>Odpovědnost poskytovatele, řešení sporů:</w:t>
      </w:r>
    </w:p>
    <w:p w:rsidR="00BC772A" w:rsidRDefault="00A90F77">
      <w:pPr>
        <w:ind w:left="663" w:right="0"/>
      </w:pPr>
      <w:r>
        <w:t>Smluvní strany se zavazují případné spory řešit dohodou svých oprávněných zástupců, s vynaložením veškerého úsilí, které lze spravedlivé požadovat, aby tyto spory byly řeš</w:t>
      </w:r>
      <w:r>
        <w:t>eny smírnou cestou.</w:t>
      </w:r>
    </w:p>
    <w:p w:rsidR="00BC772A" w:rsidRDefault="00A90F77">
      <w:pPr>
        <w:ind w:left="663" w:right="0"/>
      </w:pPr>
      <w:r>
        <w:t>Poskytovatel bude plnit svoje smluvní povinnosti s veškerou odbornou znalostí, pečlivostí a svědomitostí, v souladu s platným právním řádem, bezpečnostními předpisy, všemi oprávněnými požadavky orgánů státní správy, zúčastněných institu</w:t>
      </w:r>
      <w:r>
        <w:t>cí a úřadů, pokyny a dispozicemi objednatele a podle obecných technických pravidel s ohledem na technické normy.</w:t>
      </w:r>
    </w:p>
    <w:p w:rsidR="00BC772A" w:rsidRDefault="00A90F77">
      <w:pPr>
        <w:ind w:left="653" w:right="0"/>
      </w:pPr>
      <w:r>
        <w:lastRenderedPageBreak/>
        <w:t>Poskytovatel je povinen, když si to objednatel vyžádá nebo když to ze smlouvy výslovně vyplývá nebo také před jinými důležitými rozhodnutími, p</w:t>
      </w:r>
      <w:r>
        <w:t>oradit se s objednatelem a vyžádat si jeho souhlas. Objednatel oznámí své rozhodnutí do 3 (tří) kalendářních dnů.</w:t>
      </w:r>
    </w:p>
    <w:p w:rsidR="00BC772A" w:rsidRDefault="00A90F77">
      <w:pPr>
        <w:ind w:left="580" w:right="106"/>
      </w:pPr>
      <w:r>
        <w:t>Nedodržení dohodnuté lhůty 3(tří) kalendářních dnů ze strany objednatele, nemůže být příčinou prodlení s provedením předmětu smlouvy, pokud by</w:t>
      </w:r>
      <w:r>
        <w:t>lo prodlení způsobeno důvody na straně poskytovatele.</w:t>
      </w:r>
    </w:p>
    <w:p w:rsidR="00BC772A" w:rsidRDefault="00A90F77">
      <w:pPr>
        <w:spacing w:after="43"/>
        <w:ind w:left="580" w:right="0"/>
      </w:pPr>
      <w:r>
        <w:t>Poskytovatel se zavazuje bezplatné odstranit vady v souladu s Občanským zákoníkem</w:t>
      </w:r>
    </w:p>
    <w:p w:rsidR="00BC772A" w:rsidRDefault="00A90F77">
      <w:pPr>
        <w:spacing w:after="43"/>
        <w:ind w:left="580" w:right="0"/>
      </w:pPr>
      <w:r>
        <w:t>č.89/2012 Sb. Záruka na dílo je po dobu tří let od dodání díla.</w:t>
      </w:r>
    </w:p>
    <w:p w:rsidR="00BC772A" w:rsidRDefault="00A90F77">
      <w:pPr>
        <w:numPr>
          <w:ilvl w:val="0"/>
          <w:numId w:val="4"/>
        </w:numPr>
        <w:spacing w:after="0" w:line="259" w:lineRule="auto"/>
        <w:ind w:right="0" w:hanging="355"/>
        <w:jc w:val="left"/>
      </w:pPr>
      <w:r>
        <w:rPr>
          <w:sz w:val="26"/>
        </w:rPr>
        <w:t>Způsob a místo předání předmětu plnění smlouvy:</w:t>
      </w:r>
    </w:p>
    <w:p w:rsidR="00BC772A" w:rsidRDefault="00A90F77">
      <w:pPr>
        <w:ind w:left="580" w:right="0"/>
      </w:pPr>
      <w:r>
        <w:t>Dokument</w:t>
      </w:r>
      <w:r>
        <w:t xml:space="preserve">ace bude předána objednateli předávacím dopisem v 6 vyhotoveních v listinné </w:t>
      </w:r>
      <w:proofErr w:type="spellStart"/>
      <w:r>
        <w:t>podobé</w:t>
      </w:r>
      <w:proofErr w:type="spellEnd"/>
      <w:r>
        <w:t xml:space="preserve"> + 1 x na </w:t>
      </w:r>
      <w:proofErr w:type="gramStart"/>
      <w:r>
        <w:t>CD .</w:t>
      </w:r>
      <w:proofErr w:type="gramEnd"/>
    </w:p>
    <w:p w:rsidR="00BC772A" w:rsidRDefault="00A90F77">
      <w:pPr>
        <w:numPr>
          <w:ilvl w:val="0"/>
          <w:numId w:val="4"/>
        </w:numPr>
        <w:spacing w:after="0" w:line="259" w:lineRule="auto"/>
        <w:ind w:right="0" w:hanging="355"/>
        <w:jc w:val="left"/>
      </w:pPr>
      <w:r>
        <w:rPr>
          <w:sz w:val="26"/>
        </w:rPr>
        <w:t>Platební podmínky:</w:t>
      </w:r>
    </w:p>
    <w:p w:rsidR="00BC772A" w:rsidRDefault="00A90F77">
      <w:pPr>
        <w:ind w:left="580" w:right="0"/>
      </w:pPr>
      <w:r>
        <w:t xml:space="preserve">Zhotovitel bude fakturovat předmět díla na </w:t>
      </w:r>
      <w:proofErr w:type="spellStart"/>
      <w:r>
        <w:t>základé</w:t>
      </w:r>
      <w:proofErr w:type="spellEnd"/>
      <w:r>
        <w:t xml:space="preserve"> dílčí fakturace — po odevzdání jednotlivých částí zakázky.</w:t>
      </w:r>
    </w:p>
    <w:p w:rsidR="00BC772A" w:rsidRDefault="00A90F77">
      <w:pPr>
        <w:ind w:left="580" w:right="96"/>
      </w:pPr>
      <w:r>
        <w:t xml:space="preserve">Objednatel zaplatí poskytovateli dohodnutou cenu, a to bezhotovostním převodem </w:t>
      </w:r>
      <w:proofErr w:type="spellStart"/>
      <w:r>
        <w:t>přisluSné</w:t>
      </w:r>
      <w:proofErr w:type="spellEnd"/>
      <w:r>
        <w:t xml:space="preserve"> částky na účet poskytovatele nejpozději do 30 dnů po předání příslušného daňového dokladu (faktury), vyhotoveného v souladu platným zněním zákona č. 235/2004 Sb., S 28</w:t>
      </w:r>
      <w:r>
        <w:t>.</w:t>
      </w:r>
    </w:p>
    <w:p w:rsidR="00BC772A" w:rsidRDefault="00A90F77">
      <w:pPr>
        <w:ind w:left="580" w:right="0"/>
      </w:pPr>
      <w:r>
        <w:t>Poskytovatel je povinen vystavit daňový doklad pro objednatele do 14 dnů po předání a převzetí příslušného plnění předmětu smlouvy.</w:t>
      </w:r>
    </w:p>
    <w:p w:rsidR="00BC772A" w:rsidRDefault="00A90F77">
      <w:pPr>
        <w:spacing w:after="43"/>
        <w:ind w:left="580" w:right="0"/>
      </w:pPr>
      <w:r>
        <w:t>Povinnost zaplatit fakturu je splněna dnem připsání příslušné částky na účet poskytovatele.</w:t>
      </w:r>
    </w:p>
    <w:p w:rsidR="00BC772A" w:rsidRDefault="00A90F77">
      <w:pPr>
        <w:numPr>
          <w:ilvl w:val="0"/>
          <w:numId w:val="4"/>
        </w:numPr>
        <w:spacing w:after="0" w:line="259" w:lineRule="auto"/>
        <w:ind w:right="0" w:hanging="355"/>
        <w:jc w:val="left"/>
      </w:pPr>
      <w:r>
        <w:rPr>
          <w:sz w:val="26"/>
        </w:rPr>
        <w:t>Změna a zánik smlouvy:</w:t>
      </w:r>
    </w:p>
    <w:p w:rsidR="00BC772A" w:rsidRDefault="00A90F77">
      <w:pPr>
        <w:ind w:left="580" w:right="9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1061203</wp:posOffset>
                </wp:positionH>
                <wp:positionV relativeFrom="page">
                  <wp:posOffset>9558982</wp:posOffset>
                </wp:positionV>
                <wp:extent cx="5586565" cy="12192"/>
                <wp:effectExtent l="0" t="0" r="0" b="0"/>
                <wp:wrapTopAndBottom/>
                <wp:docPr id="25108" name="Group 25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565" cy="12192"/>
                          <a:chOff x="0" y="0"/>
                          <a:chExt cx="5586565" cy="12192"/>
                        </a:xfrm>
                      </wpg:grpSpPr>
                      <wps:wsp>
                        <wps:cNvPr id="25107" name="Shape 25107"/>
                        <wps:cNvSpPr/>
                        <wps:spPr>
                          <a:xfrm>
                            <a:off x="0" y="0"/>
                            <a:ext cx="55865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565" h="12192">
                                <a:moveTo>
                                  <a:pt x="0" y="6097"/>
                                </a:moveTo>
                                <a:lnTo>
                                  <a:pt x="5586565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08" style="width:439.887pt;height:0.960022pt;position:absolute;mso-position-horizontal-relative:page;mso-position-horizontal:absolute;margin-left:83.5593pt;mso-position-vertical-relative:page;margin-top:752.676pt;" coordsize="55865,121">
                <v:shape id="Shape 25107" style="position:absolute;width:55865;height:121;left:0;top:0;" coordsize="5586565,12192" path="m0,6097l5586565,6097">
                  <v:stroke weight="0.96002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Pokud </w:t>
      </w:r>
      <w:r>
        <w:t xml:space="preserve">jsou poskytovateli známy okolnosti, které mu brání, aby dostál svým smluvním povinnostem, </w:t>
      </w:r>
      <w:proofErr w:type="spellStart"/>
      <w:r>
        <w:t>sděli</w:t>
      </w:r>
      <w:proofErr w:type="spellEnd"/>
      <w:r>
        <w:t xml:space="preserve"> to objednateli. Poskytovatel se zavazuje neprodlené odstranit v rámci svých možností všechny okolnosti, které nejsou na straně objednatele a které brání splnění</w:t>
      </w:r>
      <w:r>
        <w:t xml:space="preserve"> smluvních povinností poskytovatele. Objednatel se zavazuje učinit totéž, pokud jde o okolnosti na jeho straně. Pokud k odstranění těchto okolností na kterékoliv straně nedojde, je druhá smluvní strana oprávněna požadovat splnění povinnosti v náhradním ter</w:t>
      </w:r>
      <w:r>
        <w:t>mínu, který stanoví s přihlédnutím k povaze záležitosti.</w:t>
      </w:r>
    </w:p>
    <w:p w:rsidR="00BC772A" w:rsidRDefault="00A90F77">
      <w:pPr>
        <w:ind w:left="580" w:right="96"/>
      </w:pPr>
      <w:r>
        <w:t>Pokud dojde ze strany objednatele k odstoupení od smlouvy z důvodů nezapříčiněných poskytovatelem, zavazuje se objednatel uhradit odstupné podle rozsahu rozpracovanosti díla ke dni oznámení o odstoup</w:t>
      </w:r>
      <w:r>
        <w:t>ení. Rozsah rozpracovanosti bude písemnou formou vzájemné odsouhlasen oprávněnými zástupci smluvních stran.</w:t>
      </w:r>
    </w:p>
    <w:p w:rsidR="00BC772A" w:rsidRDefault="00A90F77">
      <w:pPr>
        <w:ind w:left="580" w:right="106"/>
      </w:pPr>
      <w:r>
        <w:t xml:space="preserve">Odstoupení od smlouvy musí být uskutečněno vždy písemnou formou a nabývá účinnosti dnem </w:t>
      </w:r>
      <w:proofErr w:type="gramStart"/>
      <w:r>
        <w:t>doručeni</w:t>
      </w:r>
      <w:proofErr w:type="gramEnd"/>
      <w:r>
        <w:t xml:space="preserve"> takového písemného podání druhé straně. Následky od</w:t>
      </w:r>
      <w:r>
        <w:t>stoupení od smlouvy se řídi ustanoveními občanského zákoníku, v platném zněni.</w:t>
      </w:r>
    </w:p>
    <w:p w:rsidR="00BC772A" w:rsidRDefault="00A90F77">
      <w:pPr>
        <w:ind w:left="580" w:right="106"/>
      </w:pPr>
      <w:r>
        <w:t>Tuto smlouvu lze ukončit dohodou obou smluvních stran. Dohodnou-li se strany na ukončení smlouvy, bude součástí dohody o ukončení smlouvy i dohoda o vypořádání vzájemných závazk</w:t>
      </w:r>
      <w:r>
        <w:t>ů.</w:t>
      </w:r>
    </w:p>
    <w:p w:rsidR="00BC772A" w:rsidRDefault="00A90F77">
      <w:pPr>
        <w:ind w:left="580" w:right="96"/>
      </w:pPr>
      <w:r>
        <w:t>Změny a doplňky smlouvy je možno sjednávat jen písemné. Strany jsou přitom povinny sjednat příslušné doplňky, resp. změny, v případech předpokládaných smlouvou, respektive v případech, kdy je to ke splnění předmětu smlouvy zcela nezbytné.</w:t>
      </w:r>
    </w:p>
    <w:p w:rsidR="00BC772A" w:rsidRDefault="00A90F77">
      <w:pPr>
        <w:numPr>
          <w:ilvl w:val="0"/>
          <w:numId w:val="5"/>
        </w:numPr>
        <w:spacing w:after="0" w:line="259" w:lineRule="auto"/>
        <w:ind w:right="0" w:hanging="346"/>
        <w:jc w:val="left"/>
      </w:pPr>
      <w:r>
        <w:rPr>
          <w:sz w:val="26"/>
        </w:rPr>
        <w:t>Utajení, odevz</w:t>
      </w:r>
      <w:r>
        <w:rPr>
          <w:sz w:val="26"/>
        </w:rPr>
        <w:t>dávací povinnosti, ochranné známky a licence:</w:t>
      </w:r>
    </w:p>
    <w:p w:rsidR="00BC772A" w:rsidRDefault="00A90F77">
      <w:pPr>
        <w:ind w:left="580" w:right="106"/>
      </w:pPr>
      <w:r>
        <w:t xml:space="preserve">Poskytovatel je povinen se všemi informacemi, znalostmi, výkresy a podklady všeho druhu, které v souvislosti se smlouvou dostal, získal nebo vyrobil, zacházet tak, aby se až do </w:t>
      </w:r>
      <w:r>
        <w:lastRenderedPageBreak/>
        <w:t>zveřejnění předmětu smlouvy objed</w:t>
      </w:r>
      <w:r>
        <w:t xml:space="preserve">natelem třetí osoby těchto podkladů a znalostí nezmocnily. Z této povinnosti jsou vyjmuty technické údaje, výkresy a specifikace, pokud jsou v rámci povinností poskytovatele ze smlouvy potřebné pro jeho subdodavatele a pro projednání s příslušnými úřady a </w:t>
      </w:r>
      <w:r>
        <w:t>organizacemi.</w:t>
      </w:r>
    </w:p>
    <w:p w:rsidR="00BC772A" w:rsidRDefault="00A90F77">
      <w:pPr>
        <w:ind w:left="580" w:right="106"/>
      </w:pPr>
      <w:r>
        <w:t>Mapy, plány, výkresy, specifikace, postupy, práva z průmyslového a duševního vlastnictví a ostatní podklady, které byly objednatelem pro provedení předmětu smlouvy dány k dispozici, zůstávají jeho neomezeným vlastnictvím. Tyto podklady včetně</w:t>
      </w:r>
      <w:r>
        <w:t xml:space="preserve"> všech zhotovených kopií poskytovatel po dokončení předmětu smlouvy vrátí objednateli, pokud si je tento vyžádá. Poskytovatel se zavazuje, že je nepoužije pro jiné účely než k provedení předmětu smlouvy pro objednatele.</w:t>
      </w:r>
    </w:p>
    <w:p w:rsidR="00BC772A" w:rsidRDefault="00A90F77">
      <w:pPr>
        <w:ind w:left="580" w:right="0"/>
      </w:pPr>
      <w:r>
        <w:t>Objednatel má právo poskytovatelem v</w:t>
      </w:r>
      <w:r>
        <w:t>ypracované materiály použít jen pro další výkony související s předmětem smlouvy a nesmí je bez předchozího souhlasu poskytovatele a odpovídající dohody o dodatečném honoráři použít pro jiné účely.</w:t>
      </w:r>
    </w:p>
    <w:p w:rsidR="00BC772A" w:rsidRDefault="00A90F77">
      <w:pPr>
        <w:numPr>
          <w:ilvl w:val="0"/>
          <w:numId w:val="5"/>
        </w:numPr>
        <w:spacing w:after="0" w:line="259" w:lineRule="auto"/>
        <w:ind w:right="0" w:hanging="346"/>
        <w:jc w:val="left"/>
      </w:pPr>
      <w:r>
        <w:rPr>
          <w:sz w:val="26"/>
        </w:rPr>
        <w:t>Závěrečná ujednání:</w:t>
      </w:r>
    </w:p>
    <w:p w:rsidR="00BC772A" w:rsidRDefault="00A90F77">
      <w:pPr>
        <w:ind w:left="580" w:right="0"/>
      </w:pPr>
      <w:r>
        <w:t xml:space="preserve">Pokud </w:t>
      </w:r>
      <w:proofErr w:type="spellStart"/>
      <w:r>
        <w:t>neni</w:t>
      </w:r>
      <w:proofErr w:type="spellEnd"/>
      <w:r>
        <w:t xml:space="preserve"> stanoveno jinak, řídí se smlouva Občanským zákoníkem (č. 89/2012 Sb. v platném zněni).</w:t>
      </w:r>
    </w:p>
    <w:p w:rsidR="00BC772A" w:rsidRDefault="00A90F77">
      <w:pPr>
        <w:spacing w:after="43"/>
        <w:ind w:left="644" w:right="0"/>
      </w:pPr>
      <w:r>
        <w:t>Smlouva je považována za uzavřenou a účinnou podpisem smluvních stran.</w:t>
      </w:r>
    </w:p>
    <w:p w:rsidR="00BC772A" w:rsidRDefault="00A90F77">
      <w:pPr>
        <w:ind w:left="580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1067302</wp:posOffset>
                </wp:positionH>
                <wp:positionV relativeFrom="page">
                  <wp:posOffset>9626042</wp:posOffset>
                </wp:positionV>
                <wp:extent cx="5592664" cy="12192"/>
                <wp:effectExtent l="0" t="0" r="0" b="0"/>
                <wp:wrapTopAndBottom/>
                <wp:docPr id="25116" name="Group 2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664" cy="12192"/>
                          <a:chOff x="0" y="0"/>
                          <a:chExt cx="5592664" cy="12192"/>
                        </a:xfrm>
                      </wpg:grpSpPr>
                      <wps:wsp>
                        <wps:cNvPr id="25115" name="Shape 25115"/>
                        <wps:cNvSpPr/>
                        <wps:spPr>
                          <a:xfrm>
                            <a:off x="0" y="0"/>
                            <a:ext cx="5592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664" h="12192">
                                <a:moveTo>
                                  <a:pt x="0" y="6097"/>
                                </a:moveTo>
                                <a:lnTo>
                                  <a:pt x="5592664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116" style="width:440.367pt;height:0.960022pt;position:absolute;mso-position-horizontal-relative:page;mso-position-horizontal:absolute;margin-left:84.0396pt;mso-position-vertical-relative:page;margin-top:757.956pt;" coordsize="55926,121">
                <v:shape id="Shape 25115" style="position:absolute;width:55926;height:121;left:0;top:0;" coordsize="5592664,12192" path="m0,6097l5592664,6097">
                  <v:stroke weight="0.96002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Tato smlouva má 5 stran a je vyhotovena ve čtyřech stejnopisech, z nichž po </w:t>
      </w:r>
      <w:proofErr w:type="gramStart"/>
      <w:r>
        <w:t>potvrzeni</w:t>
      </w:r>
      <w:proofErr w:type="gramEnd"/>
      <w:r>
        <w:t xml:space="preserve"> obdrží každá strana po dvou vyhotoveních. Nedílnou součásti této smlouvy je Cenová</w:t>
      </w:r>
    </w:p>
    <w:p w:rsidR="00BC772A" w:rsidRDefault="00BC772A">
      <w:pPr>
        <w:sectPr w:rsidR="00BC772A">
          <w:footerReference w:type="even" r:id="rId12"/>
          <w:footerReference w:type="default" r:id="rId13"/>
          <w:footerReference w:type="first" r:id="rId14"/>
          <w:pgSz w:w="11900" w:h="16820"/>
          <w:pgMar w:top="2811" w:right="1008" w:bottom="2131" w:left="1527" w:header="708" w:footer="708" w:gutter="0"/>
          <w:cols w:space="708"/>
          <w:titlePg/>
        </w:sectPr>
      </w:pPr>
    </w:p>
    <w:p w:rsidR="00BC772A" w:rsidRDefault="00A90F77">
      <w:pPr>
        <w:spacing w:after="477"/>
        <w:ind w:left="0" w:right="0"/>
      </w:pPr>
      <w:r>
        <w:t>příloha — soupis služeb.</w:t>
      </w:r>
    </w:p>
    <w:p w:rsidR="00BC772A" w:rsidRDefault="00A90F77">
      <w:pPr>
        <w:tabs>
          <w:tab w:val="center" w:pos="1743"/>
        </w:tabs>
        <w:spacing w:after="180"/>
        <w:ind w:left="0" w:right="0"/>
        <w:jc w:val="left"/>
      </w:pPr>
      <w:r>
        <w:t>Datum:</w:t>
      </w:r>
      <w:r>
        <w:tab/>
      </w:r>
      <w:r>
        <w:t>-1 -08- 2016</w:t>
      </w:r>
    </w:p>
    <w:p w:rsidR="00BC772A" w:rsidRDefault="00BC772A">
      <w:pPr>
        <w:sectPr w:rsidR="00BC772A">
          <w:type w:val="continuous"/>
          <w:pgSz w:w="11900" w:h="16820"/>
          <w:pgMar w:top="2811" w:right="2286" w:bottom="6221" w:left="2161" w:header="708" w:footer="708" w:gutter="0"/>
          <w:cols w:space="708"/>
        </w:sectPr>
      </w:pPr>
    </w:p>
    <w:p w:rsidR="00BC772A" w:rsidRPr="00A90F77" w:rsidRDefault="00A90F77">
      <w:pPr>
        <w:spacing w:after="0" w:line="259" w:lineRule="auto"/>
        <w:ind w:left="250" w:right="0"/>
        <w:jc w:val="center"/>
        <w:rPr>
          <w:sz w:val="18"/>
          <w:szCs w:val="18"/>
        </w:rPr>
      </w:pPr>
      <w:r w:rsidRPr="00A90F77">
        <w:rPr>
          <w:sz w:val="18"/>
          <w:szCs w:val="18"/>
        </w:rPr>
        <w:lastRenderedPageBreak/>
        <w:t>Zpracování cenové nabídky</w:t>
      </w:r>
      <w:bookmarkStart w:id="0" w:name="_GoBack"/>
      <w:bookmarkEnd w:id="0"/>
    </w:p>
    <w:p w:rsidR="00BC772A" w:rsidRPr="00A90F77" w:rsidRDefault="00A90F77">
      <w:pPr>
        <w:spacing w:after="226" w:line="259" w:lineRule="auto"/>
        <w:ind w:left="250" w:right="0"/>
        <w:jc w:val="center"/>
        <w:rPr>
          <w:sz w:val="18"/>
          <w:szCs w:val="18"/>
        </w:rPr>
      </w:pPr>
      <w:r w:rsidRPr="00A90F77">
        <w:rPr>
          <w:sz w:val="18"/>
          <w:szCs w:val="18"/>
        </w:rPr>
        <w:t>Výpočet nabídkové ceny</w:t>
      </w:r>
    </w:p>
    <w:p w:rsidR="00BC772A" w:rsidRPr="00A90F77" w:rsidRDefault="00A90F77">
      <w:pPr>
        <w:pStyle w:val="Nadpis1"/>
        <w:rPr>
          <w:sz w:val="18"/>
          <w:szCs w:val="18"/>
        </w:rPr>
      </w:pPr>
      <w:r w:rsidRPr="00A90F77">
        <w:rPr>
          <w:sz w:val="18"/>
          <w:szCs w:val="18"/>
        </w:rPr>
        <w:t>Akce: I/26 Plzeň, okružní křižovatka Domažlická - Folmavská</w:t>
      </w:r>
    </w:p>
    <w:p w:rsidR="00BC772A" w:rsidRPr="00A90F77" w:rsidRDefault="00A90F77">
      <w:pPr>
        <w:spacing w:after="5" w:line="251" w:lineRule="auto"/>
        <w:ind w:left="4505" w:right="0" w:hanging="3228"/>
        <w:jc w:val="left"/>
        <w:rPr>
          <w:sz w:val="18"/>
          <w:szCs w:val="18"/>
        </w:rPr>
      </w:pPr>
      <w:r w:rsidRPr="00A90F77">
        <w:rPr>
          <w:sz w:val="18"/>
          <w:szCs w:val="18"/>
        </w:rPr>
        <w:t>termín předání konceptu technického řešení ve variantách :</w:t>
      </w:r>
      <w:r w:rsidRPr="00A90F77">
        <w:rPr>
          <w:sz w:val="18"/>
          <w:szCs w:val="18"/>
        </w:rPr>
        <w:tab/>
      </w:r>
      <w:proofErr w:type="gramStart"/>
      <w:r w:rsidRPr="00A90F77">
        <w:rPr>
          <w:sz w:val="18"/>
          <w:szCs w:val="18"/>
        </w:rPr>
        <w:t>30.9.2016</w:t>
      </w:r>
      <w:proofErr w:type="gramEnd"/>
      <w:r w:rsidRPr="00A90F77">
        <w:rPr>
          <w:sz w:val="18"/>
          <w:szCs w:val="18"/>
        </w:rPr>
        <w:t xml:space="preserve"> </w:t>
      </w:r>
      <w:r w:rsidRPr="00A90F77">
        <w:rPr>
          <w:sz w:val="18"/>
          <w:szCs w:val="18"/>
        </w:rPr>
        <w:t>termín předání čistopisu studie :</w:t>
      </w:r>
      <w:r w:rsidRPr="00A90F77">
        <w:rPr>
          <w:sz w:val="18"/>
          <w:szCs w:val="18"/>
        </w:rPr>
        <w:tab/>
      </w:r>
      <w:r w:rsidRPr="00A90F77">
        <w:rPr>
          <w:sz w:val="18"/>
          <w:szCs w:val="18"/>
        </w:rPr>
        <w:t>15.11.2016</w:t>
      </w:r>
    </w:p>
    <w:p w:rsidR="00BC772A" w:rsidRPr="00A90F77" w:rsidRDefault="00A90F77">
      <w:pPr>
        <w:spacing w:after="5" w:line="251" w:lineRule="auto"/>
        <w:ind w:left="792" w:right="0"/>
        <w:jc w:val="left"/>
        <w:rPr>
          <w:sz w:val="18"/>
          <w:szCs w:val="18"/>
        </w:rPr>
      </w:pPr>
      <w:r w:rsidRPr="00A90F77">
        <w:rPr>
          <w:sz w:val="18"/>
          <w:szCs w:val="18"/>
        </w:rPr>
        <w:t>Technická měřená studie (TST)</w:t>
      </w:r>
    </w:p>
    <w:tbl>
      <w:tblPr>
        <w:tblStyle w:val="TableGrid"/>
        <w:tblW w:w="10373" w:type="dxa"/>
        <w:tblInd w:w="125" w:type="dxa"/>
        <w:tblCellMar>
          <w:top w:w="42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39"/>
        <w:gridCol w:w="1354"/>
        <w:gridCol w:w="1786"/>
        <w:gridCol w:w="1594"/>
      </w:tblGrid>
      <w:tr w:rsidR="00BC772A" w:rsidRPr="00A90F77">
        <w:trPr>
          <w:trHeight w:val="474"/>
        </w:trPr>
        <w:tc>
          <w:tcPr>
            <w:tcW w:w="6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C772A" w:rsidRPr="00A90F77" w:rsidRDefault="00A90F77">
            <w:pPr>
              <w:spacing w:after="0" w:line="259" w:lineRule="auto"/>
              <w:ind w:left="0" w:right="317"/>
              <w:jc w:val="righ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Počet jednotek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240" w:right="259" w:hanging="24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Jednotková sazba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C772A" w:rsidRPr="00A90F77" w:rsidRDefault="00A90F77">
            <w:pPr>
              <w:spacing w:after="0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Cena celkem</w:t>
            </w:r>
          </w:p>
        </w:tc>
      </w:tr>
      <w:tr w:rsidR="00BC772A" w:rsidRPr="00A90F77">
        <w:trPr>
          <w:trHeight w:val="6870"/>
        </w:trPr>
        <w:tc>
          <w:tcPr>
            <w:tcW w:w="5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C772A" w:rsidRPr="00A90F77" w:rsidRDefault="00A90F77">
            <w:pPr>
              <w:spacing w:after="20" w:line="259" w:lineRule="auto"/>
              <w:ind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 xml:space="preserve">L </w:t>
            </w:r>
            <w:r w:rsidRPr="00A90F77">
              <w:rPr>
                <w:sz w:val="18"/>
                <w:szCs w:val="18"/>
                <w:u w:val="single" w:color="000000"/>
              </w:rPr>
              <w:t>PRQ4EKTOVÁ DOKUMENTACE</w:t>
            </w:r>
          </w:p>
          <w:p w:rsidR="00BC772A" w:rsidRPr="00A90F77" w:rsidRDefault="00A90F77">
            <w:pPr>
              <w:numPr>
                <w:ilvl w:val="0"/>
                <w:numId w:val="6"/>
              </w:numPr>
              <w:spacing w:after="118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Průvodní zpráva a souhrnná technická zpráva</w:t>
            </w:r>
          </w:p>
          <w:p w:rsidR="00BC772A" w:rsidRPr="00A90F77" w:rsidRDefault="00A90F77">
            <w:pPr>
              <w:numPr>
                <w:ilvl w:val="0"/>
                <w:numId w:val="6"/>
              </w:numPr>
              <w:spacing w:after="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Výkresová dokumentace</w:t>
            </w:r>
          </w:p>
          <w:p w:rsidR="00BC772A" w:rsidRPr="00A90F77" w:rsidRDefault="00A90F77">
            <w:pPr>
              <w:numPr>
                <w:ilvl w:val="0"/>
                <w:numId w:val="8"/>
              </w:numPr>
              <w:spacing w:after="12"/>
              <w:ind w:left="681" w:right="0" w:hanging="182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 xml:space="preserve">Přehledná a koordinační situace ve variantách zpracováni jednotlivých variant dle technické, majetkoprávní a finanční náročnosti do geodetického </w:t>
            </w:r>
            <w:proofErr w:type="spellStart"/>
            <w:r w:rsidRPr="00A90F77">
              <w:rPr>
                <w:sz w:val="18"/>
                <w:szCs w:val="18"/>
              </w:rPr>
              <w:t>zaméřeni</w:t>
            </w:r>
            <w:proofErr w:type="spellEnd"/>
          </w:p>
          <w:p w:rsidR="00BC772A" w:rsidRPr="00A90F77" w:rsidRDefault="00A90F77">
            <w:pPr>
              <w:numPr>
                <w:ilvl w:val="0"/>
                <w:numId w:val="8"/>
              </w:numPr>
              <w:spacing w:after="0" w:line="259" w:lineRule="auto"/>
              <w:ind w:left="681" w:right="0" w:hanging="182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Situace zájmového území</w:t>
            </w:r>
          </w:p>
          <w:p w:rsidR="00BC772A" w:rsidRPr="00A90F77" w:rsidRDefault="00A90F77">
            <w:pPr>
              <w:numPr>
                <w:ilvl w:val="0"/>
                <w:numId w:val="8"/>
              </w:numPr>
              <w:spacing w:after="0" w:line="259" w:lineRule="auto"/>
              <w:ind w:left="681" w:right="0" w:hanging="182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Podélné profily</w:t>
            </w:r>
          </w:p>
          <w:p w:rsidR="00BC772A" w:rsidRPr="00A90F77" w:rsidRDefault="00A90F77">
            <w:pPr>
              <w:numPr>
                <w:ilvl w:val="0"/>
                <w:numId w:val="8"/>
              </w:numPr>
              <w:spacing w:after="155" w:line="259" w:lineRule="auto"/>
              <w:ind w:left="681" w:right="0" w:hanging="182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Vzorové příčné řezy</w:t>
            </w:r>
          </w:p>
          <w:p w:rsidR="00BC772A" w:rsidRPr="00A90F77" w:rsidRDefault="00A90F77">
            <w:pPr>
              <w:numPr>
                <w:ilvl w:val="0"/>
                <w:numId w:val="6"/>
              </w:numPr>
              <w:spacing w:after="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Související dokumentace</w:t>
            </w:r>
          </w:p>
          <w:p w:rsidR="00BC772A" w:rsidRPr="00A90F77" w:rsidRDefault="00A90F77">
            <w:pPr>
              <w:spacing w:after="184" w:line="259" w:lineRule="auto"/>
              <w:ind w:left="682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Výpis dotčených pozemků jednotlivých variant</w:t>
            </w:r>
          </w:p>
          <w:p w:rsidR="00BC772A" w:rsidRPr="00A90F77" w:rsidRDefault="00A90F77">
            <w:pPr>
              <w:numPr>
                <w:ilvl w:val="0"/>
                <w:numId w:val="6"/>
              </w:numPr>
              <w:spacing w:after="154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Doklady</w:t>
            </w:r>
          </w:p>
          <w:p w:rsidR="00BC772A" w:rsidRPr="00A90F77" w:rsidRDefault="00A90F77">
            <w:pPr>
              <w:numPr>
                <w:ilvl w:val="0"/>
                <w:numId w:val="6"/>
              </w:numPr>
              <w:spacing w:after="10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Odhad stavebních nákladů</w:t>
            </w:r>
          </w:p>
          <w:p w:rsidR="00BC772A" w:rsidRPr="00A90F77" w:rsidRDefault="00A90F77">
            <w:pPr>
              <w:spacing w:after="101" w:line="259" w:lineRule="auto"/>
              <w:ind w:left="96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 xml:space="preserve">IL </w:t>
            </w:r>
            <w:r w:rsidRPr="00A90F77">
              <w:rPr>
                <w:sz w:val="18"/>
                <w:szCs w:val="18"/>
                <w:u w:val="single" w:color="000000"/>
              </w:rPr>
              <w:t>OSTATNI ČINNOSTI</w:t>
            </w:r>
          </w:p>
          <w:p w:rsidR="00BC772A" w:rsidRPr="00A90F77" w:rsidRDefault="00A90F77">
            <w:pPr>
              <w:spacing w:after="0" w:line="259" w:lineRule="auto"/>
              <w:ind w:left="461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I. Koncepční a koordinační práce - variantní řešení</w:t>
            </w:r>
          </w:p>
          <w:p w:rsidR="00BC772A" w:rsidRPr="00A90F77" w:rsidRDefault="00A90F77">
            <w:pPr>
              <w:numPr>
                <w:ilvl w:val="0"/>
                <w:numId w:val="7"/>
              </w:numPr>
              <w:spacing w:after="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 xml:space="preserve">Průzkum inženýrských </w:t>
            </w:r>
            <w:proofErr w:type="spellStart"/>
            <w:r w:rsidRPr="00A90F77">
              <w:rPr>
                <w:sz w:val="18"/>
                <w:szCs w:val="18"/>
              </w:rPr>
              <w:t>siti</w:t>
            </w:r>
            <w:proofErr w:type="spellEnd"/>
          </w:p>
          <w:p w:rsidR="00BC772A" w:rsidRPr="00A90F77" w:rsidRDefault="00A90F77">
            <w:pPr>
              <w:numPr>
                <w:ilvl w:val="0"/>
                <w:numId w:val="7"/>
              </w:numPr>
              <w:spacing w:after="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Geodetické zaměřeni</w:t>
            </w:r>
          </w:p>
          <w:p w:rsidR="00BC772A" w:rsidRPr="00A90F77" w:rsidRDefault="00A90F77">
            <w:pPr>
              <w:numPr>
                <w:ilvl w:val="0"/>
                <w:numId w:val="7"/>
              </w:numPr>
              <w:spacing w:after="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Digitalizace mapy katastru nemovitostí</w:t>
            </w:r>
          </w:p>
          <w:p w:rsidR="00BC772A" w:rsidRPr="00A90F77" w:rsidRDefault="00A90F77">
            <w:pPr>
              <w:numPr>
                <w:ilvl w:val="0"/>
                <w:numId w:val="7"/>
              </w:numPr>
              <w:spacing w:after="0" w:line="259" w:lineRule="auto"/>
              <w:ind w:right="0" w:hanging="25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Reprografické a kompletační práce - čistopis</w:t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C772A" w:rsidRPr="00A90F77" w:rsidRDefault="00A90F77">
            <w:pPr>
              <w:spacing w:after="406" w:line="259" w:lineRule="auto"/>
              <w:ind w:left="5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75 hod</w:t>
            </w:r>
          </w:p>
          <w:p w:rsidR="00BC772A" w:rsidRPr="00A90F77" w:rsidRDefault="00A90F77">
            <w:pPr>
              <w:spacing w:after="656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210 hod</w:t>
            </w:r>
          </w:p>
          <w:p w:rsidR="00BC772A" w:rsidRPr="00A90F77" w:rsidRDefault="00A90F77">
            <w:pPr>
              <w:spacing w:after="0" w:line="259" w:lineRule="auto"/>
              <w:ind w:left="5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36 hod</w:t>
            </w:r>
          </w:p>
          <w:p w:rsidR="00BC772A" w:rsidRPr="00A90F77" w:rsidRDefault="00A90F77">
            <w:pPr>
              <w:spacing w:after="0" w:line="259" w:lineRule="auto"/>
              <w:ind w:left="5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48 hod</w:t>
            </w:r>
          </w:p>
          <w:p w:rsidR="00BC772A" w:rsidRPr="00A90F77" w:rsidRDefault="00A90F77">
            <w:pPr>
              <w:spacing w:after="397" w:line="259" w:lineRule="auto"/>
              <w:ind w:left="5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32 hod</w:t>
            </w:r>
          </w:p>
          <w:p w:rsidR="00BC772A" w:rsidRPr="00A90F77" w:rsidRDefault="00A90F77">
            <w:pPr>
              <w:spacing w:after="167" w:line="259" w:lineRule="auto"/>
              <w:ind w:left="5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36 hod</w:t>
            </w:r>
          </w:p>
          <w:p w:rsidR="00BC772A" w:rsidRPr="00A90F77" w:rsidRDefault="00A90F77">
            <w:pPr>
              <w:spacing w:after="157" w:line="259" w:lineRule="auto"/>
              <w:ind w:left="5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36 hod</w:t>
            </w:r>
          </w:p>
          <w:p w:rsidR="00BC772A" w:rsidRPr="00A90F77" w:rsidRDefault="00A90F77">
            <w:pPr>
              <w:spacing w:after="651" w:line="259" w:lineRule="auto"/>
              <w:ind w:left="77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18 hod</w:t>
            </w:r>
          </w:p>
          <w:p w:rsidR="00BC772A" w:rsidRPr="00A90F77" w:rsidRDefault="00A90F77">
            <w:pPr>
              <w:spacing w:after="0"/>
              <w:ind w:left="67" w:right="461" w:hanging="48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120 hod 55 hod ha 2,0 ha</w:t>
            </w:r>
          </w:p>
          <w:p w:rsidR="00BC772A" w:rsidRPr="00A90F77" w:rsidRDefault="00A90F77">
            <w:pPr>
              <w:spacing w:after="0" w:line="259" w:lineRule="auto"/>
              <w:ind w:left="77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 xml:space="preserve">6 </w:t>
            </w:r>
            <w:proofErr w:type="spellStart"/>
            <w:r w:rsidRPr="00A90F77">
              <w:rPr>
                <w:sz w:val="18"/>
                <w:szCs w:val="18"/>
              </w:rPr>
              <w:t>paré</w:t>
            </w:r>
            <w:proofErr w:type="spellEnd"/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C772A" w:rsidRPr="00A90F77" w:rsidRDefault="00A90F77">
            <w:pPr>
              <w:spacing w:after="367" w:line="259" w:lineRule="auto"/>
              <w:ind w:left="346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á 500,0 Kč</w:t>
            </w:r>
          </w:p>
          <w:p w:rsidR="00BC772A" w:rsidRPr="00A90F77" w:rsidRDefault="00A90F77">
            <w:pPr>
              <w:spacing w:after="590" w:line="259" w:lineRule="auto"/>
              <w:ind w:left="346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á 500,0 Kč</w:t>
            </w:r>
          </w:p>
          <w:p w:rsidR="00BC772A" w:rsidRPr="00A90F77" w:rsidRDefault="00A90F77">
            <w:pPr>
              <w:spacing w:after="417"/>
              <w:ind w:left="346" w:right="365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á 500,0 Kč á 500,0 Kč á 500,0 Kč</w:t>
            </w:r>
          </w:p>
          <w:p w:rsidR="00BC772A" w:rsidRPr="00A90F77" w:rsidRDefault="00A90F77">
            <w:pPr>
              <w:spacing w:after="500" w:line="321" w:lineRule="auto"/>
              <w:ind w:left="346" w:right="365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á 500,0 Kč á 500,0 Kč á 500,0 Kč</w:t>
            </w:r>
          </w:p>
          <w:p w:rsidR="00BC772A" w:rsidRPr="00A90F77" w:rsidRDefault="00A90F77">
            <w:pPr>
              <w:spacing w:after="0"/>
              <w:ind w:left="77" w:right="461" w:firstLine="269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á 500,0 Kč á 500,0 Kč á 13 500,0 Kč 1 350,0 Kč</w:t>
            </w:r>
          </w:p>
          <w:p w:rsidR="00BC772A" w:rsidRPr="00A90F77" w:rsidRDefault="00A90F77">
            <w:pPr>
              <w:spacing w:after="0" w:line="259" w:lineRule="auto"/>
              <w:ind w:left="346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3 850,0 Kč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C772A" w:rsidRPr="00A90F77" w:rsidRDefault="00A90F77">
            <w:pPr>
              <w:spacing w:after="358" w:line="259" w:lineRule="auto"/>
              <w:ind w:left="40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37 500,00 Kč</w:t>
            </w:r>
          </w:p>
          <w:p w:rsidR="00BC772A" w:rsidRPr="00A90F77" w:rsidRDefault="00A90F77">
            <w:pPr>
              <w:spacing w:after="586" w:line="259" w:lineRule="auto"/>
              <w:ind w:left="0" w:right="10"/>
              <w:jc w:val="righ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105 OOO,OO Kč</w:t>
            </w:r>
          </w:p>
          <w:p w:rsidR="00BC772A" w:rsidRPr="00A90F77" w:rsidRDefault="00A90F77">
            <w:pPr>
              <w:spacing w:after="0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18 OOO,OO Kč</w:t>
            </w:r>
          </w:p>
          <w:p w:rsidR="00BC772A" w:rsidRPr="00A90F77" w:rsidRDefault="00A90F77">
            <w:pPr>
              <w:spacing w:after="0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24 OOO,OO Kč</w:t>
            </w:r>
          </w:p>
          <w:p w:rsidR="00BC772A" w:rsidRPr="00A90F77" w:rsidRDefault="00A90F77">
            <w:pPr>
              <w:spacing w:after="362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16 OOO,OO Kč</w:t>
            </w:r>
          </w:p>
          <w:p w:rsidR="00BC772A" w:rsidRPr="00A90F77" w:rsidRDefault="00A90F77">
            <w:pPr>
              <w:spacing w:after="116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18 OOO,OO Kč</w:t>
            </w:r>
          </w:p>
          <w:p w:rsidR="00BC772A" w:rsidRPr="00A90F77" w:rsidRDefault="00A90F77">
            <w:pPr>
              <w:spacing w:after="138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18 OOO,OO Kč</w:t>
            </w:r>
          </w:p>
          <w:p w:rsidR="00BC772A" w:rsidRPr="00A90F77" w:rsidRDefault="00A90F77">
            <w:pPr>
              <w:spacing w:after="564" w:line="259" w:lineRule="auto"/>
              <w:ind w:left="0" w:right="0"/>
              <w:jc w:val="righ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9 OOO,OO Kč</w:t>
            </w:r>
          </w:p>
          <w:p w:rsidR="00BC772A" w:rsidRPr="00A90F77" w:rsidRDefault="00A90F77">
            <w:pPr>
              <w:spacing w:after="0" w:line="259" w:lineRule="auto"/>
              <w:ind w:left="40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60 OOO,OO Kč</w:t>
            </w:r>
          </w:p>
          <w:p w:rsidR="00BC772A" w:rsidRPr="00A90F77" w:rsidRDefault="00A90F77">
            <w:pPr>
              <w:spacing w:after="0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27 500,00 Kč</w:t>
            </w:r>
          </w:p>
          <w:p w:rsidR="00BC772A" w:rsidRPr="00A90F77" w:rsidRDefault="00A90F77">
            <w:pPr>
              <w:spacing w:after="0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27 OOO,OO Kč</w:t>
            </w:r>
          </w:p>
          <w:p w:rsidR="00BC772A" w:rsidRPr="00A90F77" w:rsidRDefault="00A90F77">
            <w:pPr>
              <w:spacing w:after="0" w:line="259" w:lineRule="auto"/>
              <w:ind w:left="0" w:right="0"/>
              <w:jc w:val="righ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2 700,00 Kč</w:t>
            </w:r>
          </w:p>
          <w:p w:rsidR="00BC772A" w:rsidRPr="00A90F77" w:rsidRDefault="00A90F77">
            <w:pPr>
              <w:spacing w:after="0" w:line="259" w:lineRule="auto"/>
              <w:ind w:left="413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23 100,00 Kč</w:t>
            </w:r>
          </w:p>
        </w:tc>
      </w:tr>
    </w:tbl>
    <w:p w:rsidR="00BC772A" w:rsidRPr="00A90F77" w:rsidRDefault="00BC772A">
      <w:pPr>
        <w:rPr>
          <w:sz w:val="18"/>
          <w:szCs w:val="18"/>
        </w:rPr>
        <w:sectPr w:rsidR="00BC772A" w:rsidRPr="00A90F77">
          <w:footerReference w:type="even" r:id="rId15"/>
          <w:footerReference w:type="default" r:id="rId16"/>
          <w:footerReference w:type="first" r:id="rId17"/>
          <w:pgSz w:w="11900" w:h="16820"/>
          <w:pgMar w:top="701" w:right="672" w:bottom="3863" w:left="1153" w:header="708" w:footer="708" w:gutter="0"/>
          <w:cols w:space="708"/>
        </w:sectPr>
      </w:pPr>
    </w:p>
    <w:tbl>
      <w:tblPr>
        <w:tblStyle w:val="TableGrid"/>
        <w:tblW w:w="10267" w:type="dxa"/>
        <w:tblInd w:w="10" w:type="dxa"/>
        <w:tblCellMar>
          <w:top w:w="31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687"/>
      </w:tblGrid>
      <w:tr w:rsidR="00BC772A" w:rsidRPr="00A90F77">
        <w:trPr>
          <w:trHeight w:val="44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 xml:space="preserve">Celkem - oddíly l. - </w:t>
            </w:r>
            <w:proofErr w:type="spellStart"/>
            <w:r w:rsidRPr="00A90F77">
              <w:rPr>
                <w:sz w:val="18"/>
                <w:szCs w:val="18"/>
              </w:rPr>
              <w:t>Il</w:t>
            </w:r>
            <w:proofErr w:type="spellEnd"/>
            <w:r w:rsidRPr="00A90F77">
              <w:rPr>
                <w:sz w:val="18"/>
                <w:szCs w:val="18"/>
              </w:rPr>
              <w:t>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BC772A" w:rsidRPr="00A90F77" w:rsidRDefault="00A90F77">
            <w:pPr>
              <w:spacing w:after="0" w:line="259" w:lineRule="auto"/>
              <w:ind w:left="0" w:right="0"/>
              <w:jc w:val="righ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385 800,00 Kč</w:t>
            </w:r>
          </w:p>
        </w:tc>
      </w:tr>
      <w:tr w:rsidR="00BC772A" w:rsidRPr="00A90F77">
        <w:trPr>
          <w:trHeight w:val="5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2A" w:rsidRPr="00A90F77" w:rsidRDefault="00A90F77">
            <w:pPr>
              <w:spacing w:after="0" w:line="259" w:lineRule="auto"/>
              <w:ind w:left="48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DPH 21,0%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2A" w:rsidRPr="00A90F77" w:rsidRDefault="00A90F77">
            <w:pPr>
              <w:spacing w:after="0" w:line="259" w:lineRule="auto"/>
              <w:ind w:left="0" w:right="0"/>
              <w:jc w:val="right"/>
              <w:rPr>
                <w:sz w:val="18"/>
                <w:szCs w:val="18"/>
              </w:rPr>
            </w:pPr>
            <w:proofErr w:type="gramStart"/>
            <w:r w:rsidRPr="00A90F77">
              <w:rPr>
                <w:sz w:val="18"/>
                <w:szCs w:val="18"/>
              </w:rPr>
              <w:t>81 018,OO</w:t>
            </w:r>
            <w:proofErr w:type="gramEnd"/>
            <w:r w:rsidRPr="00A90F77">
              <w:rPr>
                <w:sz w:val="18"/>
                <w:szCs w:val="18"/>
              </w:rPr>
              <w:t xml:space="preserve"> Kč</w:t>
            </w:r>
          </w:p>
        </w:tc>
      </w:tr>
      <w:tr w:rsidR="00A90F77" w:rsidRPr="00A90F77">
        <w:trPr>
          <w:trHeight w:val="58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F77" w:rsidRPr="00A90F77" w:rsidRDefault="00A90F77" w:rsidP="00A90F77">
            <w:pPr>
              <w:spacing w:after="0" w:line="259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F77" w:rsidRPr="00A90F77" w:rsidRDefault="00A90F77">
            <w:pPr>
              <w:spacing w:after="0" w:line="259" w:lineRule="auto"/>
              <w:ind w:left="0" w:right="0"/>
              <w:jc w:val="right"/>
              <w:rPr>
                <w:sz w:val="18"/>
                <w:szCs w:val="18"/>
              </w:rPr>
            </w:pPr>
          </w:p>
        </w:tc>
      </w:tr>
      <w:tr w:rsidR="00BC772A" w:rsidRPr="00A90F77">
        <w:trPr>
          <w:trHeight w:val="42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72A" w:rsidRPr="00A90F77" w:rsidRDefault="00A90F77">
            <w:pPr>
              <w:spacing w:after="0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Celková cena s DPH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72A" w:rsidRPr="00A90F77" w:rsidRDefault="00A90F77">
            <w:pPr>
              <w:spacing w:after="0" w:line="259" w:lineRule="auto"/>
              <w:ind w:left="0" w:right="10"/>
              <w:jc w:val="right"/>
              <w:rPr>
                <w:sz w:val="18"/>
                <w:szCs w:val="18"/>
              </w:rPr>
            </w:pPr>
            <w:r w:rsidRPr="00A90F77">
              <w:rPr>
                <w:sz w:val="18"/>
                <w:szCs w:val="18"/>
              </w:rPr>
              <w:t>466 818,00 Kč</w:t>
            </w:r>
          </w:p>
        </w:tc>
      </w:tr>
    </w:tbl>
    <w:p w:rsidR="00BC772A" w:rsidRPr="00A90F77" w:rsidRDefault="00A90F77">
      <w:pPr>
        <w:spacing w:after="0" w:line="265" w:lineRule="auto"/>
        <w:ind w:left="-5" w:right="0" w:hanging="10"/>
        <w:jc w:val="left"/>
        <w:rPr>
          <w:sz w:val="18"/>
          <w:szCs w:val="18"/>
        </w:rPr>
      </w:pPr>
      <w:r w:rsidRPr="00A90F77">
        <w:rPr>
          <w:sz w:val="18"/>
          <w:szCs w:val="18"/>
        </w:rPr>
        <w:t xml:space="preserve">V Plzni dne </w:t>
      </w:r>
      <w:proofErr w:type="gramStart"/>
      <w:r w:rsidRPr="00A90F77">
        <w:rPr>
          <w:sz w:val="18"/>
          <w:szCs w:val="18"/>
        </w:rPr>
        <w:t>20.7.2016</w:t>
      </w:r>
      <w:proofErr w:type="gramEnd"/>
    </w:p>
    <w:p w:rsidR="00BC772A" w:rsidRPr="00A90F77" w:rsidRDefault="00BC772A">
      <w:pPr>
        <w:spacing w:after="0" w:line="259" w:lineRule="auto"/>
        <w:ind w:left="6608" w:right="-8442"/>
        <w:jc w:val="left"/>
        <w:rPr>
          <w:sz w:val="18"/>
          <w:szCs w:val="18"/>
        </w:rPr>
      </w:pPr>
    </w:p>
    <w:sectPr w:rsidR="00BC772A" w:rsidRPr="00A90F77">
      <w:type w:val="continuous"/>
      <w:pgSz w:w="11900" w:h="16820"/>
      <w:pgMar w:top="701" w:right="8692" w:bottom="2213" w:left="13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F77">
      <w:pPr>
        <w:spacing w:after="0" w:line="240" w:lineRule="auto"/>
      </w:pPr>
      <w:r>
        <w:separator/>
      </w:r>
    </w:p>
  </w:endnote>
  <w:endnote w:type="continuationSeparator" w:id="0">
    <w:p w:rsidR="00000000" w:rsidRDefault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A" w:rsidRDefault="00A90F77">
    <w:pPr>
      <w:spacing w:after="0" w:line="259" w:lineRule="auto"/>
      <w:ind w:left="0" w:right="547"/>
      <w:jc w:val="right"/>
    </w:pP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A" w:rsidRDefault="00A90F77">
    <w:pPr>
      <w:spacing w:after="0" w:line="259" w:lineRule="auto"/>
      <w:ind w:left="0" w:right="547"/>
      <w:jc w:val="right"/>
    </w:pPr>
    <w:r>
      <w:rPr>
        <w:rFonts w:ascii="Calibri" w:eastAsia="Calibri" w:hAnsi="Calibri" w:cs="Calibri"/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A90F77">
      <w:rPr>
        <w:rFonts w:ascii="Calibri" w:eastAsia="Calibri" w:hAnsi="Calibri" w:cs="Calibri"/>
        <w:noProof/>
        <w:sz w:val="18"/>
      </w:rPr>
      <w:t>5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A" w:rsidRDefault="00BC772A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A" w:rsidRDefault="00BC772A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A" w:rsidRDefault="00BC772A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A" w:rsidRDefault="00BC772A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0F77">
      <w:pPr>
        <w:spacing w:after="0" w:line="240" w:lineRule="auto"/>
      </w:pPr>
      <w:r>
        <w:separator/>
      </w:r>
    </w:p>
  </w:footnote>
  <w:footnote w:type="continuationSeparator" w:id="0">
    <w:p w:rsidR="00000000" w:rsidRDefault="00A9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6E5D"/>
    <w:multiLevelType w:val="hybridMultilevel"/>
    <w:tmpl w:val="6A804142"/>
    <w:lvl w:ilvl="0" w:tplc="FD8A597A">
      <w:start w:val="2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4E41C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2067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607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64BFC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257A8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C77EC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A47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8D75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22929"/>
    <w:multiLevelType w:val="hybridMultilevel"/>
    <w:tmpl w:val="886C4280"/>
    <w:lvl w:ilvl="0" w:tplc="8D72CC08">
      <w:start w:val="1"/>
      <w:numFmt w:val="lowerLetter"/>
      <w:lvlText w:val="%1)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FECA3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98C35C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D6036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162C18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726332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407D0A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D4815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822D72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F15FC"/>
    <w:multiLevelType w:val="hybridMultilevel"/>
    <w:tmpl w:val="2EF24868"/>
    <w:lvl w:ilvl="0" w:tplc="26307C68">
      <w:start w:val="2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40AA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4039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84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8896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4377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C7BE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0361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B4A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566404"/>
    <w:multiLevelType w:val="hybridMultilevel"/>
    <w:tmpl w:val="943C328A"/>
    <w:lvl w:ilvl="0" w:tplc="64905F9E">
      <w:start w:val="1"/>
      <w:numFmt w:val="decimal"/>
      <w:lvlText w:val="%1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F6BFA4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94E26E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B492F0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7C60B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74914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CE641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E1326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A997C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B86ACB"/>
    <w:multiLevelType w:val="hybridMultilevel"/>
    <w:tmpl w:val="7D40955C"/>
    <w:lvl w:ilvl="0" w:tplc="513E48C0">
      <w:start w:val="6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167AD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A25F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4446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8805F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CA5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8E6F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3615C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A0FAB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AC5E36"/>
    <w:multiLevelType w:val="hybridMultilevel"/>
    <w:tmpl w:val="36302840"/>
    <w:lvl w:ilvl="0" w:tplc="6AF4A152">
      <w:start w:val="1"/>
      <w:numFmt w:val="lowerLetter"/>
      <w:lvlText w:val="%1)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40268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40AAE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6E284A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8273C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C2AD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86FC0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6D180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545010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075BF"/>
    <w:multiLevelType w:val="hybridMultilevel"/>
    <w:tmpl w:val="E5CC8686"/>
    <w:lvl w:ilvl="0" w:tplc="45B4801E">
      <w:start w:val="1"/>
      <w:numFmt w:val="upperLetter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5295F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004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E3CA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02ADC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0BD1C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3A184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D0B56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32C91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2B0F0A"/>
    <w:multiLevelType w:val="hybridMultilevel"/>
    <w:tmpl w:val="2AA0961C"/>
    <w:lvl w:ilvl="0" w:tplc="2E225ABE">
      <w:start w:val="3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1CF72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A00C8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E69E9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58AC8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06DF2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4657E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EC652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366DCC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A"/>
    <w:rsid w:val="00A90F77"/>
    <w:rsid w:val="00B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AEFA"/>
  <w15:docId w15:val="{E6D866E6-3F80-4F0A-8B2B-5ED2D5F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16" w:lineRule="auto"/>
      <w:ind w:left="125" w:right="15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93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2016-11-08T12:07:00Z</dcterms:created>
  <dcterms:modified xsi:type="dcterms:W3CDTF">2016-11-08T12:07:00Z</dcterms:modified>
</cp:coreProperties>
</file>