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83" w:rsidRPr="00686A83" w:rsidRDefault="00686A83" w:rsidP="00686A83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686A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Agilent</w:t>
      </w:r>
      <w:proofErr w:type="spellEnd"/>
      <w:r w:rsidRPr="00686A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4200 </w:t>
      </w:r>
      <w:proofErr w:type="spellStart"/>
      <w:r w:rsidRPr="00686A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T</w:t>
      </w:r>
      <w:bookmarkStart w:id="0" w:name="_GoBack"/>
      <w:bookmarkEnd w:id="0"/>
      <w:r w:rsidRPr="00686A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apeStation</w:t>
      </w:r>
      <w:proofErr w:type="spellEnd"/>
      <w:r w:rsidRPr="00686A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</w:p>
    <w:p w:rsidR="00686A83" w:rsidRDefault="00686A83" w:rsidP="00686A83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Agilent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4200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TapeStation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nabízí plně automatické zpracování vzorků pro rychlou a spolehlivou kontrolu kvality a kvantity vzorku pro další aplikace, např.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sekvenování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nové generace (NGS), přípravy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microarray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aCGH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) nebo kvantitativního PCR (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qPCR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Přístroj pracuje na principu gelové elektroforézy probíhající na hotových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platíčkách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naplněných gelem, tzv.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ScreenTapes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. Vzorky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 nanášeny automaticky </w:t>
      </w:r>
      <w:r w:rsidR="005627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integrovaným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robotem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objemu 1-2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μl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zvolené aplikace. Je možné zvolit aplikaci v plném rozsahu velikostí DNA </w:t>
      </w:r>
      <w:r w:rsidR="00F01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(včetně genomové DNA) 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a RNA. Výsledky jsou rychlé a spolehlivé a odpadá riziko kontaminace. </w:t>
      </w:r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Částečně využité </w:t>
      </w:r>
      <w:proofErr w:type="spellStart"/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>ScreenTapes</w:t>
      </w:r>
      <w:proofErr w:type="spellEnd"/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možné uložit do lednice pro další použití, díky čarovému </w:t>
      </w:r>
      <w:proofErr w:type="spellStart"/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>kodu</w:t>
      </w:r>
      <w:proofErr w:type="spellEnd"/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přístroj přesně ví, které linie již byly použity. </w:t>
      </w:r>
    </w:p>
    <w:p w:rsidR="00241F3E" w:rsidRPr="00686A83" w:rsidRDefault="00241F3E" w:rsidP="00686A83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68B7422E" wp14:editId="5972D133">
            <wp:extent cx="5431965" cy="2641600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5060" cy="26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A83" w:rsidRPr="00686A83" w:rsidRDefault="00686A83" w:rsidP="00686A83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Automatický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plně automatické zpracování až 96 vzorků bez přítomnosti obsluhy přístroje.</w:t>
      </w:r>
    </w:p>
    <w:p w:rsidR="00686A83" w:rsidRPr="00686A83" w:rsidRDefault="00686A83" w:rsidP="00686A83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Přizpůsobivý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individuální kanály umožňují použít různý počet vzorků v 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dné analýze (1 až 96) při konstantní ceně na jednu analýzu</w:t>
      </w:r>
      <w:r w:rsidR="00F01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686A83" w:rsidRPr="00686A83" w:rsidRDefault="00686A83" w:rsidP="00686A83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Flexibilní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technol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gie s použitím hotových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ScreenTape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připravena k okamžitému použití a snadnému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přechodu 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 analýzami DNA a </w:t>
      </w:r>
      <w:proofErr w:type="gram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RNA</w:t>
      </w:r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bez</w:t>
      </w:r>
      <w:proofErr w:type="gramEnd"/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nutnosti </w:t>
      </w:r>
      <w:proofErr w:type="spellStart"/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>ekvilibrace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 vzorky se mohou používat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dva 8-jamkové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stripy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96-jamkové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mikrotitrační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destičky.</w:t>
      </w:r>
      <w:r w:rsidR="005627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Jednoduchý a intuitivní software, možnost pojmenování vzorků pomocí copy/paste, možnost por</w:t>
      </w:r>
      <w:r w:rsidR="00973A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ovnání vzorků z různých analýz, možnost </w:t>
      </w:r>
      <w:proofErr w:type="gramStart"/>
      <w:r w:rsidR="00973A02">
        <w:rPr>
          <w:rFonts w:ascii="Times New Roman" w:eastAsia="Times New Roman" w:hAnsi="Times New Roman" w:cs="Times New Roman"/>
          <w:sz w:val="24"/>
          <w:szCs w:val="24"/>
          <w:lang w:eastAsia="cs-CZ"/>
        </w:rPr>
        <w:t>zobrazení v formátu</w:t>
      </w:r>
      <w:proofErr w:type="gramEnd"/>
      <w:r w:rsidR="00973A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973A02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elektroferogramu</w:t>
      </w:r>
      <w:proofErr w:type="spellEnd"/>
      <w:r w:rsidR="00973A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jako obrázek gelu.</w:t>
      </w:r>
    </w:p>
    <w:p w:rsidR="00686A83" w:rsidRDefault="00686A83" w:rsidP="00686A83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Rychlý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Získáte spolehlivé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výsledky za 1-2 minuty na jeden vzorek i při analýze 96 vzorků.</w:t>
      </w:r>
    </w:p>
    <w:p w:rsidR="00686A83" w:rsidRPr="00686A83" w:rsidRDefault="00686A83" w:rsidP="00686A83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Vynikající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reproducibilita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Výsledky nezávisí na uživateli, dosáhnete jich s minimem manuálních kroků. </w:t>
      </w:r>
    </w:p>
    <w:p w:rsidR="00686A83" w:rsidRPr="00686A83" w:rsidRDefault="00686A83" w:rsidP="00686A83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Malá spotřeba vzorku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Vyžadu</w:t>
      </w:r>
      <w:r w:rsidR="005A4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pouze 1-2 </w:t>
      </w:r>
      <w:proofErr w:type="spellStart"/>
      <w:r w:rsidR="005A4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ul</w:t>
      </w:r>
      <w:proofErr w:type="spellEnd"/>
      <w:r w:rsidR="005A4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5A4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vzork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jednu analýzu, včetně analýz s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vysokou  citlivostí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86A83" w:rsidRDefault="00686A83" w:rsidP="00686A83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Nulová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kroskontaminace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vzorek je </w:t>
      </w:r>
      <w:r w:rsidR="004213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pipetován individuální špičkou a analyzován ve vlastní linii na </w:t>
      </w:r>
      <w:proofErr w:type="spellStart"/>
      <w:r w:rsidR="00421337">
        <w:rPr>
          <w:rFonts w:ascii="Times New Roman" w:eastAsia="Times New Roman" w:hAnsi="Times New Roman" w:cs="Times New Roman"/>
          <w:sz w:val="24"/>
          <w:szCs w:val="24"/>
          <w:lang w:eastAsia="cs-CZ"/>
        </w:rPr>
        <w:t>ScreenTape</w:t>
      </w:r>
      <w:proofErr w:type="spellEnd"/>
      <w:r w:rsidR="004213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21337" w:rsidRPr="00421337" w:rsidRDefault="00421337" w:rsidP="00686A83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Ochrana před vypařováním vzorků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96-jamková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destička je za</w:t>
      </w:r>
      <w:r w:rsidR="005A48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kryta folií zabraňující odparu.</w:t>
      </w:r>
    </w:p>
    <w:p w:rsidR="00421337" w:rsidRPr="00686A83" w:rsidRDefault="00421337" w:rsidP="00686A83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Malý půdorys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 kompaktní systém vyžadující minimální plochu laboratorního stolu.</w:t>
      </w:r>
    </w:p>
    <w:p w:rsidR="00421337" w:rsidRDefault="00D06DD7" w:rsidP="00AB6770">
      <w:pPr>
        <w:tabs>
          <w:tab w:val="clear" w:pos="170"/>
          <w:tab w:val="clear" w:pos="340"/>
          <w:tab w:val="clear" w:pos="510"/>
          <w:tab w:val="clear" w:pos="680"/>
        </w:tabs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772BFAB8" wp14:editId="6D3E5FE0">
            <wp:simplePos x="0" y="0"/>
            <wp:positionH relativeFrom="column">
              <wp:posOffset>4445000</wp:posOffset>
            </wp:positionH>
            <wp:positionV relativeFrom="margin">
              <wp:align>top</wp:align>
            </wp:positionV>
            <wp:extent cx="1889760" cy="3003550"/>
            <wp:effectExtent l="0" t="0" r="0" b="6350"/>
            <wp:wrapTight wrapText="bothSides">
              <wp:wrapPolygon edited="0">
                <wp:start x="10234" y="0"/>
                <wp:lineTo x="0" y="1781"/>
                <wp:lineTo x="0" y="3014"/>
                <wp:lineTo x="218" y="4384"/>
                <wp:lineTo x="1960" y="8768"/>
                <wp:lineTo x="3048" y="10960"/>
                <wp:lineTo x="4790" y="15344"/>
                <wp:lineTo x="4355" y="20276"/>
                <wp:lineTo x="11976" y="21509"/>
                <wp:lineTo x="14806" y="21509"/>
                <wp:lineTo x="17202" y="21509"/>
                <wp:lineTo x="18073" y="19728"/>
                <wp:lineTo x="20468" y="10960"/>
                <wp:lineTo x="21339" y="6713"/>
                <wp:lineTo x="21339" y="4658"/>
                <wp:lineTo x="16548" y="4384"/>
                <wp:lineTo x="13282" y="2192"/>
                <wp:lineTo x="12411" y="548"/>
                <wp:lineTo x="11976" y="0"/>
                <wp:lineTo x="10234" y="0"/>
              </wp:wrapPolygon>
            </wp:wrapTight>
            <wp:docPr id="5475" name="Picture 5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" name="Picture 54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3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Technologie </w:t>
      </w:r>
      <w:proofErr w:type="spellStart"/>
      <w:r w:rsidR="004213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ScreenTape</w:t>
      </w:r>
      <w:proofErr w:type="spellEnd"/>
      <w:r w:rsidR="004213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spolehlivou analýzu DNA a RNA</w:t>
      </w:r>
    </w:p>
    <w:p w:rsidR="00421337" w:rsidRDefault="00421337" w:rsidP="00421337">
      <w:pPr>
        <w:tabs>
          <w:tab w:val="clear" w:pos="170"/>
          <w:tab w:val="clear" w:pos="340"/>
          <w:tab w:val="clear" w:pos="510"/>
          <w:tab w:val="clear" w:pos="680"/>
        </w:tabs>
        <w:spacing w:before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Analýza DNA</w:t>
      </w:r>
    </w:p>
    <w:p w:rsidR="00421337" w:rsidRPr="00421337" w:rsidRDefault="00421337" w:rsidP="00421337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Určování velikosti a množství DNA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rozsahu 35 až 60.000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při koncentracích od 5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100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AB6770" w:rsidRPr="00AB6770" w:rsidRDefault="00421337" w:rsidP="00C1408B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DNA Integrity </w:t>
      </w:r>
      <w:proofErr w:type="spellStart"/>
      <w:r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Number</w:t>
      </w:r>
      <w:proofErr w:type="spellEnd"/>
      <w:r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(DIN) </w:t>
      </w:r>
      <w:r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– je poskytován při měření </w:t>
      </w:r>
      <w:r w:rsidR="00AB6770"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pomocí </w:t>
      </w:r>
      <w:proofErr w:type="spellStart"/>
      <w:r w:rsidR="00AB6770"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Genomic</w:t>
      </w:r>
      <w:proofErr w:type="spellEnd"/>
      <w:r w:rsidR="00AB6770"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DNA </w:t>
      </w:r>
      <w:proofErr w:type="spellStart"/>
      <w:r w:rsidR="00AB6770"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ScreenTape</w:t>
      </w:r>
      <w:proofErr w:type="spellEnd"/>
      <w:r w:rsidR="00AB6770"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účelem jednoznačného zhodnocení integrity DNA</w:t>
      </w:r>
      <w:r w:rsidR="000A43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(důležité např. u fragmentované DNA)</w:t>
      </w:r>
    </w:p>
    <w:p w:rsidR="00AB6770" w:rsidRDefault="00AB6770" w:rsidP="00AB6770">
      <w:pPr>
        <w:tabs>
          <w:tab w:val="clear" w:pos="170"/>
          <w:tab w:val="clear" w:pos="340"/>
          <w:tab w:val="clear" w:pos="510"/>
          <w:tab w:val="clear" w:pos="68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Analýza RNA</w:t>
      </w:r>
    </w:p>
    <w:p w:rsidR="00AB6770" w:rsidRPr="00421337" w:rsidRDefault="00AB6770" w:rsidP="00AB6770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Určování velikos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 a množství R</w:t>
      </w:r>
      <w:r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rozsahu 100 až 6.000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při koncentracích od 100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 500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AB6770" w:rsidRPr="00AB6770" w:rsidRDefault="00AB6770" w:rsidP="00AB6770">
      <w:pPr>
        <w:numPr>
          <w:ilvl w:val="0"/>
          <w:numId w:val="1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</w:t>
      </w:r>
      <w:r w:rsidR="005627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Integrity </w:t>
      </w:r>
      <w:proofErr w:type="spellStart"/>
      <w:r w:rsidR="005627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Number</w:t>
      </w:r>
      <w:proofErr w:type="spellEnd"/>
      <w:r w:rsidR="005627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proofErr w:type="spellStart"/>
      <w:r w:rsidR="005627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</w:t>
      </w:r>
      <w:r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</w:t>
      </w:r>
      <w:r w:rsidRPr="00AB6770">
        <w:rPr>
          <w:rFonts w:ascii="Times New Roman Bold" w:eastAsia="Times New Roman" w:hAnsi="Times New Roman Bold" w:cs="Times New Roman"/>
          <w:b/>
          <w:bCs/>
          <w:sz w:val="24"/>
          <w:szCs w:val="24"/>
          <w:vertAlign w:val="superscript"/>
          <w:lang w:eastAsia="cs-CZ"/>
        </w:rPr>
        <w:t>e</w:t>
      </w:r>
      <w:proofErr w:type="spellEnd"/>
      <w:r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) </w:t>
      </w:r>
      <w:r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– je poskytován při měření pomocí </w:t>
      </w:r>
      <w:proofErr w:type="spellStart"/>
      <w:r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ScreenTape</w:t>
      </w:r>
      <w:proofErr w:type="spellEnd"/>
      <w:r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562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určedných</w:t>
      </w:r>
      <w:proofErr w:type="spellEnd"/>
      <w:r w:rsidR="00562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analýzu RNA </w:t>
      </w:r>
      <w:r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účelem jedn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označného zhodnocení integrity R</w:t>
      </w:r>
      <w:r w:rsidRPr="00AB67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</w:t>
      </w:r>
    </w:p>
    <w:p w:rsidR="00AB6770" w:rsidRDefault="00AB6770" w:rsidP="00AB6770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6A83" w:rsidRPr="00AB6770" w:rsidRDefault="00AB6770" w:rsidP="00AB6770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Přístroj </w:t>
      </w:r>
      <w:r w:rsidR="00686A83"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4200 </w:t>
      </w:r>
      <w:proofErr w:type="spellStart"/>
      <w:r w:rsidR="00686A83"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TapeStation</w:t>
      </w:r>
      <w:proofErr w:type="spellEnd"/>
      <w:r w:rsidR="00686A83"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421337"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 můžete 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drobně prohlé</w:t>
      </w:r>
      <w:r w:rsidR="00421337"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dnout na </w:t>
      </w:r>
      <w:r w:rsidR="00686A83"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videu na stránkách </w:t>
      </w:r>
      <w:proofErr w:type="spellStart"/>
      <w:r w:rsidR="00686A83"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Agilent</w:t>
      </w:r>
      <w:proofErr w:type="spellEnd"/>
      <w:r w:rsidR="00686A83"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Technologies </w:t>
      </w:r>
      <w:hyperlink r:id="rId9" w:tgtFrame="_blank" w:tooltip="4200 TapeStation - video" w:history="1">
        <w:r w:rsidR="00686A83" w:rsidRPr="00AB67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zde</w:t>
        </w:r>
      </w:hyperlink>
      <w:r w:rsidR="00686A83" w:rsidRPr="00AB6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421337" w:rsidRPr="00686A83" w:rsidRDefault="00421337" w:rsidP="00686A83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6A83" w:rsidRPr="00686A83" w:rsidRDefault="00686A83" w:rsidP="00686A83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Agilent</w:t>
      </w:r>
      <w:proofErr w:type="spellEnd"/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4200 </w:t>
      </w:r>
      <w:proofErr w:type="spellStart"/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TapeStation</w:t>
      </w:r>
      <w:proofErr w:type="spellEnd"/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System</w:t>
      </w:r>
      <w:proofErr w:type="spellEnd"/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obsah dodávky</w:t>
      </w:r>
    </w:p>
    <w:p w:rsidR="00686A83" w:rsidRPr="00686A83" w:rsidRDefault="00686A83" w:rsidP="00686A83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přístroj 4200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TapeStation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>vortex</w:t>
      </w:r>
      <w:proofErr w:type="spellEnd"/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notebook s předinstalovaným 4200 </w:t>
      </w:r>
      <w:proofErr w:type="spellStart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TapeStation</w:t>
      </w:r>
      <w:proofErr w:type="spellEnd"/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softwarem</w:t>
      </w:r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(řídící software a </w:t>
      </w:r>
      <w:r w:rsidR="00EB43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+ </w:t>
      </w:r>
      <w:r w:rsidR="005440E5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dat)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973A02" w:rsidRPr="00973A0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dedikovaný</w:t>
      </w:r>
      <w:proofErr w:type="spellEnd"/>
      <w:r w:rsidR="00973A02" w:rsidRPr="00973A0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IKA vortex</w:t>
      </w:r>
      <w:r w:rsidR="00973A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Pr="008942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spotřební materiál </w:t>
      </w:r>
      <w:r w:rsidR="00894269" w:rsidRPr="008942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(včetně </w:t>
      </w:r>
      <w:proofErr w:type="spellStart"/>
      <w:r w:rsidR="00894269" w:rsidRPr="00894269">
        <w:rPr>
          <w:rFonts w:ascii="Times New Roman" w:eastAsia="Times New Roman" w:hAnsi="Times New Roman" w:cs="Times New Roman"/>
          <w:sz w:val="24"/>
          <w:szCs w:val="24"/>
          <w:lang w:eastAsia="cs-CZ"/>
        </w:rPr>
        <w:t>ScreenTape</w:t>
      </w:r>
      <w:proofErr w:type="spellEnd"/>
      <w:r w:rsidR="008942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potřebné pro uvedení do provozu</w:t>
      </w:r>
      <w:r w:rsidRPr="00894269">
        <w:rPr>
          <w:rFonts w:ascii="Times New Roman" w:eastAsia="Times New Roman" w:hAnsi="Times New Roman" w:cs="Times New Roman"/>
          <w:sz w:val="24"/>
          <w:szCs w:val="24"/>
          <w:lang w:eastAsia="cs-CZ"/>
        </w:rPr>
        <w:t>) a uživatelský manuál.</w:t>
      </w:r>
    </w:p>
    <w:p w:rsidR="00686A83" w:rsidRPr="00686A83" w:rsidRDefault="00686A83" w:rsidP="00686A83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Objednací číslo</w:t>
      </w:r>
    </w:p>
    <w:p w:rsidR="00686A83" w:rsidRPr="00686A83" w:rsidRDefault="00686A83" w:rsidP="00686A83">
      <w:pPr>
        <w:numPr>
          <w:ilvl w:val="0"/>
          <w:numId w:val="2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G2991AA</w:t>
      </w:r>
    </w:p>
    <w:p w:rsidR="00686A83" w:rsidRPr="00686A83" w:rsidRDefault="00686A83" w:rsidP="000A4332">
      <w:pPr>
        <w:tabs>
          <w:tab w:val="clear" w:pos="170"/>
          <w:tab w:val="clear" w:pos="340"/>
          <w:tab w:val="clear" w:pos="510"/>
          <w:tab w:val="clear" w:pos="680"/>
        </w:tabs>
        <w:spacing w:before="120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Technické specifikace</w:t>
      </w:r>
    </w:p>
    <w:p w:rsidR="00686A83" w:rsidRPr="00686A83" w:rsidRDefault="00686A83" w:rsidP="00686A83">
      <w:pPr>
        <w:numPr>
          <w:ilvl w:val="0"/>
          <w:numId w:val="3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hmotnost 25,5 kg</w:t>
      </w:r>
    </w:p>
    <w:p w:rsidR="00686A83" w:rsidRPr="00686A83" w:rsidRDefault="00686A83" w:rsidP="00686A83">
      <w:pPr>
        <w:numPr>
          <w:ilvl w:val="0"/>
          <w:numId w:val="3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rozměry (š x h x v) 423 x 510 x 445 mm</w:t>
      </w:r>
    </w:p>
    <w:p w:rsidR="00686A83" w:rsidRPr="00686A83" w:rsidRDefault="00686A83" w:rsidP="00686A83">
      <w:pPr>
        <w:numPr>
          <w:ilvl w:val="0"/>
          <w:numId w:val="3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napětí 100-240 V AC</w:t>
      </w:r>
    </w:p>
    <w:p w:rsidR="00686A83" w:rsidRPr="00686A83" w:rsidRDefault="00686A83" w:rsidP="00686A83">
      <w:pPr>
        <w:numPr>
          <w:ilvl w:val="0"/>
          <w:numId w:val="3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frekvence 50-60 Hz</w:t>
      </w:r>
    </w:p>
    <w:p w:rsidR="0037110B" w:rsidRDefault="00686A83" w:rsidP="0037110B">
      <w:pPr>
        <w:numPr>
          <w:ilvl w:val="0"/>
          <w:numId w:val="3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 50 VA</w:t>
      </w:r>
    </w:p>
    <w:p w:rsidR="00CA0639" w:rsidRPr="0037110B" w:rsidRDefault="00616580" w:rsidP="00CA0639">
      <w:pPr>
        <w:numPr>
          <w:ilvl w:val="0"/>
          <w:numId w:val="3"/>
        </w:num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prostředí</w:t>
      </w:r>
      <w:r w:rsidR="00CA0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10-40</w:t>
      </w:r>
      <w:r w:rsidR="00CA0639" w:rsidRPr="00CA0639">
        <w:t xml:space="preserve"> </w:t>
      </w:r>
      <w:r w:rsidR="00CA0639" w:rsidRPr="00CA0639">
        <w:rPr>
          <w:rFonts w:ascii="Times New Roman" w:eastAsia="Times New Roman" w:hAnsi="Times New Roman" w:cs="Times New Roman"/>
          <w:sz w:val="24"/>
          <w:szCs w:val="24"/>
          <w:lang w:eastAsia="cs-CZ"/>
        </w:rPr>
        <w:t>°C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vhkost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vzduchu 15-80% (nekondenzující)</w:t>
      </w:r>
    </w:p>
    <w:p w:rsidR="00686A83" w:rsidRPr="00686A83" w:rsidRDefault="00686A83" w:rsidP="0037110B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informace</w:t>
      </w:r>
    </w:p>
    <w:p w:rsidR="00AB6770" w:rsidRDefault="00686A83" w:rsidP="00686A83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technické informace naleznete na stránkách </w:t>
      </w:r>
      <w:hyperlink r:id="rId10" w:tgtFrame="_blank" w:tooltip="4200 TapeStation" w:history="1">
        <w:proofErr w:type="spellStart"/>
        <w:r w:rsidRPr="00686A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Agilent</w:t>
        </w:r>
        <w:proofErr w:type="spellEnd"/>
        <w:r w:rsidRPr="00686A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Technologies</w:t>
        </w:r>
      </w:hyperlink>
      <w:r w:rsidRPr="00686A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686A83" w:rsidRPr="00D06DD7" w:rsidRDefault="00686A83" w:rsidP="00D06DD7">
      <w:pPr>
        <w:tabs>
          <w:tab w:val="clear" w:pos="170"/>
          <w:tab w:val="clear" w:pos="340"/>
          <w:tab w:val="clear" w:pos="510"/>
          <w:tab w:val="clear" w:pos="68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686A8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86A8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Pouze pro výzkumné účely. Není určeno pro diagnostiku.</w:t>
      </w:r>
    </w:p>
    <w:sectPr w:rsidR="00686A83" w:rsidRPr="00D06DD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9EF" w:rsidRDefault="00FA39EF" w:rsidP="00FA39EF">
      <w:r>
        <w:separator/>
      </w:r>
    </w:p>
  </w:endnote>
  <w:endnote w:type="continuationSeparator" w:id="0">
    <w:p w:rsidR="00FA39EF" w:rsidRDefault="00FA39EF" w:rsidP="00FA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9EF" w:rsidRDefault="00FA39EF" w:rsidP="00FA39EF">
      <w:r>
        <w:separator/>
      </w:r>
    </w:p>
  </w:footnote>
  <w:footnote w:type="continuationSeparator" w:id="0">
    <w:p w:rsidR="00FA39EF" w:rsidRDefault="00FA39EF" w:rsidP="00FA3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9EF" w:rsidRDefault="00FA39EF">
    <w:pPr>
      <w:pStyle w:val="Zhlav"/>
    </w:pPr>
    <w:r>
      <w:tab/>
    </w:r>
    <w:r>
      <w:tab/>
    </w:r>
    <w:r>
      <w:tab/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56338"/>
    <w:multiLevelType w:val="multilevel"/>
    <w:tmpl w:val="2C1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935AA"/>
    <w:multiLevelType w:val="multilevel"/>
    <w:tmpl w:val="EF28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67A60"/>
    <w:multiLevelType w:val="multilevel"/>
    <w:tmpl w:val="329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83"/>
    <w:rsid w:val="000A4332"/>
    <w:rsid w:val="0021219A"/>
    <w:rsid w:val="00241F3E"/>
    <w:rsid w:val="0037110B"/>
    <w:rsid w:val="003D5257"/>
    <w:rsid w:val="00421337"/>
    <w:rsid w:val="0047535B"/>
    <w:rsid w:val="004803B9"/>
    <w:rsid w:val="005440E5"/>
    <w:rsid w:val="005572B5"/>
    <w:rsid w:val="005627AC"/>
    <w:rsid w:val="00594960"/>
    <w:rsid w:val="005A48FC"/>
    <w:rsid w:val="00616580"/>
    <w:rsid w:val="00686A83"/>
    <w:rsid w:val="006C2305"/>
    <w:rsid w:val="00894269"/>
    <w:rsid w:val="00973A02"/>
    <w:rsid w:val="00AB6770"/>
    <w:rsid w:val="00CA0639"/>
    <w:rsid w:val="00D06DD7"/>
    <w:rsid w:val="00E20739"/>
    <w:rsid w:val="00EB43F9"/>
    <w:rsid w:val="00F011A8"/>
    <w:rsid w:val="00FA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D0A7E-5237-4A5D-A32F-FD7B828A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3B9"/>
    <w:pPr>
      <w:tabs>
        <w:tab w:val="left" w:pos="170"/>
        <w:tab w:val="left" w:pos="340"/>
        <w:tab w:val="left" w:pos="510"/>
        <w:tab w:val="left" w:pos="680"/>
      </w:tabs>
    </w:pPr>
  </w:style>
  <w:style w:type="paragraph" w:styleId="Nadpis1">
    <w:name w:val="heading 1"/>
    <w:basedOn w:val="Normln"/>
    <w:next w:val="Normln"/>
    <w:link w:val="Nadpis1Char"/>
    <w:uiPriority w:val="9"/>
    <w:qFormat/>
    <w:rsid w:val="003D5257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2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2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2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2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2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2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25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2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25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25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25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25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25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25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25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5257"/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3D5257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D525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525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525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3D5257"/>
    <w:rPr>
      <w:b/>
      <w:bCs/>
    </w:rPr>
  </w:style>
  <w:style w:type="character" w:styleId="Zdraznn">
    <w:name w:val="Emphasis"/>
    <w:basedOn w:val="Standardnpsmoodstavce"/>
    <w:uiPriority w:val="20"/>
    <w:qFormat/>
    <w:rsid w:val="003D5257"/>
    <w:rPr>
      <w:i/>
      <w:iCs/>
    </w:rPr>
  </w:style>
  <w:style w:type="paragraph" w:styleId="Bezmezer">
    <w:name w:val="No Spacing"/>
    <w:uiPriority w:val="1"/>
    <w:qFormat/>
    <w:rsid w:val="003D5257"/>
  </w:style>
  <w:style w:type="paragraph" w:styleId="Citt">
    <w:name w:val="Quote"/>
    <w:basedOn w:val="Normln"/>
    <w:next w:val="Normln"/>
    <w:link w:val="CittChar"/>
    <w:uiPriority w:val="29"/>
    <w:qFormat/>
    <w:rsid w:val="003D525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D5257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257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25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3D525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D525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525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3D5257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3D5257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5257"/>
    <w:pPr>
      <w:outlineLvl w:val="9"/>
    </w:pPr>
  </w:style>
  <w:style w:type="paragraph" w:customStyle="1" w:styleId="hpst-text1">
    <w:name w:val="hpst-text1"/>
    <w:basedOn w:val="Normln"/>
    <w:rsid w:val="00686A83"/>
    <w:pPr>
      <w:tabs>
        <w:tab w:val="clear" w:pos="170"/>
        <w:tab w:val="clear" w:pos="340"/>
        <w:tab w:val="clear" w:pos="510"/>
        <w:tab w:val="clear" w:pos="68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6A83"/>
    <w:pPr>
      <w:tabs>
        <w:tab w:val="clear" w:pos="170"/>
        <w:tab w:val="clear" w:pos="340"/>
        <w:tab w:val="clear" w:pos="510"/>
        <w:tab w:val="clear" w:pos="68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pst-text11">
    <w:name w:val="hpst-text11"/>
    <w:basedOn w:val="Standardnpsmoodstavce"/>
    <w:rsid w:val="00686A83"/>
  </w:style>
  <w:style w:type="character" w:styleId="Hypertextovodkaz">
    <w:name w:val="Hyperlink"/>
    <w:basedOn w:val="Standardnpsmoodstavce"/>
    <w:uiPriority w:val="99"/>
    <w:semiHidden/>
    <w:unhideWhenUsed/>
    <w:rsid w:val="00686A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43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39EF"/>
    <w:pPr>
      <w:tabs>
        <w:tab w:val="clear" w:pos="170"/>
        <w:tab w:val="clear" w:pos="340"/>
        <w:tab w:val="clear" w:pos="510"/>
        <w:tab w:val="clear" w:pos="68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39EF"/>
  </w:style>
  <w:style w:type="paragraph" w:styleId="Zpat">
    <w:name w:val="footer"/>
    <w:basedOn w:val="Normln"/>
    <w:link w:val="ZpatChar"/>
    <w:uiPriority w:val="99"/>
    <w:unhideWhenUsed/>
    <w:rsid w:val="00FA39EF"/>
    <w:pPr>
      <w:tabs>
        <w:tab w:val="clear" w:pos="170"/>
        <w:tab w:val="clear" w:pos="340"/>
        <w:tab w:val="clear" w:pos="510"/>
        <w:tab w:val="clear" w:pos="68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enomics.agilent.com/en/TapeStation-System/4200-TapeStation-Instrument/?cid=AG-PT-181&amp;tabId=prod2420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nomics.agilent.com/campaign.jsp;jsessionid=gFux_KssqaeFoKEklwCu1r8e6CplbOs6w5fruymX_waFuXTQKhLN%21-721394848?id=740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3247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Merta</dc:creator>
  <cp:keywords/>
  <dc:description/>
  <cp:lastModifiedBy>Iveta Stachová</cp:lastModifiedBy>
  <cp:revision>2</cp:revision>
  <dcterms:created xsi:type="dcterms:W3CDTF">2018-05-30T08:13:00Z</dcterms:created>
  <dcterms:modified xsi:type="dcterms:W3CDTF">2018-05-30T08:13:00Z</dcterms:modified>
</cp:coreProperties>
</file>