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A3" w:rsidRDefault="008A7FA3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</w:p>
    <w:p w:rsidR="008A7FA3" w:rsidRDefault="008A7FA3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  <w:r w:rsidRPr="007F0F99">
        <w:rPr>
          <w:rFonts w:ascii="Calibri" w:hAnsi="Calibri"/>
          <w:b/>
          <w:color w:val="000000"/>
          <w:sz w:val="32"/>
        </w:rPr>
        <w:t>Kupní smlouva</w:t>
      </w:r>
    </w:p>
    <w:p w:rsidR="008A7FA3" w:rsidRPr="007F0F99" w:rsidRDefault="008A7FA3" w:rsidP="008A7FA3">
      <w:pPr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jc w:val="center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kterou uzavírají ve smyslu ustanovení § 2079 a násl. zákona č. 89/2012 Sb., občanského zákoníku, níže uvedeného dne, měsíce a roku tyto smluvní strany:</w:t>
      </w:r>
    </w:p>
    <w:p w:rsidR="008A7FA3" w:rsidRPr="007F0F99" w:rsidRDefault="008A7FA3" w:rsidP="008A7FA3">
      <w:pPr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rPr>
          <w:rFonts w:ascii="Calibri" w:hAnsi="Calibri"/>
          <w:color w:val="000000"/>
          <w:sz w:val="22"/>
        </w:rPr>
      </w:pPr>
    </w:p>
    <w:p w:rsidR="008A7FA3" w:rsidRPr="005E1C2C" w:rsidRDefault="008A7FA3" w:rsidP="008A7FA3">
      <w:pPr>
        <w:numPr>
          <w:ilvl w:val="0"/>
          <w:numId w:val="9"/>
        </w:numPr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</w:t>
      </w:r>
      <w:r w:rsidR="00E50158">
        <w:rPr>
          <w:rFonts w:ascii="Calibri" w:hAnsi="Calibri"/>
          <w:b/>
          <w:color w:val="000000"/>
          <w:sz w:val="20"/>
        </w:rPr>
        <w:t>Centrum sociálních služeb Jindřichův Hradec</w:t>
      </w:r>
    </w:p>
    <w:p w:rsidR="008A7FA3" w:rsidRPr="005E1C2C" w:rsidRDefault="00E50158" w:rsidP="008A7FA3">
      <w:pPr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Česká 1175</w:t>
      </w:r>
    </w:p>
    <w:p w:rsidR="008A7FA3" w:rsidRPr="005E1C2C" w:rsidRDefault="00E50158" w:rsidP="008A7FA3">
      <w:pPr>
        <w:ind w:firstLine="708"/>
        <w:rPr>
          <w:rFonts w:ascii="Calibri" w:hAnsi="Calibri"/>
          <w:b/>
          <w:sz w:val="20"/>
        </w:rPr>
      </w:pPr>
      <w:proofErr w:type="gramStart"/>
      <w:r>
        <w:rPr>
          <w:rFonts w:ascii="Calibri" w:hAnsi="Calibri"/>
          <w:b/>
          <w:sz w:val="20"/>
        </w:rPr>
        <w:t>377 01</w:t>
      </w:r>
      <w:r w:rsidR="008A7FA3" w:rsidRPr="005E1C2C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>Jindřichův</w:t>
      </w:r>
      <w:proofErr w:type="gramEnd"/>
      <w:r>
        <w:rPr>
          <w:rFonts w:ascii="Calibri" w:hAnsi="Calibri"/>
          <w:b/>
          <w:sz w:val="20"/>
        </w:rPr>
        <w:t xml:space="preserve"> Hradec</w:t>
      </w:r>
      <w:r w:rsidR="008A7FA3" w:rsidRPr="005E1C2C">
        <w:rPr>
          <w:rFonts w:ascii="Calibri" w:hAnsi="Calibri"/>
          <w:b/>
          <w:sz w:val="20"/>
        </w:rPr>
        <w:tab/>
      </w:r>
      <w:r w:rsidR="00EE5919">
        <w:rPr>
          <w:rFonts w:ascii="Calibri" w:hAnsi="Calibri"/>
          <w:b/>
          <w:sz w:val="20"/>
        </w:rPr>
        <w:t xml:space="preserve"> II</w:t>
      </w:r>
    </w:p>
    <w:p w:rsidR="00EE5919" w:rsidRDefault="00EE5919" w:rsidP="008A7FA3">
      <w:pPr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Zapsáno v OR u KS v Č. Budějovicích, oddíl </w:t>
      </w:r>
      <w:proofErr w:type="spellStart"/>
      <w:r>
        <w:rPr>
          <w:rFonts w:ascii="Calibri" w:hAnsi="Calibri"/>
          <w:sz w:val="20"/>
        </w:rPr>
        <w:t>Pr</w:t>
      </w:r>
      <w:proofErr w:type="spellEnd"/>
      <w:r>
        <w:rPr>
          <w:rFonts w:ascii="Calibri" w:hAnsi="Calibri"/>
          <w:sz w:val="20"/>
        </w:rPr>
        <w:t>, vložka č. 385</w:t>
      </w:r>
    </w:p>
    <w:p w:rsidR="008A7FA3" w:rsidRPr="005E1C2C" w:rsidRDefault="00E50158" w:rsidP="008A7FA3">
      <w:pPr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IČ:</w:t>
      </w:r>
      <w:r>
        <w:rPr>
          <w:rFonts w:ascii="Calibri" w:hAnsi="Calibri"/>
          <w:sz w:val="20"/>
        </w:rPr>
        <w:tab/>
        <w:t>75011191</w:t>
      </w:r>
      <w:r w:rsidR="008A7FA3" w:rsidRPr="005E1C2C">
        <w:rPr>
          <w:rFonts w:ascii="Calibri" w:hAnsi="Calibri"/>
          <w:sz w:val="20"/>
        </w:rPr>
        <w:tab/>
        <w:t xml:space="preserve">             </w:t>
      </w:r>
    </w:p>
    <w:p w:rsidR="008A7FA3" w:rsidRPr="005E1C2C" w:rsidRDefault="002A100C" w:rsidP="008A7FA3">
      <w:pPr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DIČ: </w:t>
      </w:r>
      <w:r>
        <w:rPr>
          <w:rFonts w:ascii="Calibri" w:hAnsi="Calibri"/>
          <w:sz w:val="20"/>
        </w:rPr>
        <w:tab/>
      </w:r>
      <w:r w:rsidR="00EE5919">
        <w:rPr>
          <w:rFonts w:ascii="Calibri" w:hAnsi="Calibri"/>
          <w:sz w:val="20"/>
        </w:rPr>
        <w:t>CZ75011191</w:t>
      </w:r>
      <w:r w:rsidR="008A7FA3" w:rsidRPr="005E1C2C">
        <w:rPr>
          <w:rFonts w:ascii="Calibri" w:hAnsi="Calibri"/>
          <w:sz w:val="20"/>
        </w:rPr>
        <w:t xml:space="preserve">                       </w:t>
      </w:r>
    </w:p>
    <w:p w:rsidR="008A7FA3" w:rsidRPr="005E1C2C" w:rsidRDefault="00E50158" w:rsidP="008A7FA3">
      <w:pPr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zastoupena: Ing. Jiřím Blížilem</w:t>
      </w:r>
      <w:r w:rsidR="002A100C">
        <w:rPr>
          <w:rFonts w:ascii="Calibri" w:hAnsi="Calibri"/>
          <w:sz w:val="20"/>
        </w:rPr>
        <w:t xml:space="preserve">, </w:t>
      </w:r>
      <w:r w:rsidR="008A7FA3" w:rsidRPr="005E1C2C">
        <w:rPr>
          <w:rFonts w:ascii="Calibri" w:hAnsi="Calibri"/>
          <w:sz w:val="20"/>
        </w:rPr>
        <w:t>ředitel</w:t>
      </w:r>
      <w:r w:rsidR="008A7FA3">
        <w:rPr>
          <w:rFonts w:ascii="Calibri" w:hAnsi="Calibri"/>
          <w:sz w:val="20"/>
        </w:rPr>
        <w:t>em</w:t>
      </w:r>
      <w:r>
        <w:rPr>
          <w:rFonts w:ascii="Calibri" w:hAnsi="Calibri"/>
          <w:sz w:val="20"/>
        </w:rPr>
        <w:t xml:space="preserve"> </w:t>
      </w:r>
    </w:p>
    <w:p w:rsidR="008A7FA3" w:rsidRPr="007F0F99" w:rsidRDefault="008A7FA3" w:rsidP="008A7FA3">
      <w:pPr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ind w:firstLine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(dále jen kupující)</w:t>
      </w:r>
    </w:p>
    <w:p w:rsidR="008A7FA3" w:rsidRPr="007F0F99" w:rsidRDefault="008A7FA3" w:rsidP="008A7FA3">
      <w:pPr>
        <w:rPr>
          <w:rFonts w:ascii="Calibri" w:hAnsi="Calibri"/>
          <w:b/>
          <w:color w:val="000000"/>
          <w:sz w:val="20"/>
          <w:u w:val="single"/>
        </w:rPr>
      </w:pPr>
    </w:p>
    <w:p w:rsidR="008A7FA3" w:rsidRPr="007F0F99" w:rsidRDefault="008A7FA3" w:rsidP="008A7FA3">
      <w:pPr>
        <w:ind w:firstLine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a</w:t>
      </w:r>
    </w:p>
    <w:p w:rsidR="008A7FA3" w:rsidRPr="007F0F99" w:rsidRDefault="008A7FA3" w:rsidP="008A7FA3">
      <w:pPr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 xml:space="preserve">2. </w:t>
      </w:r>
      <w:r w:rsidRPr="007F0F99">
        <w:rPr>
          <w:rFonts w:ascii="Calibri" w:hAnsi="Calibri"/>
          <w:b/>
          <w:color w:val="000000"/>
          <w:sz w:val="20"/>
        </w:rPr>
        <w:tab/>
      </w:r>
      <w:proofErr w:type="spellStart"/>
      <w:r w:rsidRPr="007F0F99">
        <w:rPr>
          <w:rFonts w:ascii="Calibri" w:hAnsi="Calibri"/>
          <w:b/>
          <w:color w:val="000000"/>
          <w:sz w:val="20"/>
        </w:rPr>
        <w:t>Alliance</w:t>
      </w:r>
      <w:proofErr w:type="spellEnd"/>
      <w:r w:rsidRPr="007F0F99">
        <w:rPr>
          <w:rFonts w:ascii="Calibri" w:hAnsi="Calibri"/>
          <w:b/>
          <w:color w:val="000000"/>
          <w:sz w:val="20"/>
        </w:rPr>
        <w:t xml:space="preserve"> </w:t>
      </w:r>
      <w:proofErr w:type="spellStart"/>
      <w:r w:rsidRPr="007F0F99">
        <w:rPr>
          <w:rFonts w:ascii="Calibri" w:hAnsi="Calibri"/>
          <w:b/>
          <w:color w:val="000000"/>
          <w:sz w:val="20"/>
        </w:rPr>
        <w:t>Laundry</w:t>
      </w:r>
      <w:proofErr w:type="spellEnd"/>
      <w:r w:rsidRPr="007F0F99">
        <w:rPr>
          <w:rFonts w:ascii="Calibri" w:hAnsi="Calibri"/>
          <w:b/>
          <w:color w:val="000000"/>
          <w:sz w:val="20"/>
        </w:rPr>
        <w:t xml:space="preserve"> CE s.r.o.</w:t>
      </w:r>
    </w:p>
    <w:p w:rsidR="008A7FA3" w:rsidRPr="007F0F99" w:rsidRDefault="008A7FA3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Místecká 1116</w:t>
      </w:r>
    </w:p>
    <w:p w:rsidR="008A7FA3" w:rsidRPr="007F0F99" w:rsidRDefault="008A7FA3" w:rsidP="008A7FA3">
      <w:pPr>
        <w:ind w:left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742 58 Příbor</w:t>
      </w:r>
    </w:p>
    <w:p w:rsidR="008A7FA3" w:rsidRPr="007F0F99" w:rsidRDefault="008A7FA3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Zapsána v obchodním rejstříku u KS v Ostravě oddíl C, položka 54389</w:t>
      </w:r>
    </w:p>
    <w:p w:rsidR="008A7FA3" w:rsidRPr="007F0F99" w:rsidRDefault="008A7FA3" w:rsidP="008A7FA3">
      <w:pPr>
        <w:ind w:left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IČ</w:t>
      </w:r>
      <w:r w:rsidRPr="007F0F99">
        <w:rPr>
          <w:rFonts w:ascii="Calibri" w:hAnsi="Calibri"/>
          <w:color w:val="000000"/>
          <w:sz w:val="20"/>
        </w:rPr>
        <w:t>:</w:t>
      </w:r>
      <w:r w:rsidRPr="007F0F99">
        <w:rPr>
          <w:rFonts w:ascii="Calibri" w:hAnsi="Calibri"/>
          <w:color w:val="000000"/>
          <w:sz w:val="20"/>
        </w:rPr>
        <w:tab/>
        <w:t>29451914</w:t>
      </w:r>
    </w:p>
    <w:p w:rsidR="008A7FA3" w:rsidRPr="007F0F99" w:rsidRDefault="008A7FA3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DIČ:</w:t>
      </w:r>
      <w:r w:rsidRPr="007F0F99">
        <w:rPr>
          <w:rFonts w:ascii="Calibri" w:hAnsi="Calibri"/>
          <w:color w:val="000000"/>
          <w:sz w:val="20"/>
        </w:rPr>
        <w:tab/>
        <w:t>CZ 29451914</w:t>
      </w:r>
    </w:p>
    <w:p w:rsidR="008A7FA3" w:rsidRPr="007F0F99" w:rsidRDefault="008A7FA3" w:rsidP="008A7FA3">
      <w:pPr>
        <w:ind w:firstLine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zastoupena</w:t>
      </w:r>
      <w:r w:rsidRPr="007F0F99">
        <w:rPr>
          <w:rFonts w:ascii="Calibri" w:hAnsi="Calibri"/>
          <w:color w:val="000000"/>
          <w:sz w:val="20"/>
        </w:rPr>
        <w:t>: Vojtěch</w:t>
      </w:r>
      <w:r>
        <w:rPr>
          <w:rFonts w:ascii="Calibri" w:hAnsi="Calibri"/>
          <w:color w:val="000000"/>
          <w:sz w:val="20"/>
        </w:rPr>
        <w:t xml:space="preserve">em </w:t>
      </w:r>
      <w:proofErr w:type="spellStart"/>
      <w:r>
        <w:rPr>
          <w:rFonts w:ascii="Calibri" w:hAnsi="Calibri"/>
          <w:color w:val="000000"/>
          <w:sz w:val="20"/>
        </w:rPr>
        <w:t>Vánským</w:t>
      </w:r>
      <w:proofErr w:type="spellEnd"/>
      <w:r>
        <w:rPr>
          <w:rFonts w:ascii="Calibri" w:hAnsi="Calibri"/>
          <w:color w:val="000000"/>
          <w:sz w:val="20"/>
        </w:rPr>
        <w:t>, obchodním manažerem</w:t>
      </w:r>
    </w:p>
    <w:p w:rsidR="008A7FA3" w:rsidRPr="007F0F99" w:rsidRDefault="008A7FA3" w:rsidP="008A7FA3">
      <w:pPr>
        <w:rPr>
          <w:rFonts w:ascii="Calibri" w:hAnsi="Calibri"/>
          <w:b/>
          <w:color w:val="000000"/>
          <w:sz w:val="20"/>
        </w:rPr>
      </w:pPr>
    </w:p>
    <w:p w:rsidR="008A7FA3" w:rsidRPr="007F0F99" w:rsidRDefault="00EE5919" w:rsidP="008A7FA3">
      <w:pPr>
        <w:ind w:firstLine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 xml:space="preserve"> </w:t>
      </w:r>
      <w:r w:rsidR="008A7FA3" w:rsidRPr="007F0F99">
        <w:rPr>
          <w:rFonts w:ascii="Calibri" w:hAnsi="Calibri"/>
          <w:b/>
          <w:color w:val="000000"/>
          <w:sz w:val="20"/>
        </w:rPr>
        <w:t>(dále jen prodávající)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Úvodní ustanovení</w:t>
      </w:r>
    </w:p>
    <w:p w:rsidR="008A7FA3" w:rsidRPr="007F0F99" w:rsidRDefault="008A7FA3" w:rsidP="008A7FA3">
      <w:pPr>
        <w:rPr>
          <w:rFonts w:ascii="Calibri" w:hAnsi="Calibri"/>
          <w:color w:val="000000"/>
          <w:sz w:val="22"/>
        </w:rPr>
      </w:pPr>
    </w:p>
    <w:p w:rsidR="008A7FA3" w:rsidRPr="00DD01EC" w:rsidRDefault="008A7FA3" w:rsidP="008A7FA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DD01EC">
        <w:rPr>
          <w:rFonts w:ascii="Calibri" w:hAnsi="Calibri"/>
          <w:color w:val="000000"/>
          <w:sz w:val="20"/>
        </w:rPr>
        <w:t>Prodávající prohlašuje, že je výhradním vlastníkem následujících movitých věcí</w:t>
      </w:r>
      <w:r w:rsidR="002A100C" w:rsidRPr="002A100C">
        <w:rPr>
          <w:rFonts w:ascii="Calibri" w:hAnsi="Calibri"/>
          <w:sz w:val="20"/>
        </w:rPr>
        <w:t xml:space="preserve"> </w:t>
      </w:r>
      <w:r w:rsidR="002A100C" w:rsidRPr="00015C75">
        <w:rPr>
          <w:rFonts w:ascii="Calibri" w:hAnsi="Calibri"/>
          <w:sz w:val="20"/>
        </w:rPr>
        <w:t>blíže specifikovaných v kupujícímu př</w:t>
      </w:r>
      <w:r w:rsidR="00E50158">
        <w:rPr>
          <w:rFonts w:ascii="Calibri" w:hAnsi="Calibri"/>
          <w:sz w:val="20"/>
        </w:rPr>
        <w:t>edložených cenových nabídkách ze dne 14.</w:t>
      </w:r>
      <w:r w:rsidR="00EE5919">
        <w:rPr>
          <w:rFonts w:ascii="Calibri" w:hAnsi="Calibri"/>
          <w:sz w:val="20"/>
        </w:rPr>
        <w:t xml:space="preserve"> </w:t>
      </w:r>
      <w:r w:rsidR="00E50158">
        <w:rPr>
          <w:rFonts w:ascii="Calibri" w:hAnsi="Calibri"/>
          <w:sz w:val="20"/>
        </w:rPr>
        <w:t>05</w:t>
      </w:r>
      <w:r w:rsidR="002A100C">
        <w:rPr>
          <w:rFonts w:ascii="Calibri" w:hAnsi="Calibri"/>
          <w:sz w:val="20"/>
        </w:rPr>
        <w:t>.</w:t>
      </w:r>
      <w:r w:rsidR="00EE5919">
        <w:rPr>
          <w:rFonts w:ascii="Calibri" w:hAnsi="Calibri"/>
          <w:sz w:val="20"/>
        </w:rPr>
        <w:t xml:space="preserve"> </w:t>
      </w:r>
      <w:r w:rsidR="002A100C">
        <w:rPr>
          <w:rFonts w:ascii="Calibri" w:hAnsi="Calibri"/>
          <w:sz w:val="20"/>
        </w:rPr>
        <w:t>2018</w:t>
      </w:r>
      <w:r w:rsidR="002A100C" w:rsidRPr="00015C75">
        <w:rPr>
          <w:rFonts w:ascii="Calibri" w:hAnsi="Calibri"/>
          <w:sz w:val="20"/>
        </w:rPr>
        <w:t>.</w:t>
      </w:r>
    </w:p>
    <w:p w:rsidR="008A7FA3" w:rsidRPr="00DD01EC" w:rsidRDefault="008A7FA3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Předmět smlouvy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2"/>
        </w:rPr>
      </w:pPr>
    </w:p>
    <w:p w:rsidR="008A7FA3" w:rsidRDefault="008A7FA3" w:rsidP="008A7FA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Prodávající se zavazuje prodat kupujícímu movité věci specifikované v čl.</w:t>
      </w:r>
      <w:r w:rsidR="00EE5919">
        <w:rPr>
          <w:rFonts w:ascii="Calibri" w:hAnsi="Calibri"/>
          <w:color w:val="000000"/>
          <w:sz w:val="20"/>
        </w:rPr>
        <w:t xml:space="preserve"> </w:t>
      </w:r>
      <w:r w:rsidRPr="007F0F99">
        <w:rPr>
          <w:rFonts w:ascii="Calibri" w:hAnsi="Calibri"/>
          <w:color w:val="000000"/>
          <w:sz w:val="20"/>
        </w:rPr>
        <w:t xml:space="preserve">I. této smlouvy (dále jen „předmět prodeje“), tj. odevzdat kupujícímu předmět prodeje a převést na kupujícího vlastnické právo k předmětu prodeje. 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Kupující se zavazuje předmět prodeje od prodávajícího převzít a zaplatit mu sjednanou kupní cenu dle čl. IV. této smlouvy. </w:t>
      </w:r>
    </w:p>
    <w:p w:rsidR="008A7FA3" w:rsidRDefault="008A7FA3" w:rsidP="008A7FA3">
      <w:pPr>
        <w:pStyle w:val="Odstavecseseznamem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pStyle w:val="Odstavecseseznamem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lastRenderedPageBreak/>
        <w:t>Článek III.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Místo a termín plnění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rPr>
          <w:rFonts w:ascii="Calibri" w:hAnsi="Calibri"/>
          <w:color w:val="000000"/>
          <w:sz w:val="20"/>
        </w:rPr>
      </w:pPr>
    </w:p>
    <w:p w:rsidR="008A7FA3" w:rsidRPr="005E1C2C" w:rsidRDefault="008A7FA3" w:rsidP="008A7F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</w:rPr>
      </w:pPr>
      <w:r w:rsidRPr="00A139CB">
        <w:rPr>
          <w:rFonts w:ascii="Calibri" w:hAnsi="Calibri"/>
          <w:color w:val="000000"/>
          <w:sz w:val="20"/>
        </w:rPr>
        <w:t xml:space="preserve">Předmět prodeje prodávající kupujícímu dodá a umístí na </w:t>
      </w:r>
      <w:r w:rsidR="00E50158">
        <w:rPr>
          <w:rFonts w:ascii="Calibri" w:hAnsi="Calibri"/>
          <w:color w:val="000000"/>
          <w:sz w:val="20"/>
        </w:rPr>
        <w:t>následujících adresách:</w:t>
      </w:r>
    </w:p>
    <w:p w:rsidR="008A7FA3" w:rsidRPr="00E50158" w:rsidRDefault="00E50158" w:rsidP="008A7FA3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0"/>
        </w:rPr>
      </w:pPr>
      <w:r w:rsidRPr="00E50158">
        <w:rPr>
          <w:rFonts w:ascii="Calibri" w:hAnsi="Calibri"/>
          <w:b/>
          <w:color w:val="000000"/>
          <w:sz w:val="20"/>
        </w:rPr>
        <w:t>SS Česká</w:t>
      </w:r>
      <w:r w:rsidR="00EE5919">
        <w:rPr>
          <w:rFonts w:ascii="Calibri" w:hAnsi="Calibri"/>
          <w:b/>
          <w:color w:val="000000"/>
          <w:sz w:val="20"/>
        </w:rPr>
        <w:t>, Česká 1175, J. Hradec</w:t>
      </w:r>
      <w:r w:rsidRPr="00E50158">
        <w:rPr>
          <w:rFonts w:ascii="Calibri" w:hAnsi="Calibri"/>
          <w:b/>
          <w:color w:val="000000"/>
          <w:sz w:val="20"/>
        </w:rPr>
        <w:t xml:space="preserve"> </w:t>
      </w:r>
      <w:r w:rsidR="00EE5919">
        <w:rPr>
          <w:rFonts w:ascii="Calibri" w:hAnsi="Calibri"/>
          <w:b/>
          <w:color w:val="000000"/>
          <w:sz w:val="20"/>
        </w:rPr>
        <w:t xml:space="preserve">II </w:t>
      </w:r>
      <w:r w:rsidRPr="00E50158">
        <w:rPr>
          <w:rFonts w:ascii="Calibri" w:hAnsi="Calibri"/>
          <w:b/>
          <w:color w:val="000000"/>
          <w:sz w:val="20"/>
        </w:rPr>
        <w:t>(pračka FX180 XC+/EL)</w:t>
      </w:r>
    </w:p>
    <w:p w:rsidR="00E50158" w:rsidRPr="00E50158" w:rsidRDefault="00E50158" w:rsidP="00E50158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0"/>
        </w:rPr>
      </w:pPr>
      <w:r w:rsidRPr="00E50158">
        <w:rPr>
          <w:rFonts w:ascii="Calibri" w:hAnsi="Calibri"/>
          <w:b/>
          <w:color w:val="000000"/>
          <w:sz w:val="20"/>
        </w:rPr>
        <w:t>DS České Velenice</w:t>
      </w:r>
      <w:r w:rsidR="00EE5919">
        <w:rPr>
          <w:rFonts w:ascii="Calibri" w:hAnsi="Calibri"/>
          <w:b/>
          <w:color w:val="000000"/>
          <w:sz w:val="20"/>
        </w:rPr>
        <w:t>, Vitorazská 54 a55, Č. Velenice</w:t>
      </w:r>
      <w:r w:rsidRPr="00E50158">
        <w:rPr>
          <w:rFonts w:ascii="Calibri" w:hAnsi="Calibri"/>
          <w:b/>
          <w:color w:val="000000"/>
          <w:sz w:val="20"/>
        </w:rPr>
        <w:t xml:space="preserve"> (pračka FX135 XC+/EL)</w:t>
      </w:r>
    </w:p>
    <w:p w:rsidR="00E50158" w:rsidRPr="00E50158" w:rsidRDefault="00E50158" w:rsidP="00E50158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0"/>
        </w:rPr>
      </w:pPr>
      <w:r w:rsidRPr="00E50158">
        <w:rPr>
          <w:rFonts w:ascii="Calibri" w:hAnsi="Calibri"/>
          <w:b/>
          <w:color w:val="000000"/>
          <w:sz w:val="20"/>
        </w:rPr>
        <w:t>DS Třeboň</w:t>
      </w:r>
      <w:r w:rsidR="00EE5919">
        <w:rPr>
          <w:rFonts w:ascii="Calibri" w:hAnsi="Calibri"/>
          <w:b/>
          <w:color w:val="000000"/>
          <w:sz w:val="20"/>
        </w:rPr>
        <w:t>,</w:t>
      </w:r>
      <w:r w:rsidRPr="00E50158">
        <w:rPr>
          <w:rFonts w:ascii="Calibri" w:hAnsi="Calibri"/>
          <w:b/>
          <w:color w:val="000000"/>
          <w:sz w:val="20"/>
        </w:rPr>
        <w:t xml:space="preserve"> </w:t>
      </w:r>
      <w:r w:rsidR="00EE5919">
        <w:rPr>
          <w:rFonts w:ascii="Calibri" w:hAnsi="Calibri"/>
          <w:b/>
          <w:color w:val="000000"/>
          <w:sz w:val="20"/>
        </w:rPr>
        <w:t xml:space="preserve">Daskabát 306, Třeboň II </w:t>
      </w:r>
      <w:r w:rsidRPr="00E50158">
        <w:rPr>
          <w:rFonts w:ascii="Calibri" w:hAnsi="Calibri"/>
          <w:b/>
          <w:color w:val="000000"/>
          <w:sz w:val="20"/>
        </w:rPr>
        <w:t>(pračka FX80 XC+/EL)</w:t>
      </w:r>
    </w:p>
    <w:p w:rsidR="00E50158" w:rsidRPr="00A139CB" w:rsidRDefault="00E50158" w:rsidP="008A7FA3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numPr>
          <w:ilvl w:val="0"/>
          <w:numId w:val="10"/>
        </w:numPr>
        <w:tabs>
          <w:tab w:val="left" w:pos="0"/>
          <w:tab w:val="left" w:pos="54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2A100C">
        <w:rPr>
          <w:rFonts w:ascii="Calibri" w:hAnsi="Calibri"/>
          <w:color w:val="000000"/>
          <w:sz w:val="20"/>
        </w:rPr>
        <w:t xml:space="preserve">Kupující zabezpečí před zahájením montáže </w:t>
      </w:r>
      <w:r w:rsidR="00E50158">
        <w:rPr>
          <w:rFonts w:ascii="Calibri" w:hAnsi="Calibri"/>
          <w:color w:val="000000"/>
          <w:sz w:val="20"/>
        </w:rPr>
        <w:t xml:space="preserve">nezbytnou stavební připravenost </w:t>
      </w:r>
      <w:r w:rsidR="00E50158" w:rsidRPr="007F0F99">
        <w:rPr>
          <w:rFonts w:ascii="Calibri" w:hAnsi="Calibri"/>
          <w:color w:val="000000"/>
          <w:sz w:val="20"/>
        </w:rPr>
        <w:t xml:space="preserve">včetně </w:t>
      </w:r>
      <w:r w:rsidR="00E50158">
        <w:rPr>
          <w:rFonts w:ascii="Calibri" w:hAnsi="Calibri"/>
          <w:color w:val="000000"/>
          <w:sz w:val="20"/>
        </w:rPr>
        <w:t xml:space="preserve">přívodu vody, </w:t>
      </w:r>
      <w:r w:rsidR="00E50158" w:rsidRPr="007F0F99">
        <w:rPr>
          <w:rFonts w:ascii="Calibri" w:hAnsi="Calibri"/>
          <w:color w:val="000000"/>
          <w:sz w:val="20"/>
        </w:rPr>
        <w:t>rozvodů el.</w:t>
      </w:r>
      <w:r w:rsidR="00E50158">
        <w:rPr>
          <w:rFonts w:ascii="Calibri" w:hAnsi="Calibri"/>
          <w:color w:val="000000"/>
          <w:sz w:val="20"/>
        </w:rPr>
        <w:t xml:space="preserve"> </w:t>
      </w:r>
      <w:proofErr w:type="gramStart"/>
      <w:r w:rsidR="00E50158" w:rsidRPr="007F0F99">
        <w:rPr>
          <w:rFonts w:ascii="Calibri" w:hAnsi="Calibri"/>
          <w:color w:val="000000"/>
          <w:sz w:val="20"/>
        </w:rPr>
        <w:t>energie</w:t>
      </w:r>
      <w:proofErr w:type="gramEnd"/>
      <w:r w:rsidR="00EE5919">
        <w:rPr>
          <w:rFonts w:ascii="Calibri" w:hAnsi="Calibri"/>
          <w:color w:val="000000"/>
          <w:sz w:val="20"/>
        </w:rPr>
        <w:t>,</w:t>
      </w:r>
      <w:r w:rsidR="00E50158" w:rsidRPr="007F0F99">
        <w:rPr>
          <w:rFonts w:ascii="Calibri" w:hAnsi="Calibri"/>
          <w:color w:val="000000"/>
          <w:sz w:val="20"/>
        </w:rPr>
        <w:t xml:space="preserve"> vypínačů</w:t>
      </w:r>
      <w:r w:rsidR="00E50158">
        <w:rPr>
          <w:rFonts w:ascii="Calibri" w:hAnsi="Calibri"/>
          <w:color w:val="000000"/>
          <w:sz w:val="20"/>
        </w:rPr>
        <w:t>,</w:t>
      </w:r>
      <w:r w:rsidR="00E50158" w:rsidRPr="007F0F99">
        <w:rPr>
          <w:rFonts w:ascii="Calibri" w:hAnsi="Calibri"/>
          <w:color w:val="000000"/>
          <w:sz w:val="20"/>
        </w:rPr>
        <w:t xml:space="preserve"> </w:t>
      </w:r>
      <w:r w:rsidR="00E50158">
        <w:rPr>
          <w:rFonts w:ascii="Calibri" w:hAnsi="Calibri"/>
          <w:color w:val="000000"/>
          <w:sz w:val="20"/>
        </w:rPr>
        <w:t xml:space="preserve">kabelů a </w:t>
      </w:r>
      <w:r w:rsidR="00E50158" w:rsidRPr="007F0F99">
        <w:rPr>
          <w:rFonts w:ascii="Calibri" w:hAnsi="Calibri"/>
          <w:color w:val="000000"/>
          <w:sz w:val="20"/>
        </w:rPr>
        <w:t>vzduchotechniky - vše až ke stroji ( viz. technické podklady PRIMUS ).</w:t>
      </w:r>
    </w:p>
    <w:p w:rsidR="002A100C" w:rsidRDefault="002A100C" w:rsidP="002A100C">
      <w:pPr>
        <w:pStyle w:val="Odstavecseseznamem"/>
        <w:rPr>
          <w:rFonts w:ascii="Calibri" w:hAnsi="Calibri"/>
          <w:color w:val="000000"/>
          <w:sz w:val="20"/>
        </w:rPr>
      </w:pPr>
    </w:p>
    <w:p w:rsidR="008A7FA3" w:rsidRPr="002A100C" w:rsidRDefault="008A7FA3" w:rsidP="008A7F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2A100C">
        <w:rPr>
          <w:rFonts w:ascii="Calibri" w:hAnsi="Calibri"/>
          <w:color w:val="000000"/>
          <w:sz w:val="20"/>
        </w:rPr>
        <w:t>Součástí dodání a odevzdání předmětu prodeje kupujícímu bude jeho doprava k objektu (dopravu a přemístění strojů na konkrétní místo instalace uvnitř objektu zajistí prodávají</w:t>
      </w:r>
      <w:r w:rsidR="002A100C">
        <w:rPr>
          <w:rFonts w:ascii="Calibri" w:hAnsi="Calibri"/>
          <w:color w:val="000000"/>
          <w:sz w:val="20"/>
        </w:rPr>
        <w:t>cí ve spolupráci s kupujícím).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IV.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 xml:space="preserve">Kupní cena a platební podmínky </w:t>
      </w:r>
    </w:p>
    <w:p w:rsidR="008A7FA3" w:rsidRPr="007F0F99" w:rsidRDefault="008A7FA3" w:rsidP="008A7FA3">
      <w:pPr>
        <w:tabs>
          <w:tab w:val="left" w:pos="360"/>
        </w:tabs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8A7FA3" w:rsidRDefault="008A7FA3" w:rsidP="008A7FA3">
      <w:pPr>
        <w:numPr>
          <w:ilvl w:val="0"/>
          <w:numId w:val="6"/>
        </w:num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Kupní cena za předmět prodeje byla účastníky této</w:t>
      </w:r>
      <w:r w:rsidR="005443D0">
        <w:rPr>
          <w:rFonts w:ascii="Calibri" w:hAnsi="Calibri"/>
          <w:color w:val="000000"/>
          <w:sz w:val="20"/>
        </w:rPr>
        <w:t xml:space="preserve"> smlouvy sjednána dle předložených cenových nabídek</w:t>
      </w:r>
      <w:r w:rsidRPr="007F0F99">
        <w:rPr>
          <w:rFonts w:ascii="Calibri" w:hAnsi="Calibri"/>
          <w:color w:val="000000"/>
          <w:sz w:val="20"/>
        </w:rPr>
        <w:t xml:space="preserve"> v následující výši:</w:t>
      </w:r>
    </w:p>
    <w:p w:rsidR="00E50158" w:rsidRDefault="00E50158" w:rsidP="00E50158">
      <w:pPr>
        <w:autoSpaceDE w:val="0"/>
        <w:autoSpaceDN w:val="0"/>
        <w:adjustRightInd w:val="0"/>
        <w:ind w:left="539" w:right="221"/>
        <w:jc w:val="both"/>
        <w:rPr>
          <w:rFonts w:ascii="Calibri" w:hAnsi="Calibri"/>
          <w:color w:val="000000"/>
          <w:sz w:val="20"/>
        </w:rPr>
      </w:pPr>
    </w:p>
    <w:p w:rsidR="00EE5919" w:rsidRDefault="00EE5919" w:rsidP="00E50158">
      <w:pPr>
        <w:autoSpaceDE w:val="0"/>
        <w:autoSpaceDN w:val="0"/>
        <w:adjustRightInd w:val="0"/>
        <w:ind w:left="539" w:right="221"/>
        <w:jc w:val="both"/>
        <w:rPr>
          <w:rFonts w:ascii="Calibri" w:hAnsi="Calibri"/>
          <w:color w:val="000000"/>
          <w:sz w:val="20"/>
        </w:rPr>
      </w:pPr>
    </w:p>
    <w:p w:rsidR="008A7FA3" w:rsidRPr="00E50158" w:rsidRDefault="00E50158" w:rsidP="00E50158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  <w:szCs w:val="20"/>
        </w:rPr>
      </w:pPr>
      <w:r w:rsidRPr="00E50158">
        <w:rPr>
          <w:rFonts w:ascii="Calibri" w:hAnsi="Calibri"/>
          <w:b/>
          <w:color w:val="000000"/>
          <w:sz w:val="20"/>
          <w:szCs w:val="20"/>
        </w:rPr>
        <w:t>SS Česká: FX180 XC+/EL</w:t>
      </w:r>
    </w:p>
    <w:tbl>
      <w:tblPr>
        <w:tblStyle w:val="Mkatabulky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707"/>
      </w:tblGrid>
      <w:tr w:rsidR="00E50158" w:rsidRP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Nabídková cena bez DPH</w:t>
            </w:r>
          </w:p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(zaokrouhlená na celé koruny nahoru)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E501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194.000,-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  <w:tr w:rsidR="00E50158" w:rsidRP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E501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29.100,-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  <w:tr w:rsidR="00E50158" w:rsidRP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Celková nabídková cena včetně DPH</w:t>
            </w:r>
          </w:p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(zaokrouhlená na celé koruny)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E501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223.100,-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E5015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</w:tbl>
    <w:p w:rsidR="00E50158" w:rsidRDefault="00E50158" w:rsidP="00E50158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EE5919" w:rsidRDefault="00EE5919" w:rsidP="00E50158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E50158" w:rsidRPr="00E50158" w:rsidRDefault="005443D0" w:rsidP="00E50158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D</w:t>
      </w:r>
      <w:r w:rsidR="00E50158">
        <w:rPr>
          <w:rFonts w:ascii="Calibri" w:hAnsi="Calibri"/>
          <w:b/>
          <w:color w:val="000000"/>
          <w:sz w:val="20"/>
          <w:szCs w:val="20"/>
        </w:rPr>
        <w:t>S České Velenice</w:t>
      </w:r>
      <w:r w:rsidR="00E50158" w:rsidRPr="00E50158">
        <w:rPr>
          <w:rFonts w:ascii="Calibri" w:hAnsi="Calibri"/>
          <w:b/>
          <w:color w:val="000000"/>
          <w:sz w:val="20"/>
          <w:szCs w:val="20"/>
        </w:rPr>
        <w:t xml:space="preserve">: </w:t>
      </w:r>
      <w:r w:rsidR="00E50158">
        <w:rPr>
          <w:rFonts w:ascii="Calibri" w:hAnsi="Calibri"/>
          <w:b/>
          <w:color w:val="000000"/>
          <w:sz w:val="20"/>
          <w:szCs w:val="20"/>
        </w:rPr>
        <w:t>FX135</w:t>
      </w:r>
      <w:r w:rsidR="00E50158" w:rsidRPr="00E50158">
        <w:rPr>
          <w:rFonts w:ascii="Calibri" w:hAnsi="Calibri"/>
          <w:b/>
          <w:color w:val="000000"/>
          <w:sz w:val="20"/>
          <w:szCs w:val="20"/>
        </w:rPr>
        <w:t xml:space="preserve"> XC+/EL</w:t>
      </w:r>
    </w:p>
    <w:tbl>
      <w:tblPr>
        <w:tblStyle w:val="Mkatabulky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707"/>
      </w:tblGrid>
      <w:tr w:rsid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Nabídková cena bez DPH</w:t>
            </w:r>
          </w:p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(zaokrouhlená na celé koruny nahoru)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1A16C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185.000,-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  <w:tr w:rsid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1A16C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27.750,-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  <w:tr w:rsid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Celková nabídková cena včetně DPH</w:t>
            </w:r>
          </w:p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(zaokrouhlená na celé koruny)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1A16C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212.750,-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</w:tbl>
    <w:p w:rsidR="00E50158" w:rsidRDefault="00E50158" w:rsidP="008A7FA3">
      <w:pPr>
        <w:tabs>
          <w:tab w:val="left" w:pos="1080"/>
        </w:tabs>
        <w:autoSpaceDE w:val="0"/>
        <w:autoSpaceDN w:val="0"/>
        <w:adjustRightInd w:val="0"/>
        <w:ind w:left="1060" w:right="221" w:hanging="510"/>
        <w:jc w:val="both"/>
        <w:rPr>
          <w:rFonts w:ascii="Calibri" w:hAnsi="Calibri"/>
          <w:color w:val="000000"/>
          <w:sz w:val="22"/>
        </w:rPr>
      </w:pPr>
    </w:p>
    <w:p w:rsidR="00EE5919" w:rsidRDefault="00EE5919" w:rsidP="008A7FA3">
      <w:pPr>
        <w:tabs>
          <w:tab w:val="left" w:pos="1080"/>
        </w:tabs>
        <w:autoSpaceDE w:val="0"/>
        <w:autoSpaceDN w:val="0"/>
        <w:adjustRightInd w:val="0"/>
        <w:ind w:left="1060" w:right="221" w:hanging="510"/>
        <w:jc w:val="both"/>
        <w:rPr>
          <w:rFonts w:ascii="Calibri" w:hAnsi="Calibri"/>
          <w:color w:val="000000"/>
          <w:sz w:val="22"/>
        </w:rPr>
      </w:pPr>
    </w:p>
    <w:p w:rsidR="00E50158" w:rsidRPr="00E50158" w:rsidRDefault="005443D0" w:rsidP="00E50158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DS Třeboň</w:t>
      </w:r>
      <w:r w:rsidR="00E50158" w:rsidRPr="00E50158">
        <w:rPr>
          <w:rFonts w:ascii="Calibri" w:hAnsi="Calibri"/>
          <w:b/>
          <w:color w:val="000000"/>
          <w:sz w:val="20"/>
          <w:szCs w:val="20"/>
        </w:rPr>
        <w:t xml:space="preserve">: </w:t>
      </w:r>
      <w:r>
        <w:rPr>
          <w:rFonts w:ascii="Calibri" w:hAnsi="Calibri"/>
          <w:b/>
          <w:color w:val="000000"/>
          <w:sz w:val="20"/>
          <w:szCs w:val="20"/>
        </w:rPr>
        <w:t>FX80</w:t>
      </w:r>
      <w:r w:rsidR="00E50158" w:rsidRPr="00E50158">
        <w:rPr>
          <w:rFonts w:ascii="Calibri" w:hAnsi="Calibri"/>
          <w:b/>
          <w:color w:val="000000"/>
          <w:sz w:val="20"/>
          <w:szCs w:val="20"/>
        </w:rPr>
        <w:t xml:space="preserve"> XC+/EL</w:t>
      </w:r>
    </w:p>
    <w:tbl>
      <w:tblPr>
        <w:tblStyle w:val="Mkatabulky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707"/>
      </w:tblGrid>
      <w:tr w:rsid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Nabídková cena bez DPH</w:t>
            </w:r>
          </w:p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(zaokrouhlená na celé koruny nahoru)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1A16C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99.800,-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  <w:tr w:rsid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1A16C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14.970,-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  <w:tr w:rsidR="00E50158" w:rsidTr="001A16C9">
        <w:trPr>
          <w:trHeight w:val="567"/>
        </w:trPr>
        <w:tc>
          <w:tcPr>
            <w:tcW w:w="3828" w:type="dxa"/>
            <w:shd w:val="clear" w:color="auto" w:fill="EEECE1" w:themeFill="background2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Celková nabídková cena včetně DPH</w:t>
            </w:r>
          </w:p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b/>
                <w:sz w:val="20"/>
                <w:szCs w:val="20"/>
              </w:rPr>
              <w:t>(zaokrouhlená na celé koruny)</w:t>
            </w:r>
          </w:p>
        </w:tc>
        <w:tc>
          <w:tcPr>
            <w:tcW w:w="4819" w:type="dxa"/>
            <w:vAlign w:val="center"/>
          </w:tcPr>
          <w:p w:rsidR="00E50158" w:rsidRPr="00E50158" w:rsidRDefault="00E50158" w:rsidP="001A16C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114.770,-</w:t>
            </w:r>
          </w:p>
        </w:tc>
        <w:tc>
          <w:tcPr>
            <w:tcW w:w="707" w:type="dxa"/>
            <w:vAlign w:val="center"/>
          </w:tcPr>
          <w:p w:rsidR="00E50158" w:rsidRPr="00E50158" w:rsidRDefault="00E50158" w:rsidP="001A16C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0158">
              <w:rPr>
                <w:rFonts w:asciiTheme="minorHAnsi" w:hAnsiTheme="minorHAnsi" w:cs="Arial"/>
                <w:sz w:val="20"/>
                <w:szCs w:val="20"/>
              </w:rPr>
              <w:t>Kč</w:t>
            </w:r>
          </w:p>
        </w:tc>
      </w:tr>
    </w:tbl>
    <w:p w:rsidR="00E50158" w:rsidRDefault="00E50158" w:rsidP="008A7FA3">
      <w:pPr>
        <w:tabs>
          <w:tab w:val="left" w:pos="1080"/>
        </w:tabs>
        <w:autoSpaceDE w:val="0"/>
        <w:autoSpaceDN w:val="0"/>
        <w:adjustRightInd w:val="0"/>
        <w:ind w:left="1060" w:right="221" w:hanging="510"/>
        <w:jc w:val="both"/>
        <w:rPr>
          <w:rFonts w:ascii="Calibri" w:hAnsi="Calibri"/>
          <w:color w:val="000000"/>
          <w:sz w:val="22"/>
        </w:rPr>
      </w:pPr>
    </w:p>
    <w:p w:rsidR="005443D0" w:rsidRPr="007F0F99" w:rsidRDefault="005443D0" w:rsidP="008A7FA3">
      <w:pPr>
        <w:tabs>
          <w:tab w:val="left" w:pos="1080"/>
        </w:tabs>
        <w:autoSpaceDE w:val="0"/>
        <w:autoSpaceDN w:val="0"/>
        <w:adjustRightInd w:val="0"/>
        <w:ind w:left="1060" w:right="221" w:hanging="510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6"/>
        </w:num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lastRenderedPageBreak/>
        <w:t>Účastníci smlouvy sjednávají následující platební podmínky:</w:t>
      </w:r>
    </w:p>
    <w:p w:rsidR="008A7FA3" w:rsidRPr="007F0F99" w:rsidRDefault="008A7FA3" w:rsidP="008A7FA3">
      <w:pPr>
        <w:autoSpaceDE w:val="0"/>
        <w:autoSpaceDN w:val="0"/>
        <w:adjustRightInd w:val="0"/>
        <w:ind w:left="720" w:right="221"/>
        <w:jc w:val="both"/>
        <w:rPr>
          <w:rFonts w:ascii="Calibri" w:hAnsi="Calibri"/>
          <w:color w:val="000000"/>
          <w:sz w:val="20"/>
        </w:rPr>
      </w:pPr>
    </w:p>
    <w:p w:rsidR="005443D0" w:rsidRPr="005443D0" w:rsidRDefault="005443D0" w:rsidP="005443D0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5443D0">
        <w:rPr>
          <w:rFonts w:ascii="Calibri" w:hAnsi="Calibri"/>
          <w:color w:val="000000"/>
          <w:sz w:val="20"/>
        </w:rPr>
        <w:t xml:space="preserve">Prodávající se zavazuje řádně splnit tuto smlouvu v celém </w:t>
      </w:r>
      <w:proofErr w:type="gramStart"/>
      <w:r w:rsidRPr="005443D0">
        <w:rPr>
          <w:rFonts w:ascii="Calibri" w:hAnsi="Calibri"/>
          <w:color w:val="000000"/>
          <w:sz w:val="20"/>
        </w:rPr>
        <w:t>rozsahu  sjednaného</w:t>
      </w:r>
      <w:proofErr w:type="gramEnd"/>
      <w:r w:rsidRPr="005443D0">
        <w:rPr>
          <w:rFonts w:ascii="Calibri" w:hAnsi="Calibri"/>
          <w:color w:val="000000"/>
          <w:sz w:val="20"/>
        </w:rPr>
        <w:t xml:space="preserve">  předmětu plnění </w:t>
      </w:r>
      <w:r w:rsidRPr="00EE5919">
        <w:rPr>
          <w:rFonts w:ascii="Calibri" w:hAnsi="Calibri"/>
          <w:b/>
          <w:color w:val="000000"/>
          <w:sz w:val="20"/>
        </w:rPr>
        <w:t>v termínu do 31.</w:t>
      </w:r>
      <w:r w:rsidR="00EE5919" w:rsidRPr="00EE5919">
        <w:rPr>
          <w:rFonts w:ascii="Calibri" w:hAnsi="Calibri"/>
          <w:b/>
          <w:color w:val="000000"/>
          <w:sz w:val="20"/>
        </w:rPr>
        <w:t xml:space="preserve"> </w:t>
      </w:r>
      <w:r w:rsidRPr="00EE5919">
        <w:rPr>
          <w:rFonts w:ascii="Calibri" w:hAnsi="Calibri"/>
          <w:b/>
          <w:color w:val="000000"/>
          <w:sz w:val="20"/>
        </w:rPr>
        <w:t>07.</w:t>
      </w:r>
      <w:r w:rsidR="00EE5919" w:rsidRPr="00EE5919">
        <w:rPr>
          <w:rFonts w:ascii="Calibri" w:hAnsi="Calibri"/>
          <w:b/>
          <w:color w:val="000000"/>
          <w:sz w:val="20"/>
        </w:rPr>
        <w:t xml:space="preserve"> </w:t>
      </w:r>
      <w:r w:rsidRPr="00EE5919">
        <w:rPr>
          <w:rFonts w:ascii="Calibri" w:hAnsi="Calibri"/>
          <w:b/>
          <w:color w:val="000000"/>
          <w:sz w:val="20"/>
        </w:rPr>
        <w:t>2018</w:t>
      </w:r>
      <w:r w:rsidRPr="005443D0">
        <w:rPr>
          <w:rFonts w:ascii="Calibri" w:hAnsi="Calibri"/>
          <w:color w:val="000000"/>
          <w:sz w:val="20"/>
        </w:rPr>
        <w:t>. Splnění tohoto termínu je podmíněno předáním prostor pro instalaci zhotoviteli ve stavební připravenosti dle </w:t>
      </w:r>
      <w:proofErr w:type="spellStart"/>
      <w:proofErr w:type="gramStart"/>
      <w:r w:rsidRPr="005443D0">
        <w:rPr>
          <w:rFonts w:ascii="Calibri" w:hAnsi="Calibri"/>
          <w:color w:val="000000"/>
          <w:sz w:val="20"/>
        </w:rPr>
        <w:t>čl.III</w:t>
      </w:r>
      <w:proofErr w:type="spellEnd"/>
      <w:proofErr w:type="gramEnd"/>
      <w:r w:rsidRPr="005443D0">
        <w:rPr>
          <w:rFonts w:ascii="Calibri" w:hAnsi="Calibri"/>
          <w:color w:val="000000"/>
          <w:sz w:val="20"/>
        </w:rPr>
        <w:t>, odst. 2 této smlouvy.</w:t>
      </w:r>
    </w:p>
    <w:p w:rsidR="005443D0" w:rsidRPr="005443D0" w:rsidRDefault="005443D0" w:rsidP="005443D0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5443D0" w:rsidRPr="005443D0" w:rsidRDefault="005443D0" w:rsidP="005443D0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5443D0">
        <w:rPr>
          <w:rFonts w:ascii="Calibri" w:hAnsi="Calibri"/>
          <w:color w:val="000000"/>
          <w:sz w:val="20"/>
        </w:rPr>
        <w:t xml:space="preserve">Platba bude provedena formou úhrady daňového dokladu (faktury) vystaveného prodávajícím ke dni uskutečnění zdanitelného plnění. </w:t>
      </w:r>
      <w:r>
        <w:rPr>
          <w:rFonts w:ascii="Calibri" w:hAnsi="Calibri"/>
          <w:color w:val="000000"/>
          <w:sz w:val="20"/>
        </w:rPr>
        <w:t xml:space="preserve">Faktura bude vystavena samostatně za každou pračku. </w:t>
      </w:r>
      <w:r w:rsidRPr="005443D0">
        <w:rPr>
          <w:rFonts w:ascii="Calibri" w:hAnsi="Calibri"/>
          <w:color w:val="000000"/>
          <w:sz w:val="20"/>
        </w:rPr>
        <w:t>Dnem uskutečnění zdanitelného plnění se rozumí úspěšné předání předmětu prodeje bez vad a nedodělků.</w:t>
      </w:r>
    </w:p>
    <w:p w:rsidR="005443D0" w:rsidRPr="005443D0" w:rsidRDefault="005443D0" w:rsidP="005443D0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5443D0" w:rsidRPr="005443D0" w:rsidRDefault="005443D0" w:rsidP="005443D0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5443D0">
        <w:rPr>
          <w:rFonts w:ascii="Calibri" w:hAnsi="Calibri"/>
          <w:color w:val="000000"/>
          <w:sz w:val="20"/>
        </w:rPr>
        <w:t>Splněním platby se rozumí odepsání fakturované částky z účtu kupujícího a připsání na účet prodávajícího.</w:t>
      </w:r>
    </w:p>
    <w:p w:rsidR="008A7FA3" w:rsidRPr="007F0F99" w:rsidRDefault="008A7FA3" w:rsidP="008A7FA3">
      <w:p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V.</w:t>
      </w:r>
    </w:p>
    <w:p w:rsidR="008A7FA3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Povinnosti kupujícího</w:t>
      </w:r>
    </w:p>
    <w:p w:rsidR="00D64627" w:rsidRPr="00D64627" w:rsidRDefault="00D64627" w:rsidP="00D64627"/>
    <w:p w:rsidR="008A7FA3" w:rsidRPr="007F0F99" w:rsidRDefault="008A7FA3" w:rsidP="008A7FA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Kupující je povinen při provozu předmětu prodeje dodržovat pravidla, a to zejména se řídit návodem k použití, který obdržel při předání předmětu prodeje.</w:t>
      </w:r>
    </w:p>
    <w:p w:rsidR="008A7FA3" w:rsidRPr="007F0F99" w:rsidRDefault="008A7FA3" w:rsidP="008A7FA3">
      <w:pPr>
        <w:autoSpaceDE w:val="0"/>
        <w:autoSpaceDN w:val="0"/>
        <w:adjustRightInd w:val="0"/>
        <w:ind w:left="720" w:right="221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Záruka a záruční podmínky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jc w:val="center"/>
        <w:rPr>
          <w:rFonts w:ascii="Calibri" w:hAnsi="Calibri"/>
          <w:b/>
          <w:color w:val="000000"/>
          <w:sz w:val="22"/>
        </w:rPr>
      </w:pPr>
    </w:p>
    <w:p w:rsidR="005443D0" w:rsidRPr="005443D0" w:rsidRDefault="005443D0" w:rsidP="005443D0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5443D0">
        <w:rPr>
          <w:rFonts w:ascii="Calibri" w:hAnsi="Calibri"/>
          <w:color w:val="000000"/>
          <w:sz w:val="20"/>
        </w:rPr>
        <w:t>Prodávající poskytne na předmět prodeje specifikovaný v čl. I této smlouvy záruku po dobu 24 měsíců.</w:t>
      </w:r>
    </w:p>
    <w:p w:rsidR="005443D0" w:rsidRPr="005443D0" w:rsidRDefault="005443D0" w:rsidP="005443D0">
      <w:pPr>
        <w:ind w:left="540"/>
        <w:jc w:val="both"/>
        <w:rPr>
          <w:rFonts w:ascii="Calibri" w:hAnsi="Calibri"/>
          <w:color w:val="000000"/>
          <w:sz w:val="20"/>
        </w:rPr>
      </w:pPr>
    </w:p>
    <w:p w:rsidR="005443D0" w:rsidRDefault="005443D0" w:rsidP="005443D0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5443D0">
        <w:rPr>
          <w:rFonts w:ascii="Calibri" w:hAnsi="Calibri"/>
          <w:color w:val="000000"/>
          <w:sz w:val="20"/>
        </w:rPr>
        <w:t xml:space="preserve">Záruka se nevztahuje na vady vzniklé nesprávnou obsluhou, údržbou nebo neodborným zásahem či poškozením ze strany uživatele. Dále se záruka nevztahuje na části, které podléhají běžnému opotřebení. </w:t>
      </w:r>
    </w:p>
    <w:p w:rsidR="005443D0" w:rsidRDefault="005443D0" w:rsidP="005443D0">
      <w:pPr>
        <w:pStyle w:val="Odstavecseseznamem"/>
        <w:rPr>
          <w:rFonts w:ascii="Calibri" w:hAnsi="Calibri"/>
          <w:color w:val="000000"/>
          <w:sz w:val="20"/>
        </w:rPr>
      </w:pPr>
    </w:p>
    <w:p w:rsidR="005443D0" w:rsidRDefault="005443D0" w:rsidP="005443D0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Termín nastoupení k odstranění reklamačních vad v průběhu záruční doby po jejich řádném nahlášení je 5 kalendářních dní.</w:t>
      </w:r>
    </w:p>
    <w:p w:rsidR="005443D0" w:rsidRDefault="005443D0" w:rsidP="005443D0">
      <w:pPr>
        <w:pStyle w:val="Odstavecseseznamem"/>
        <w:rPr>
          <w:rFonts w:ascii="Calibri" w:hAnsi="Calibri"/>
          <w:color w:val="000000"/>
          <w:sz w:val="20"/>
        </w:rPr>
      </w:pPr>
    </w:p>
    <w:p w:rsidR="00D64627" w:rsidRPr="007F0F99" w:rsidRDefault="00D64627" w:rsidP="008A7FA3">
      <w:pPr>
        <w:tabs>
          <w:tab w:val="left" w:pos="1080"/>
        </w:tabs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0"/>
        </w:rPr>
      </w:pPr>
    </w:p>
    <w:p w:rsidR="00D64627" w:rsidRPr="007F0F99" w:rsidRDefault="00D64627" w:rsidP="00D64627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VII.</w:t>
      </w:r>
    </w:p>
    <w:p w:rsidR="00D64627" w:rsidRPr="007F0F99" w:rsidRDefault="00D64627" w:rsidP="00D64627">
      <w:pPr>
        <w:pStyle w:val="Nadpis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Smluvní pokuta</w:t>
      </w:r>
    </w:p>
    <w:p w:rsidR="00D64627" w:rsidRDefault="00D64627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D64627" w:rsidRDefault="00D64627" w:rsidP="00D64627">
      <w:pPr>
        <w:numPr>
          <w:ilvl w:val="0"/>
          <w:numId w:val="13"/>
        </w:numPr>
        <w:jc w:val="both"/>
        <w:rPr>
          <w:rFonts w:ascii="Calibri" w:hAnsi="Calibri"/>
          <w:color w:val="000000"/>
          <w:sz w:val="20"/>
        </w:rPr>
      </w:pPr>
      <w:r w:rsidRPr="00D64627">
        <w:rPr>
          <w:rFonts w:ascii="Calibri" w:hAnsi="Calibri"/>
          <w:color w:val="000000"/>
          <w:sz w:val="20"/>
        </w:rPr>
        <w:t>Smluvní pokuta za nedodržení závazného termínu do</w:t>
      </w:r>
      <w:r w:rsidR="005443D0">
        <w:rPr>
          <w:rFonts w:ascii="Calibri" w:hAnsi="Calibri"/>
          <w:color w:val="000000"/>
          <w:sz w:val="20"/>
        </w:rPr>
        <w:t>končení díla bude činit 0,1% z kupní ceny</w:t>
      </w:r>
      <w:r w:rsidRPr="00D64627">
        <w:rPr>
          <w:rFonts w:ascii="Calibri" w:hAnsi="Calibri"/>
          <w:color w:val="000000"/>
          <w:sz w:val="20"/>
        </w:rPr>
        <w:t xml:space="preserve"> za každý den prodlení.</w:t>
      </w:r>
    </w:p>
    <w:p w:rsidR="005443D0" w:rsidRDefault="005443D0" w:rsidP="005443D0">
      <w:pPr>
        <w:ind w:left="540"/>
        <w:jc w:val="both"/>
        <w:rPr>
          <w:rFonts w:ascii="Calibri" w:hAnsi="Calibri"/>
          <w:color w:val="000000"/>
          <w:sz w:val="20"/>
        </w:rPr>
      </w:pPr>
    </w:p>
    <w:p w:rsidR="005443D0" w:rsidRPr="00D64627" w:rsidRDefault="005443D0" w:rsidP="00D64627">
      <w:pPr>
        <w:numPr>
          <w:ilvl w:val="0"/>
          <w:numId w:val="13"/>
        </w:num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Smluvní pokuta za prodlení s nástupem k odstranění reklamačních vad v průběhu záruční lhůty bude činit 5.000,- Kč za každý započatý den prodlení.</w:t>
      </w:r>
    </w:p>
    <w:p w:rsidR="00D64627" w:rsidRPr="007F0F99" w:rsidRDefault="00D64627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VII</w:t>
      </w:r>
      <w:r w:rsidR="00D64627">
        <w:rPr>
          <w:rFonts w:ascii="Calibri" w:hAnsi="Calibri"/>
          <w:color w:val="000000"/>
          <w:sz w:val="22"/>
        </w:rPr>
        <w:t>I</w:t>
      </w:r>
      <w:r w:rsidRPr="007F0F99">
        <w:rPr>
          <w:rFonts w:ascii="Calibri" w:hAnsi="Calibri"/>
          <w:color w:val="000000"/>
          <w:sz w:val="22"/>
        </w:rPr>
        <w:t>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 xml:space="preserve">Výhrada vlastnického práva 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Předmět prodeje zůstává vlastnictvím prodávajícího až do úplného zaplacení kupní ceny. </w:t>
      </w: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2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D64627" w:rsidP="008A7FA3">
      <w:pPr>
        <w:pStyle w:val="Nadpis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Článek IX</w:t>
      </w:r>
      <w:r w:rsidR="008A7FA3" w:rsidRPr="007F0F99">
        <w:rPr>
          <w:rFonts w:ascii="Calibri" w:hAnsi="Calibri"/>
          <w:color w:val="000000"/>
          <w:sz w:val="22"/>
        </w:rPr>
        <w:t>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Odstoupení od smlouvy</w:t>
      </w:r>
    </w:p>
    <w:p w:rsidR="008A7FA3" w:rsidRPr="007F0F99" w:rsidRDefault="008A7FA3" w:rsidP="008A7FA3">
      <w:pPr>
        <w:ind w:left="360"/>
        <w:jc w:val="center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pStyle w:val="Zkladntext"/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Prodávající je oprávněn od této smlouvy odstoupit, pokud bude kupující v prodlení s placením kupní ceny dle čl. IV této smlouvy o více jak 30 dnů.</w:t>
      </w:r>
    </w:p>
    <w:p w:rsidR="008A7FA3" w:rsidRPr="007F0F99" w:rsidRDefault="008A7FA3" w:rsidP="008A7FA3">
      <w:pPr>
        <w:pStyle w:val="Zkladntext"/>
        <w:ind w:left="360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lastRenderedPageBreak/>
        <w:t xml:space="preserve">Účinky odstoupení nastávají dnem doručení o odstoupení. </w:t>
      </w:r>
    </w:p>
    <w:p w:rsidR="008A7FA3" w:rsidRPr="007F0F99" w:rsidRDefault="008A7FA3" w:rsidP="008A7FA3">
      <w:pPr>
        <w:tabs>
          <w:tab w:val="left" w:pos="1620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2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Po tomto dni je kupující povinen vrátit prodávajícímu předmět prodeje a veškeré náklady spojené s odvozem předmětu prodeje do sídla prodávajícího jdou k tíži kupujícího a budou mu vyfakturovány.</w:t>
      </w:r>
    </w:p>
    <w:p w:rsidR="008A7FA3" w:rsidRPr="007F0F99" w:rsidRDefault="008A7FA3" w:rsidP="008A7FA3">
      <w:pPr>
        <w:tabs>
          <w:tab w:val="left" w:pos="540"/>
          <w:tab w:val="left" w:pos="1620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2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Na základě dohody smluvních stran.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</w:p>
    <w:p w:rsidR="008A7FA3" w:rsidRDefault="008A7FA3" w:rsidP="008A7FA3">
      <w:pPr>
        <w:pStyle w:val="Nadpis2"/>
        <w:rPr>
          <w:rFonts w:ascii="Calibri" w:hAnsi="Calibri"/>
          <w:color w:val="000000"/>
          <w:sz w:val="22"/>
        </w:rPr>
      </w:pPr>
    </w:p>
    <w:p w:rsidR="008A7FA3" w:rsidRDefault="008A7FA3" w:rsidP="008A7FA3"/>
    <w:p w:rsidR="008A7FA3" w:rsidRPr="007F0F99" w:rsidRDefault="00D64627" w:rsidP="008A7FA3">
      <w:pPr>
        <w:pStyle w:val="Nadpis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Článek </w:t>
      </w:r>
      <w:r w:rsidR="008A7FA3" w:rsidRPr="007F0F99">
        <w:rPr>
          <w:rFonts w:ascii="Calibri" w:hAnsi="Calibri"/>
          <w:color w:val="000000"/>
          <w:sz w:val="22"/>
        </w:rPr>
        <w:t>X.</w:t>
      </w:r>
    </w:p>
    <w:p w:rsidR="008A7FA3" w:rsidRPr="007F0F99" w:rsidRDefault="008A7FA3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Závěrečná ustanovení</w:t>
      </w:r>
    </w:p>
    <w:p w:rsidR="008A7FA3" w:rsidRPr="007F0F99" w:rsidRDefault="008A7FA3" w:rsidP="008A7FA3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8A7FA3" w:rsidRPr="007F0F99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Smlouva je vyhotovena ve dvou vyhotoveních  majících platnost originálu, přičemž každá strana obdrží jedno vyhotovení.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Tato smlouva může být měněna pouze písemnými číslovanými dodatky, podepsanými oběma stranami.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A60A68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A60A68">
        <w:rPr>
          <w:rFonts w:ascii="Calibri" w:hAnsi="Calibri"/>
          <w:color w:val="000000"/>
          <w:sz w:val="20"/>
        </w:rPr>
        <w:t>Tato smlouva bude zveřejněná jako povinně zveřejňovaná smlouva ve smyslu zákona 340/2015 Sb., o zvláštních podmínkách účinnosti některých smluv, uveřejňování těchto smluv a o registru smluv, ve znění pozdějších předpisů.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0"/>
        </w:rPr>
      </w:pPr>
    </w:p>
    <w:p w:rsidR="008A7FA3" w:rsidRPr="00A60A68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A60A68">
        <w:rPr>
          <w:rFonts w:ascii="Calibri" w:hAnsi="Calibri"/>
          <w:color w:val="000000"/>
          <w:sz w:val="20"/>
        </w:rPr>
        <w:t>Smluvní strany vysloveně souhlasí se zveřejněním této smlouvy a v jejím plném rozsahu v registru smluv vedeném Ministerstvem vnitra ve smyslu zákona o registru smluv</w:t>
      </w:r>
      <w:r w:rsidR="00EE5919">
        <w:rPr>
          <w:rFonts w:ascii="Calibri" w:hAnsi="Calibri"/>
          <w:color w:val="000000"/>
          <w:sz w:val="20"/>
        </w:rPr>
        <w:t>, smluvní strany prohlašují, že tato smlouva neobsahuje žádné obchodní tajemství</w:t>
      </w:r>
      <w:r w:rsidRPr="00A60A68">
        <w:rPr>
          <w:rFonts w:ascii="Calibri" w:hAnsi="Calibri"/>
          <w:color w:val="000000"/>
          <w:sz w:val="20"/>
        </w:rPr>
        <w:t>.</w:t>
      </w:r>
    </w:p>
    <w:p w:rsidR="008A7FA3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Účastníci prohlašují, že smlouva byla sepsána podle jejich skutečné a svobodné vůle. Účastníci dále prohlašují, že si smlouvu před podpisem přečetli, s jejím obsahem souhlasí a na důkaz toho připojují své vlastnoruční podpisy.</w:t>
      </w:r>
    </w:p>
    <w:p w:rsidR="008A7FA3" w:rsidRPr="007F0F99" w:rsidRDefault="008A7FA3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:rsidR="008A7FA3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D64627" w:rsidRDefault="00D64627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2A100C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V </w:t>
      </w:r>
      <w:proofErr w:type="spellStart"/>
      <w:r>
        <w:rPr>
          <w:rFonts w:ascii="Calibri" w:hAnsi="Calibri"/>
          <w:color w:val="000000"/>
          <w:sz w:val="20"/>
        </w:rPr>
        <w:t>Příboře</w:t>
      </w:r>
      <w:proofErr w:type="spellEnd"/>
      <w:r>
        <w:rPr>
          <w:rFonts w:ascii="Calibri" w:hAnsi="Calibri"/>
          <w:color w:val="000000"/>
          <w:sz w:val="20"/>
        </w:rPr>
        <w:t xml:space="preserve"> dne …………</w:t>
      </w:r>
      <w:proofErr w:type="gramStart"/>
      <w:r>
        <w:rPr>
          <w:rFonts w:ascii="Calibri" w:hAnsi="Calibri"/>
          <w:color w:val="000000"/>
          <w:sz w:val="20"/>
        </w:rPr>
        <w:t>…..…</w:t>
      </w:r>
      <w:proofErr w:type="gramEnd"/>
      <w:r w:rsidR="008A7FA3">
        <w:rPr>
          <w:rFonts w:ascii="Calibri" w:hAnsi="Calibri"/>
          <w:color w:val="000000"/>
          <w:sz w:val="20"/>
        </w:rPr>
        <w:t>.</w:t>
      </w:r>
      <w:r>
        <w:rPr>
          <w:rFonts w:ascii="Calibri" w:hAnsi="Calibri"/>
          <w:color w:val="000000"/>
          <w:sz w:val="20"/>
        </w:rPr>
        <w:t xml:space="preserve"> </w:t>
      </w:r>
      <w:r w:rsidR="008A7FA3">
        <w:rPr>
          <w:rFonts w:ascii="Calibri" w:hAnsi="Calibri"/>
          <w:color w:val="000000"/>
          <w:sz w:val="20"/>
        </w:rPr>
        <w:t>2018</w:t>
      </w:r>
      <w:r w:rsidR="008A7FA3" w:rsidRPr="007F0F99">
        <w:rPr>
          <w:rFonts w:ascii="Calibri" w:hAnsi="Calibri"/>
          <w:color w:val="000000"/>
          <w:sz w:val="20"/>
        </w:rPr>
        <w:tab/>
      </w:r>
      <w:r w:rsidR="008A7FA3" w:rsidRPr="007F0F99">
        <w:rPr>
          <w:rFonts w:ascii="Calibri" w:hAnsi="Calibri"/>
          <w:color w:val="000000"/>
          <w:sz w:val="20"/>
        </w:rPr>
        <w:tab/>
        <w:t xml:space="preserve">                                  </w:t>
      </w:r>
      <w:r w:rsidR="008A7FA3">
        <w:rPr>
          <w:rFonts w:ascii="Calibri" w:hAnsi="Calibri"/>
          <w:color w:val="000000"/>
          <w:sz w:val="20"/>
        </w:rPr>
        <w:t xml:space="preserve">  </w:t>
      </w:r>
      <w:r w:rsidR="008A7FA3" w:rsidRPr="007F0F99">
        <w:rPr>
          <w:rFonts w:ascii="Calibri" w:hAnsi="Calibri"/>
          <w:color w:val="000000"/>
          <w:sz w:val="20"/>
        </w:rPr>
        <w:t>V</w:t>
      </w:r>
      <w:r w:rsidR="00052BC0">
        <w:rPr>
          <w:rFonts w:ascii="Calibri" w:hAnsi="Calibri"/>
          <w:color w:val="000000"/>
          <w:sz w:val="20"/>
        </w:rPr>
        <w:t> Jindřichově Hradci</w:t>
      </w:r>
      <w:r w:rsidR="008A7FA3">
        <w:rPr>
          <w:rFonts w:ascii="Calibri" w:hAnsi="Calibri"/>
          <w:color w:val="000000"/>
          <w:sz w:val="20"/>
        </w:rPr>
        <w:t xml:space="preserve"> dne </w:t>
      </w:r>
      <w:r>
        <w:rPr>
          <w:rFonts w:ascii="Calibri" w:hAnsi="Calibri"/>
          <w:color w:val="000000"/>
          <w:sz w:val="20"/>
        </w:rPr>
        <w:t>……………..…. 2018</w:t>
      </w: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</w:t>
      </w: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4680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               </w:t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8A7FA3" w:rsidRPr="007F0F99" w:rsidRDefault="002A100C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 </w:t>
      </w:r>
      <w:r w:rsidR="008A7FA3" w:rsidRPr="007F0F99">
        <w:rPr>
          <w:rFonts w:ascii="Calibri" w:hAnsi="Calibri"/>
          <w:color w:val="000000"/>
          <w:sz w:val="20"/>
        </w:rPr>
        <w:t xml:space="preserve">-----------------------------------                                                  </w:t>
      </w:r>
      <w:r w:rsidR="008A7FA3" w:rsidRPr="007F0F99"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 xml:space="preserve">       </w:t>
      </w:r>
      <w:r w:rsidR="00052BC0">
        <w:rPr>
          <w:rFonts w:ascii="Calibri" w:hAnsi="Calibri"/>
          <w:color w:val="000000"/>
          <w:sz w:val="20"/>
        </w:rPr>
        <w:t xml:space="preserve">                 </w:t>
      </w:r>
      <w:r>
        <w:rPr>
          <w:rFonts w:ascii="Calibri" w:hAnsi="Calibri"/>
          <w:color w:val="000000"/>
          <w:sz w:val="20"/>
        </w:rPr>
        <w:t xml:space="preserve"> </w:t>
      </w:r>
      <w:r w:rsidR="008A7FA3" w:rsidRPr="007F0F99">
        <w:rPr>
          <w:rFonts w:ascii="Calibri" w:hAnsi="Calibri"/>
          <w:color w:val="000000"/>
          <w:sz w:val="20"/>
        </w:rPr>
        <w:t>-----------------------------------</w:t>
      </w:r>
    </w:p>
    <w:p w:rsidR="008A7FA3" w:rsidRPr="007F0F99" w:rsidRDefault="008A7FA3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         Vojtěch </w:t>
      </w:r>
      <w:proofErr w:type="spellStart"/>
      <w:r w:rsidRPr="007F0F99">
        <w:rPr>
          <w:rFonts w:ascii="Calibri" w:hAnsi="Calibri"/>
          <w:color w:val="000000"/>
          <w:sz w:val="20"/>
        </w:rPr>
        <w:t>Vánský</w:t>
      </w:r>
      <w:proofErr w:type="spellEnd"/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  <w:t xml:space="preserve">     </w:t>
      </w:r>
      <w:r w:rsidR="00052BC0">
        <w:rPr>
          <w:rFonts w:ascii="Calibri" w:hAnsi="Calibri"/>
          <w:color w:val="000000"/>
          <w:sz w:val="20"/>
        </w:rPr>
        <w:t xml:space="preserve">                 </w:t>
      </w:r>
      <w:r w:rsidRPr="007F0F99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   </w:t>
      </w:r>
      <w:r w:rsidR="00052BC0">
        <w:rPr>
          <w:rFonts w:ascii="Calibri" w:hAnsi="Calibri"/>
          <w:color w:val="000000"/>
          <w:sz w:val="20"/>
        </w:rPr>
        <w:t xml:space="preserve">             </w:t>
      </w:r>
      <w:r>
        <w:rPr>
          <w:rFonts w:ascii="Calibri" w:hAnsi="Calibri"/>
          <w:color w:val="000000"/>
          <w:sz w:val="20"/>
        </w:rPr>
        <w:t xml:space="preserve"> </w:t>
      </w:r>
      <w:r w:rsidR="00052BC0">
        <w:rPr>
          <w:rFonts w:ascii="Calibri" w:hAnsi="Calibri"/>
          <w:sz w:val="20"/>
        </w:rPr>
        <w:t>Ing. Jiří Blížil</w:t>
      </w:r>
    </w:p>
    <w:p w:rsidR="008A7FA3" w:rsidRPr="007F0F99" w:rsidRDefault="008A7FA3" w:rsidP="008A7FA3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</w:t>
      </w:r>
      <w:r w:rsidRPr="007F0F99">
        <w:rPr>
          <w:rFonts w:ascii="Calibri" w:hAnsi="Calibri"/>
          <w:color w:val="000000"/>
          <w:sz w:val="20"/>
        </w:rPr>
        <w:tab/>
        <w:t xml:space="preserve">       obchodní </w:t>
      </w:r>
      <w:proofErr w:type="gramStart"/>
      <w:r w:rsidRPr="007F0F99">
        <w:rPr>
          <w:rFonts w:ascii="Calibri" w:hAnsi="Calibri"/>
          <w:color w:val="000000"/>
          <w:sz w:val="20"/>
        </w:rPr>
        <w:t xml:space="preserve">manažer                                                               </w:t>
      </w:r>
      <w:bookmarkStart w:id="0" w:name="_GoBack"/>
      <w:bookmarkEnd w:id="0"/>
      <w:r w:rsidRPr="007F0F99">
        <w:rPr>
          <w:rFonts w:ascii="Calibri" w:hAnsi="Calibri"/>
          <w:color w:val="000000"/>
          <w:sz w:val="20"/>
        </w:rPr>
        <w:t xml:space="preserve">                                 </w:t>
      </w:r>
      <w:r>
        <w:rPr>
          <w:rFonts w:ascii="Calibri" w:hAnsi="Calibri"/>
          <w:color w:val="000000"/>
          <w:sz w:val="20"/>
        </w:rPr>
        <w:t xml:space="preserve">  </w:t>
      </w:r>
      <w:r w:rsidR="00052BC0">
        <w:rPr>
          <w:rFonts w:ascii="Calibri" w:hAnsi="Calibri"/>
          <w:color w:val="000000"/>
          <w:sz w:val="20"/>
        </w:rPr>
        <w:t xml:space="preserve">             </w:t>
      </w:r>
      <w:r>
        <w:rPr>
          <w:rFonts w:ascii="Calibri" w:hAnsi="Calibri"/>
          <w:color w:val="000000"/>
          <w:sz w:val="20"/>
        </w:rPr>
        <w:t xml:space="preserve">   ředitel</w:t>
      </w:r>
      <w:proofErr w:type="gramEnd"/>
    </w:p>
    <w:sectPr w:rsidR="008A7FA3" w:rsidRPr="007F0F99" w:rsidSect="00887DBC">
      <w:headerReference w:type="default" r:id="rId7"/>
      <w:footerReference w:type="default" r:id="rId8"/>
      <w:pgSz w:w="11906" w:h="16838"/>
      <w:pgMar w:top="17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35" w:rsidRDefault="005A0735" w:rsidP="00887DBC">
      <w:r>
        <w:separator/>
      </w:r>
    </w:p>
  </w:endnote>
  <w:endnote w:type="continuationSeparator" w:id="0">
    <w:p w:rsidR="005A0735" w:rsidRDefault="005A0735" w:rsidP="0088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BC" w:rsidRDefault="00270DE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40DE1" wp14:editId="379567E0">
          <wp:simplePos x="0" y="0"/>
          <wp:positionH relativeFrom="page">
            <wp:align>center</wp:align>
          </wp:positionH>
          <wp:positionV relativeFrom="page">
            <wp:posOffset>9833610</wp:posOffset>
          </wp:positionV>
          <wp:extent cx="7552690" cy="994410"/>
          <wp:effectExtent l="0" t="0" r="0" b="0"/>
          <wp:wrapNone/>
          <wp:docPr id="4" name="Obrázek 4" descr="Alliance_ce_headpaper_templa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liance_ce_headpaper_templa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98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35" w:rsidRDefault="005A0735" w:rsidP="00887DBC">
      <w:r>
        <w:separator/>
      </w:r>
    </w:p>
  </w:footnote>
  <w:footnote w:type="continuationSeparator" w:id="0">
    <w:p w:rsidR="005A0735" w:rsidRDefault="005A0735" w:rsidP="0088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BC" w:rsidRDefault="00887DB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CE9BA5" wp14:editId="2A360254">
          <wp:simplePos x="0" y="0"/>
          <wp:positionH relativeFrom="column">
            <wp:posOffset>2611755</wp:posOffset>
          </wp:positionH>
          <wp:positionV relativeFrom="paragraph">
            <wp:posOffset>7620</wp:posOffset>
          </wp:positionV>
          <wp:extent cx="3632400" cy="5004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4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03571"/>
    <w:multiLevelType w:val="hybridMultilevel"/>
    <w:tmpl w:val="150CC5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B4B78"/>
    <w:multiLevelType w:val="hybridMultilevel"/>
    <w:tmpl w:val="E98C1DC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23E2E"/>
    <w:multiLevelType w:val="hybridMultilevel"/>
    <w:tmpl w:val="EF924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C4314"/>
    <w:multiLevelType w:val="hybridMultilevel"/>
    <w:tmpl w:val="4B14A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20C43"/>
    <w:multiLevelType w:val="hybridMultilevel"/>
    <w:tmpl w:val="BE50BE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CB1540"/>
    <w:multiLevelType w:val="hybridMultilevel"/>
    <w:tmpl w:val="C6CE8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0F3B"/>
    <w:multiLevelType w:val="hybridMultilevel"/>
    <w:tmpl w:val="EAC88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033FA"/>
    <w:multiLevelType w:val="hybridMultilevel"/>
    <w:tmpl w:val="42B4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25301"/>
    <w:multiLevelType w:val="hybridMultilevel"/>
    <w:tmpl w:val="742C236E"/>
    <w:lvl w:ilvl="0" w:tplc="FFFFFFF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07B9E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D2526"/>
    <w:multiLevelType w:val="hybridMultilevel"/>
    <w:tmpl w:val="BE50BE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69510B"/>
    <w:multiLevelType w:val="hybridMultilevel"/>
    <w:tmpl w:val="D840D0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C"/>
    <w:rsid w:val="00052BC0"/>
    <w:rsid w:val="00270DE9"/>
    <w:rsid w:val="002A100C"/>
    <w:rsid w:val="002C55AA"/>
    <w:rsid w:val="005443D0"/>
    <w:rsid w:val="005A0735"/>
    <w:rsid w:val="005E5482"/>
    <w:rsid w:val="00604E1E"/>
    <w:rsid w:val="00773A55"/>
    <w:rsid w:val="007C317A"/>
    <w:rsid w:val="00887DBC"/>
    <w:rsid w:val="008A7FA3"/>
    <w:rsid w:val="00BF79CA"/>
    <w:rsid w:val="00D50020"/>
    <w:rsid w:val="00D52394"/>
    <w:rsid w:val="00D64627"/>
    <w:rsid w:val="00E50158"/>
    <w:rsid w:val="00EE5919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B6E7E-FBE0-4617-92E6-40546E2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7FA3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DBC"/>
  </w:style>
  <w:style w:type="paragraph" w:styleId="Zpat">
    <w:name w:val="footer"/>
    <w:basedOn w:val="Normln"/>
    <w:link w:val="ZpatChar"/>
    <w:uiPriority w:val="99"/>
    <w:unhideWhenUsed/>
    <w:rsid w:val="00887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BC"/>
  </w:style>
  <w:style w:type="paragraph" w:styleId="Textbubliny">
    <w:name w:val="Balloon Text"/>
    <w:basedOn w:val="Normln"/>
    <w:link w:val="TextbublinyChar"/>
    <w:uiPriority w:val="99"/>
    <w:semiHidden/>
    <w:unhideWhenUsed/>
    <w:rsid w:val="00887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B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87DBC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8A7F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8A7FA3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8A7FA3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7F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8A7FA3"/>
    <w:pPr>
      <w:ind w:left="708"/>
    </w:pPr>
  </w:style>
  <w:style w:type="table" w:styleId="Mkatabulky">
    <w:name w:val="Table Grid"/>
    <w:basedOn w:val="Normlntabulka"/>
    <w:uiPriority w:val="59"/>
    <w:rsid w:val="00E5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Vansky Vojtech</dc:creator>
  <cp:lastModifiedBy>majitel</cp:lastModifiedBy>
  <cp:revision>2</cp:revision>
  <cp:lastPrinted>2018-05-22T10:35:00Z</cp:lastPrinted>
  <dcterms:created xsi:type="dcterms:W3CDTF">2018-05-22T10:35:00Z</dcterms:created>
  <dcterms:modified xsi:type="dcterms:W3CDTF">2018-05-22T10:35:00Z</dcterms:modified>
</cp:coreProperties>
</file>