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KUPNÍ  SMLOUV</w:t>
      </w:r>
      <w:r w:rsidR="00871455">
        <w:rPr>
          <w:b/>
          <w:sz w:val="32"/>
        </w:rPr>
        <w:t>A č: PS</w:t>
      </w:r>
      <w:r w:rsidR="00244E1D">
        <w:rPr>
          <w:b/>
          <w:sz w:val="32"/>
        </w:rPr>
        <w:t>12</w:t>
      </w:r>
      <w:r w:rsidR="00871455">
        <w:rPr>
          <w:b/>
          <w:sz w:val="32"/>
        </w:rPr>
        <w:t>/201</w:t>
      </w:r>
      <w:r w:rsidR="00244E1D">
        <w:rPr>
          <w:b/>
          <w:sz w:val="32"/>
        </w:rPr>
        <w:t>8</w:t>
      </w:r>
    </w:p>
    <w:p w:rsidR="002132EA" w:rsidRDefault="002132EA">
      <w:pPr>
        <w:rPr>
          <w:rFonts w:ascii="Arial" w:hAnsi="Arial"/>
          <w:b/>
        </w:rPr>
      </w:pPr>
    </w:p>
    <w:p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>Textilní 955, 506 01  Jičín</w:t>
      </w:r>
      <w:r w:rsidR="00CE1FBB">
        <w:rPr>
          <w:rFonts w:ascii="Arial" w:hAnsi="Arial"/>
          <w:color w:val="000000"/>
          <w:sz w:val="18"/>
        </w:rPr>
        <w:t xml:space="preserve">  </w:t>
      </w:r>
    </w:p>
    <w:p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Tel,fax: </w:t>
      </w:r>
    </w:p>
    <w:p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r w:rsidR="00B73724">
        <w:rPr>
          <w:rFonts w:ascii="Arial" w:hAnsi="Arial"/>
          <w:color w:val="000000"/>
          <w:sz w:val="18"/>
        </w:rPr>
        <w:t>Ing.</w:t>
      </w:r>
      <w:r w:rsidR="002232FE">
        <w:rPr>
          <w:rFonts w:ascii="Arial" w:hAnsi="Arial"/>
          <w:color w:val="000000"/>
          <w:sz w:val="18"/>
        </w:rPr>
        <w:t>Čeňkem Strašíkem – ředitelem společnosti</w:t>
      </w:r>
    </w:p>
    <w:p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> Hradci Králové, oddíl Pr, vložka č.90</w:t>
      </w:r>
    </w:p>
    <w:p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</w:p>
    <w:p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Č.účtu:</w:t>
      </w:r>
      <w:r w:rsidR="001410C5">
        <w:rPr>
          <w:rFonts w:ascii="Arial" w:hAnsi="Arial"/>
          <w:color w:val="000000"/>
          <w:sz w:val="18"/>
        </w:rPr>
        <w:t xml:space="preserve">    </w:t>
      </w:r>
    </w:p>
    <w:p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>CEREA, a.s., Dělnická 384, 531 25  PARDUBICE</w:t>
      </w:r>
      <w:r w:rsidR="00B361C3">
        <w:rPr>
          <w:rFonts w:ascii="Arial" w:hAnsi="Arial"/>
          <w:b/>
          <w:sz w:val="24"/>
          <w:szCs w:val="24"/>
        </w:rPr>
        <w:tab/>
      </w:r>
    </w:p>
    <w:p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r w:rsidR="00915D85">
        <w:rPr>
          <w:rFonts w:ascii="Arial" w:hAnsi="Arial"/>
          <w:color w:val="000000"/>
          <w:sz w:val="18"/>
        </w:rPr>
        <w:t>xxxxxx</w:t>
      </w:r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</w:t>
      </w:r>
      <w:r w:rsidR="00915D85">
        <w:rPr>
          <w:rFonts w:ascii="Arial" w:hAnsi="Arial"/>
          <w:color w:val="000000"/>
          <w:sz w:val="18"/>
        </w:rPr>
        <w:t>xxxxx</w:t>
      </w:r>
      <w:r w:rsidR="00724D57">
        <w:rPr>
          <w:rFonts w:ascii="Arial" w:hAnsi="Arial"/>
          <w:color w:val="000000"/>
          <w:sz w:val="18"/>
        </w:rPr>
        <w:t>0</w:t>
      </w:r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Ing.Davidem Hromkem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r w:rsidR="00915D85">
        <w:rPr>
          <w:rFonts w:ascii="Arial" w:hAnsi="Arial"/>
          <w:color w:val="000000"/>
          <w:sz w:val="18"/>
        </w:rPr>
        <w:t>xxxxxx</w:t>
      </w:r>
    </w:p>
    <w:p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Č.účtu: </w:t>
      </w:r>
      <w:r w:rsidR="00915D85">
        <w:rPr>
          <w:rFonts w:ascii="Arial" w:hAnsi="Arial"/>
          <w:color w:val="000000"/>
          <w:sz w:val="18"/>
        </w:rPr>
        <w:t>xxxxxx</w:t>
      </w:r>
    </w:p>
    <w:p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>Posypová sůl zrnitost 5-0,2 mm  VL</w:t>
      </w:r>
    </w:p>
    <w:p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NaCl</w:t>
      </w:r>
    </w:p>
    <w:p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Protispékací přípravek E535       </w:t>
      </w:r>
    </w:p>
    <w:p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r w:rsidR="00915D85">
        <w:rPr>
          <w:sz w:val="18"/>
        </w:rPr>
        <w:t>xxxxxx</w:t>
      </w:r>
    </w:p>
    <w:p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r w:rsidR="00915D85">
        <w:rPr>
          <w:sz w:val="18"/>
        </w:rPr>
        <w:t>xxxxxx</w:t>
      </w:r>
      <w:bookmarkStart w:id="0" w:name="_GoBack"/>
      <w:bookmarkEnd w:id="0"/>
    </w:p>
    <w:p w:rsidR="002132EA" w:rsidRDefault="002132EA">
      <w:pPr>
        <w:pStyle w:val="Zkladntext"/>
        <w:tabs>
          <w:tab w:val="left" w:pos="2340"/>
        </w:tabs>
        <w:ind w:left="0" w:firstLine="0"/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či poštou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:rsidR="00A34082" w:rsidRDefault="00A34082" w:rsidP="00A34082">
      <w:pPr>
        <w:pStyle w:val="Zkladntext21"/>
        <w:ind w:left="567"/>
        <w:rPr>
          <w:sz w:val="18"/>
        </w:rPr>
      </w:pPr>
    </w:p>
    <w:p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identifikovatelnost  dodávky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technických specifikací objednaného zboží musí prodávající provést  náhradní dodávku zboží splňující požadované technické parametry.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:rsid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>do 30.06.201</w:t>
      </w:r>
      <w:r w:rsidR="00244E1D">
        <w:rPr>
          <w:b/>
        </w:rPr>
        <w:t>8</w:t>
      </w:r>
      <w:r w:rsidR="00447D0F">
        <w:rPr>
          <w:b/>
        </w:rPr>
        <w:tab/>
      </w:r>
      <w:r w:rsidR="00447D0F">
        <w:rPr>
          <w:b/>
        </w:rPr>
        <w:tab/>
      </w:r>
      <w:r w:rsidRPr="00750EF3">
        <w:rPr>
          <w:b/>
        </w:rPr>
        <w:tab/>
        <w:t>Zimní dodávky od 01.11.201</w:t>
      </w:r>
      <w:r w:rsidR="00244E1D">
        <w:rPr>
          <w:b/>
        </w:rPr>
        <w:t>8</w:t>
      </w:r>
      <w:r w:rsidRPr="00750EF3">
        <w:rPr>
          <w:b/>
        </w:rPr>
        <w:t xml:space="preserve"> – 3</w:t>
      </w:r>
      <w:r w:rsidR="008B458C">
        <w:rPr>
          <w:b/>
        </w:rPr>
        <w:t>1</w:t>
      </w:r>
      <w:r w:rsidRPr="00750EF3">
        <w:rPr>
          <w:b/>
        </w:rPr>
        <w:t>.0</w:t>
      </w:r>
      <w:r w:rsidR="008B458C">
        <w:rPr>
          <w:b/>
        </w:rPr>
        <w:t>3</w:t>
      </w:r>
      <w:r w:rsidRPr="00750EF3">
        <w:rPr>
          <w:b/>
        </w:rPr>
        <w:t>.201</w:t>
      </w:r>
      <w:r w:rsidR="00244E1D">
        <w:rPr>
          <w:b/>
        </w:rPr>
        <w:t>9</w:t>
      </w:r>
    </w:p>
    <w:p w:rsidR="00750EF3" w:rsidRPr="00750EF3" w:rsidRDefault="00750EF3" w:rsidP="00750EF3">
      <w:pPr>
        <w:pStyle w:val="Zkladntextodsazen3"/>
        <w:ind w:firstLine="0"/>
        <w:jc w:val="both"/>
        <w:rPr>
          <w:b/>
        </w:rPr>
      </w:pPr>
    </w:p>
    <w:p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>Cena za zboží:  1</w:t>
      </w:r>
      <w:r w:rsidR="00447D0F">
        <w:rPr>
          <w:b/>
          <w:sz w:val="18"/>
        </w:rPr>
        <w:t>600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  <w:t xml:space="preserve">Cena za zboží:  </w:t>
      </w:r>
      <w:r w:rsidR="00447D0F">
        <w:rPr>
          <w:b/>
          <w:sz w:val="18"/>
        </w:rPr>
        <w:t>20</w:t>
      </w:r>
      <w:r w:rsidR="00244E1D">
        <w:rPr>
          <w:b/>
          <w:sz w:val="18"/>
        </w:rPr>
        <w:t>2</w:t>
      </w:r>
      <w:r w:rsidR="00447D0F">
        <w:rPr>
          <w:b/>
          <w:sz w:val="18"/>
        </w:rPr>
        <w:t>0</w:t>
      </w:r>
      <w:r w:rsidRPr="00750EF3">
        <w:rPr>
          <w:b/>
          <w:sz w:val="18"/>
        </w:rPr>
        <w:t>,</w:t>
      </w:r>
      <w:r w:rsidR="00CB4B83">
        <w:rPr>
          <w:b/>
          <w:sz w:val="18"/>
        </w:rPr>
        <w:t>00</w:t>
      </w:r>
      <w:r w:rsidRPr="00750EF3">
        <w:rPr>
          <w:b/>
          <w:sz w:val="18"/>
        </w:rPr>
        <w:t xml:space="preserve"> Kč/t</w:t>
      </w:r>
    </w:p>
    <w:p w:rsidR="00750EF3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DPH 21%             336,00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750EF3">
        <w:rPr>
          <w:sz w:val="18"/>
        </w:rPr>
        <w:tab/>
        <w:t xml:space="preserve">DPH 21%            </w:t>
      </w:r>
      <w:r>
        <w:rPr>
          <w:sz w:val="18"/>
        </w:rPr>
        <w:t>42</w:t>
      </w:r>
      <w:r w:rsidR="00244E1D">
        <w:rPr>
          <w:sz w:val="18"/>
        </w:rPr>
        <w:t>4</w:t>
      </w:r>
      <w:r>
        <w:rPr>
          <w:sz w:val="18"/>
        </w:rPr>
        <w:t>,</w:t>
      </w:r>
      <w:r w:rsidR="00244E1D">
        <w:rPr>
          <w:sz w:val="18"/>
        </w:rPr>
        <w:t>2</w:t>
      </w:r>
      <w:r>
        <w:rPr>
          <w:sz w:val="18"/>
        </w:rPr>
        <w:t>0 Kč/t</w:t>
      </w:r>
    </w:p>
    <w:p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1936,00 Kč/t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Celkem:             </w:t>
      </w:r>
      <w:r w:rsidR="00447D0F">
        <w:rPr>
          <w:sz w:val="18"/>
        </w:rPr>
        <w:t>24</w:t>
      </w:r>
      <w:r w:rsidR="00244E1D">
        <w:rPr>
          <w:sz w:val="18"/>
        </w:rPr>
        <w:t>44</w:t>
      </w:r>
      <w:r w:rsidR="00447D0F">
        <w:rPr>
          <w:sz w:val="18"/>
        </w:rPr>
        <w:t>,</w:t>
      </w:r>
      <w:r w:rsidR="00244E1D">
        <w:rPr>
          <w:sz w:val="18"/>
        </w:rPr>
        <w:t>2</w:t>
      </w:r>
      <w:r w:rsidR="00447D0F">
        <w:rPr>
          <w:sz w:val="18"/>
        </w:rPr>
        <w:t>0 Kč/t</w:t>
      </w:r>
    </w:p>
    <w:p w:rsidR="00921BFE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Množství: </w:t>
      </w:r>
      <w:r w:rsidR="00244E1D">
        <w:rPr>
          <w:sz w:val="18"/>
        </w:rPr>
        <w:t>150</w:t>
      </w:r>
      <w:r w:rsidR="00447D0F">
        <w:rPr>
          <w:sz w:val="18"/>
        </w:rPr>
        <w:t xml:space="preserve"> 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  <w:r>
        <w:rPr>
          <w:sz w:val="18"/>
        </w:rPr>
        <w:t xml:space="preserve">Množství: </w:t>
      </w:r>
      <w:r w:rsidR="00B73724">
        <w:rPr>
          <w:sz w:val="18"/>
        </w:rPr>
        <w:t xml:space="preserve">cca </w:t>
      </w:r>
      <w:r w:rsidR="00244E1D">
        <w:rPr>
          <w:sz w:val="18"/>
        </w:rPr>
        <w:t>250</w:t>
      </w:r>
      <w:r w:rsidR="00B73724">
        <w:rPr>
          <w:sz w:val="18"/>
        </w:rPr>
        <w:t xml:space="preserve"> t</w:t>
      </w:r>
    </w:p>
    <w:p w:rsidR="00750EF3" w:rsidRDefault="00750EF3" w:rsidP="00750EF3">
      <w:pPr>
        <w:pStyle w:val="Zkladntextodsazen3"/>
        <w:ind w:firstLine="0"/>
        <w:jc w:val="both"/>
        <w:rPr>
          <w:sz w:val="18"/>
        </w:rPr>
      </w:pPr>
    </w:p>
    <w:p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jinak  obvyklému účelu, a to po dobu </w:t>
      </w:r>
      <w:r>
        <w:rPr>
          <w:b/>
          <w:sz w:val="18"/>
        </w:rPr>
        <w:t>12 měsíců.</w:t>
      </w:r>
    </w:p>
    <w:p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>Garance výrobků ESCO na posypovou sůl je poskytována producentem 5tiletá garance proti spečení. Ta je však pouze v tom případě, když je posypová sůl skladována v suchém proti vnější vlhkosti dobře izolovaném skladu. odděleně od materiálu jiného původu např: písek,drť apod.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prohlédnout zboží podle možnosti co nejdříve po přechodu nebezpečí škody na zboží, přičemž se přihlédne k povaze zboží. Zjevné závady (např. porušenost obalů,  nesoulad v množství nebo druhu s dodacím listem) musí reklamovat bez zbytečného odkladu.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odstranění vady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lastRenderedPageBreak/>
        <w:t>Záruka se nevztahuje na vady způsobené kupujícím, neodbornou manipulací se zbožím ze strany kupujícího nebo vnějšími událostmi (živelná pohroma, vis maior).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:rsidR="00BC20DB" w:rsidRDefault="00BC20DB">
      <w:pPr>
        <w:jc w:val="both"/>
        <w:rPr>
          <w:rFonts w:ascii="Arial" w:hAnsi="Arial"/>
          <w:sz w:val="18"/>
        </w:rPr>
      </w:pP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dopustila se vůči ní nekalosoutěžního jednání,</w:t>
      </w:r>
    </w:p>
    <w:p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:rsidR="008079FA" w:rsidRDefault="008079FA" w:rsidP="008079FA">
      <w:pPr>
        <w:pStyle w:val="Zkladntext21"/>
        <w:ind w:left="567"/>
        <w:rPr>
          <w:sz w:val="18"/>
        </w:rPr>
      </w:pPr>
    </w:p>
    <w:p w:rsidR="002132EA" w:rsidRDefault="002132EA">
      <w:pPr>
        <w:pStyle w:val="Zkladntext21"/>
        <w:rPr>
          <w:sz w:val="20"/>
        </w:rPr>
      </w:pP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:rsidR="002132EA" w:rsidRDefault="002132EA">
      <w:pPr>
        <w:pStyle w:val="Zkladntext2"/>
        <w:rPr>
          <w:rFonts w:ascii="Arial" w:hAnsi="Arial"/>
          <w:sz w:val="20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se dohodly, že písemná forma úkonu je zachována i v případě zaslání a potvrzení objednávky prostřednictvím faxu nebo e-mailu a faxová či naskenovaná kopie se považuje za platný dokument rovnající se originálu.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.201</w:t>
      </w:r>
      <w:r w:rsidR="00972D89">
        <w:rPr>
          <w:rFonts w:ascii="Arial" w:hAnsi="Arial"/>
          <w:b/>
          <w:sz w:val="18"/>
        </w:rPr>
        <w:t>9</w:t>
      </w:r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:rsidR="000C3F89" w:rsidRPr="000C3F89" w:rsidRDefault="00406BE0" w:rsidP="004349B5">
      <w:pPr>
        <w:pStyle w:val="Bezmezer"/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11.6   </w:t>
      </w:r>
      <w:r w:rsidR="000C3F89" w:rsidRPr="000C3F89">
        <w:rPr>
          <w:rFonts w:ascii="Arial" w:hAnsi="Arial"/>
          <w:sz w:val="18"/>
        </w:rPr>
        <w:t xml:space="preserve">Vzhledem k tomu, že tato smlouva (objednávka) podléhá zveřejnění podle zákona č. 340/2015 Sb., o zvláštních </w:t>
      </w:r>
      <w:r w:rsidR="000C3F89">
        <w:rPr>
          <w:rFonts w:ascii="Arial" w:hAnsi="Arial"/>
          <w:sz w:val="18"/>
        </w:rPr>
        <w:t xml:space="preserve">              </w:t>
      </w:r>
      <w:r w:rsidR="00E42F38">
        <w:rPr>
          <w:rFonts w:ascii="Arial" w:hAnsi="Arial"/>
          <w:sz w:val="18"/>
        </w:rPr>
        <w:t xml:space="preserve">   </w:t>
      </w:r>
      <w:r w:rsidR="000C3F89" w:rsidRPr="000C3F89">
        <w:rPr>
          <w:rFonts w:ascii="Arial" w:hAnsi="Arial"/>
          <w:sz w:val="18"/>
        </w:rPr>
        <w:t>podmínkách účinnosti některých smluv, uveřejňování těchto smluv (objednávek) a o registru smluv (zákon o registru smluv), smluvní strany se dohodly, že Technické služby města Jičína, jenž jsou povinným subjektem dle ust. § 2 odst. 1 tohoto zákona, zašlou nejpozději do 30 dnů od uzavření smlouvu (objednávku) včetně metadat ve smyslu ust. § 5 odst. 2 a 5 zákona správci registru smluv k uveřejnění, s vyloučením, resp. znečitelněním těch informací, které jsou ze zákona vyňaty z povinnosti uveřejnění.</w:t>
      </w:r>
    </w:p>
    <w:p w:rsidR="000C3F89" w:rsidRDefault="000C3F89" w:rsidP="000C3F89">
      <w:pPr>
        <w:jc w:val="both"/>
        <w:rPr>
          <w:rFonts w:ascii="Arial" w:hAnsi="Arial"/>
          <w:sz w:val="18"/>
        </w:rPr>
      </w:pPr>
    </w:p>
    <w:p w:rsidR="000C3F89" w:rsidRDefault="000C3F89" w:rsidP="00794E17">
      <w:pPr>
        <w:pStyle w:val="Bezmezer"/>
        <w:ind w:left="567"/>
        <w:jc w:val="both"/>
        <w:rPr>
          <w:rFonts w:ascii="Arial" w:hAnsi="Arial"/>
          <w:sz w:val="18"/>
        </w:rPr>
      </w:pPr>
      <w:r w:rsidRPr="000C3F89">
        <w:rPr>
          <w:rFonts w:ascii="Arial" w:hAnsi="Arial"/>
          <w:sz w:val="18"/>
        </w:rPr>
        <w:lastRenderedPageBreak/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smlouvě.Tato smlouva (objednávka) je uzavřena připojením podpisu poslední smluvní stranou.</w:t>
      </w:r>
      <w:r w:rsidR="00794E17">
        <w:rPr>
          <w:rFonts w:ascii="Arial" w:hAnsi="Arial"/>
          <w:sz w:val="18"/>
        </w:rPr>
        <w:t xml:space="preserve"> </w:t>
      </w:r>
      <w:r w:rsidRPr="000C3F89">
        <w:rPr>
          <w:rFonts w:ascii="Arial" w:hAnsi="Arial"/>
          <w:sz w:val="18"/>
        </w:rPr>
        <w:t>Tato smlouva (objednávka) nabývá účinnosti dnem uveřejnění v registru smluv podle zákona č. 340/2015 Sb., o zvláštních podmínkách účinnosti některých smluv, uveřejňování těchto smluv a o registru smluv, ve zněn</w:t>
      </w:r>
      <w:r w:rsidR="00E82BE4">
        <w:rPr>
          <w:rFonts w:ascii="Arial" w:hAnsi="Arial"/>
          <w:sz w:val="18"/>
        </w:rPr>
        <w:t xml:space="preserve">í pozdějších předpisů. </w:t>
      </w:r>
      <w:r w:rsidRPr="000C3F89">
        <w:rPr>
          <w:rFonts w:ascii="Arial" w:hAnsi="Arial"/>
          <w:sz w:val="18"/>
        </w:rPr>
        <w:t>„Případné plnění stran v rámci předmětu této smlouvy (objednávky) před účinností se považuje za plnění podle této smlouvy (objednávky) a práva a povinnosti z něj vzniklé se řídí touto smlouvou (objednávkou)</w:t>
      </w:r>
    </w:p>
    <w:p w:rsidR="000C3F89" w:rsidRDefault="000C3F89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 w:rsidP="00054680">
      <w:pPr>
        <w:rPr>
          <w:rFonts w:ascii="Arial" w:hAnsi="Arial"/>
          <w:sz w:val="18"/>
        </w:rPr>
      </w:pPr>
    </w:p>
    <w:p w:rsidR="002132EA" w:rsidRDefault="002132EA" w:rsidP="00BB1D4A">
      <w:pPr>
        <w:ind w:left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</w:t>
      </w:r>
      <w:r w:rsidR="00100F90">
        <w:rPr>
          <w:rFonts w:ascii="Arial" w:hAnsi="Arial"/>
          <w:sz w:val="18"/>
        </w:rPr>
        <w:t>ě</w:t>
      </w:r>
      <w:r w:rsidR="00A03340">
        <w:rPr>
          <w:rFonts w:ascii="Arial" w:hAnsi="Arial"/>
          <w:sz w:val="18"/>
        </w:rPr>
        <w:t xml:space="preserve"> dne</w:t>
      </w:r>
      <w:r>
        <w:rPr>
          <w:rFonts w:ascii="Arial" w:hAnsi="Arial"/>
          <w:sz w:val="18"/>
        </w:rPr>
        <w:t xml:space="preserve">  </w:t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</w:t>
      </w:r>
      <w:r w:rsidR="00BB1D4A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>V Pardubicích dne</w:t>
      </w:r>
      <w:r w:rsidR="00486014">
        <w:rPr>
          <w:rFonts w:ascii="Arial" w:hAnsi="Arial"/>
          <w:sz w:val="18"/>
        </w:rPr>
        <w:t xml:space="preserve"> </w:t>
      </w:r>
      <w:r w:rsidR="00417B30">
        <w:rPr>
          <w:rFonts w:ascii="Arial" w:hAnsi="Arial"/>
          <w:sz w:val="18"/>
        </w:rPr>
        <w:t>29.05.2018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BB1D4A">
      <w:pPr>
        <w:ind w:left="567"/>
        <w:rPr>
          <w:rFonts w:ascii="Arial" w:hAnsi="Arial"/>
        </w:rPr>
      </w:pPr>
      <w:r>
        <w:rPr>
          <w:rFonts w:ascii="Arial" w:hAnsi="Arial"/>
          <w:sz w:val="18"/>
        </w:rPr>
        <w:t xml:space="preserve">……………………………                             </w:t>
      </w:r>
      <w:r w:rsidR="00BB1D4A">
        <w:rPr>
          <w:rFonts w:ascii="Arial" w:hAnsi="Arial"/>
          <w:sz w:val="18"/>
        </w:rPr>
        <w:tab/>
      </w:r>
      <w:r w:rsidR="00BB1D4A">
        <w:rPr>
          <w:rFonts w:ascii="Arial" w:hAnsi="Arial"/>
          <w:sz w:val="18"/>
        </w:rPr>
        <w:tab/>
      </w:r>
      <w:r w:rsidR="00BB1D4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……………………………..</w:t>
      </w:r>
    </w:p>
    <w:p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r w:rsidR="00BB1D4A">
        <w:rPr>
          <w:rFonts w:ascii="Arial" w:hAnsi="Arial"/>
        </w:rPr>
        <w:t xml:space="preserve"> </w:t>
      </w:r>
      <w:r w:rsidR="006156B4">
        <w:rPr>
          <w:rFonts w:ascii="Arial" w:hAnsi="Arial"/>
        </w:rPr>
        <w:t>Ing.</w:t>
      </w:r>
      <w:r w:rsidR="00BB1D4A">
        <w:rPr>
          <w:rFonts w:ascii="Arial" w:hAnsi="Arial"/>
        </w:rPr>
        <w:t xml:space="preserve"> </w:t>
      </w:r>
      <w:r w:rsidR="006156B4">
        <w:rPr>
          <w:rFonts w:ascii="Arial" w:hAnsi="Arial"/>
        </w:rPr>
        <w:t>Čeněk Strašík</w:t>
      </w:r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BB1D4A">
        <w:rPr>
          <w:rFonts w:ascii="Arial" w:hAnsi="Arial"/>
        </w:rPr>
        <w:tab/>
        <w:t xml:space="preserve">   </w:t>
      </w:r>
      <w:r w:rsidR="00911258">
        <w:rPr>
          <w:rFonts w:ascii="Arial" w:hAnsi="Arial"/>
        </w:rPr>
        <w:t>Ing.</w:t>
      </w:r>
      <w:r w:rsidR="00BB1D4A">
        <w:rPr>
          <w:rFonts w:ascii="Arial" w:hAnsi="Arial"/>
        </w:rPr>
        <w:t xml:space="preserve"> </w:t>
      </w:r>
      <w:r w:rsidR="00911258">
        <w:rPr>
          <w:rFonts w:ascii="Arial" w:hAnsi="Arial"/>
        </w:rPr>
        <w:t>František Turek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7F2700">
        <w:rPr>
          <w:rFonts w:ascii="Arial" w:hAnsi="Arial"/>
        </w:rPr>
        <w:t xml:space="preserve"> </w:t>
      </w:r>
      <w:r w:rsidR="00BB1D4A">
        <w:rPr>
          <w:rFonts w:ascii="Arial" w:hAnsi="Arial"/>
        </w:rPr>
        <w:t xml:space="preserve">  </w:t>
      </w:r>
      <w:r w:rsidR="007F2700">
        <w:rPr>
          <w:rFonts w:ascii="Arial" w:hAnsi="Arial"/>
        </w:rPr>
        <w:t>ř</w:t>
      </w:r>
      <w:r w:rsidR="000F6A23">
        <w:rPr>
          <w:rFonts w:ascii="Arial" w:hAnsi="Arial"/>
        </w:rPr>
        <w:t>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</w:t>
      </w:r>
      <w:r w:rsidR="00BB1D4A">
        <w:rPr>
          <w:rFonts w:ascii="Arial" w:hAnsi="Arial"/>
        </w:rPr>
        <w:tab/>
        <w:t xml:space="preserve">           </w:t>
      </w:r>
      <w:r>
        <w:rPr>
          <w:rFonts w:ascii="Arial" w:hAnsi="Arial"/>
        </w:rPr>
        <w:t>předseda představenstva</w:t>
      </w:r>
    </w:p>
    <w:p w:rsidR="00911258" w:rsidRDefault="00911258">
      <w:pPr>
        <w:rPr>
          <w:rFonts w:ascii="Arial" w:hAnsi="Arial"/>
        </w:rPr>
      </w:pPr>
    </w:p>
    <w:p w:rsidR="00911258" w:rsidRDefault="00911258">
      <w:pPr>
        <w:rPr>
          <w:rFonts w:ascii="Arial" w:hAnsi="Arial"/>
        </w:rPr>
      </w:pP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="00BB1D4A">
        <w:rPr>
          <w:rFonts w:ascii="Arial" w:hAnsi="Arial"/>
        </w:rPr>
        <w:tab/>
      </w:r>
      <w:r w:rsidR="00BB1D4A">
        <w:rPr>
          <w:rFonts w:ascii="Arial" w:hAnsi="Arial"/>
        </w:rPr>
        <w:tab/>
      </w:r>
      <w:r>
        <w:rPr>
          <w:rFonts w:ascii="Arial" w:hAnsi="Arial"/>
        </w:rPr>
        <w:t>……………………………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B1D4A">
        <w:rPr>
          <w:rFonts w:ascii="Arial" w:hAnsi="Arial"/>
        </w:rPr>
        <w:tab/>
        <w:t xml:space="preserve">     </w:t>
      </w:r>
      <w:r>
        <w:rPr>
          <w:rFonts w:ascii="Arial" w:hAnsi="Arial"/>
        </w:rPr>
        <w:t>Ing.</w:t>
      </w:r>
      <w:r w:rsidR="00BB1D4A">
        <w:rPr>
          <w:rFonts w:ascii="Arial" w:hAnsi="Arial"/>
        </w:rPr>
        <w:t xml:space="preserve"> </w:t>
      </w:r>
      <w:r>
        <w:rPr>
          <w:rFonts w:ascii="Arial" w:hAnsi="Arial"/>
        </w:rPr>
        <w:t>David Hromek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 w:rsidR="00BB1D4A">
        <w:rPr>
          <w:rFonts w:ascii="Arial" w:hAnsi="Arial"/>
        </w:rPr>
        <w:tab/>
      </w:r>
      <w:r w:rsidR="00BB1D4A">
        <w:rPr>
          <w:rFonts w:ascii="Arial" w:hAnsi="Arial"/>
        </w:rPr>
        <w:tab/>
        <w:t xml:space="preserve">    </w:t>
      </w:r>
      <w:r>
        <w:rPr>
          <w:rFonts w:ascii="Arial" w:hAnsi="Arial"/>
        </w:rPr>
        <w:t>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D6" w:rsidRDefault="00D417D6">
      <w:r>
        <w:separator/>
      </w:r>
    </w:p>
  </w:endnote>
  <w:endnote w:type="continuationSeparator" w:id="0">
    <w:p w:rsidR="00D417D6" w:rsidRDefault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C436C8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C436C8">
      <w:rPr>
        <w:rStyle w:val="slostrnky"/>
        <w:rFonts w:ascii="Arial" w:hAnsi="Arial"/>
      </w:rPr>
      <w:fldChar w:fldCharType="separate"/>
    </w:r>
    <w:r w:rsidR="00915D85">
      <w:rPr>
        <w:rStyle w:val="slostrnky"/>
        <w:rFonts w:ascii="Arial" w:hAnsi="Arial"/>
        <w:noProof/>
      </w:rPr>
      <w:t>3</w:t>
    </w:r>
    <w:r w:rsidR="00C436C8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EA" w:rsidRDefault="002132EA">
    <w:pPr>
      <w:pStyle w:val="Zpat"/>
      <w:pBdr>
        <w:bottom w:val="single" w:sz="6" w:space="1" w:color="auto"/>
      </w:pBdr>
    </w:pPr>
  </w:p>
  <w:p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C436C8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C436C8">
      <w:rPr>
        <w:rStyle w:val="slostrnky"/>
        <w:rFonts w:ascii="Arial" w:hAnsi="Arial"/>
        <w:sz w:val="22"/>
      </w:rPr>
      <w:fldChar w:fldCharType="separate"/>
    </w:r>
    <w:r w:rsidR="00915D85">
      <w:rPr>
        <w:rStyle w:val="slostrnky"/>
        <w:rFonts w:ascii="Arial" w:hAnsi="Arial"/>
        <w:noProof/>
        <w:sz w:val="22"/>
      </w:rPr>
      <w:t>1</w:t>
    </w:r>
    <w:r w:rsidR="00C436C8">
      <w:rPr>
        <w:rStyle w:val="slostrnky"/>
        <w:rFonts w:ascii="Arial" w:hAnsi="Arial"/>
        <w:sz w:val="22"/>
      </w:rPr>
      <w:fldChar w:fldCharType="end"/>
    </w:r>
  </w:p>
  <w:p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D6" w:rsidRDefault="00D417D6">
      <w:r>
        <w:separator/>
      </w:r>
    </w:p>
  </w:footnote>
  <w:footnote w:type="continuationSeparator" w:id="0">
    <w:p w:rsidR="00D417D6" w:rsidRDefault="00D4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1"/>
  </w:num>
  <w:num w:numId="5">
    <w:abstractNumId w:val="19"/>
  </w:num>
  <w:num w:numId="6">
    <w:abstractNumId w:val="14"/>
  </w:num>
  <w:num w:numId="7">
    <w:abstractNumId w:val="12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21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A7A"/>
    <w:rsid w:val="00017A4A"/>
    <w:rsid w:val="00036D92"/>
    <w:rsid w:val="00054680"/>
    <w:rsid w:val="0009427E"/>
    <w:rsid w:val="000A5F2B"/>
    <w:rsid w:val="000C3F89"/>
    <w:rsid w:val="000F6A23"/>
    <w:rsid w:val="00100F90"/>
    <w:rsid w:val="001019FC"/>
    <w:rsid w:val="001023A4"/>
    <w:rsid w:val="00114135"/>
    <w:rsid w:val="001410C5"/>
    <w:rsid w:val="0014526A"/>
    <w:rsid w:val="001708B4"/>
    <w:rsid w:val="00177BAF"/>
    <w:rsid w:val="00187471"/>
    <w:rsid w:val="002032CC"/>
    <w:rsid w:val="002132EA"/>
    <w:rsid w:val="002232FE"/>
    <w:rsid w:val="00244E1D"/>
    <w:rsid w:val="00253870"/>
    <w:rsid w:val="002F2AE5"/>
    <w:rsid w:val="003636C1"/>
    <w:rsid w:val="003D57C3"/>
    <w:rsid w:val="003D662D"/>
    <w:rsid w:val="003E3ADE"/>
    <w:rsid w:val="00406BE0"/>
    <w:rsid w:val="00417B30"/>
    <w:rsid w:val="00433181"/>
    <w:rsid w:val="004349B5"/>
    <w:rsid w:val="00447D0F"/>
    <w:rsid w:val="00470D80"/>
    <w:rsid w:val="00476BB1"/>
    <w:rsid w:val="00486014"/>
    <w:rsid w:val="004F707B"/>
    <w:rsid w:val="00576395"/>
    <w:rsid w:val="005B3A40"/>
    <w:rsid w:val="005F5F97"/>
    <w:rsid w:val="00602BC1"/>
    <w:rsid w:val="00605710"/>
    <w:rsid w:val="006156B4"/>
    <w:rsid w:val="00616DCE"/>
    <w:rsid w:val="00710330"/>
    <w:rsid w:val="0071397C"/>
    <w:rsid w:val="00724D57"/>
    <w:rsid w:val="00750EF3"/>
    <w:rsid w:val="00761A7D"/>
    <w:rsid w:val="00767AEE"/>
    <w:rsid w:val="00794E17"/>
    <w:rsid w:val="007F2700"/>
    <w:rsid w:val="008079FA"/>
    <w:rsid w:val="008153BA"/>
    <w:rsid w:val="008301A3"/>
    <w:rsid w:val="00844B8A"/>
    <w:rsid w:val="00870B12"/>
    <w:rsid w:val="00871455"/>
    <w:rsid w:val="008736FD"/>
    <w:rsid w:val="0088675C"/>
    <w:rsid w:val="008B458C"/>
    <w:rsid w:val="008B7310"/>
    <w:rsid w:val="008C2F12"/>
    <w:rsid w:val="008D569E"/>
    <w:rsid w:val="008E27B6"/>
    <w:rsid w:val="00911258"/>
    <w:rsid w:val="00913028"/>
    <w:rsid w:val="00915D85"/>
    <w:rsid w:val="00921BFE"/>
    <w:rsid w:val="00972D89"/>
    <w:rsid w:val="009B500B"/>
    <w:rsid w:val="00A03340"/>
    <w:rsid w:val="00A34082"/>
    <w:rsid w:val="00A55DE5"/>
    <w:rsid w:val="00A61DA0"/>
    <w:rsid w:val="00A835C4"/>
    <w:rsid w:val="00AD4B5E"/>
    <w:rsid w:val="00AD746A"/>
    <w:rsid w:val="00B15A0F"/>
    <w:rsid w:val="00B361C3"/>
    <w:rsid w:val="00B62B34"/>
    <w:rsid w:val="00B657BC"/>
    <w:rsid w:val="00B73724"/>
    <w:rsid w:val="00B945BE"/>
    <w:rsid w:val="00BB1D4A"/>
    <w:rsid w:val="00BC20DB"/>
    <w:rsid w:val="00BD56A4"/>
    <w:rsid w:val="00C1355E"/>
    <w:rsid w:val="00C25CF6"/>
    <w:rsid w:val="00C436C8"/>
    <w:rsid w:val="00CB3496"/>
    <w:rsid w:val="00CB47D6"/>
    <w:rsid w:val="00CB4B83"/>
    <w:rsid w:val="00CD0413"/>
    <w:rsid w:val="00CE1FBB"/>
    <w:rsid w:val="00CF188C"/>
    <w:rsid w:val="00D1205C"/>
    <w:rsid w:val="00D16A7A"/>
    <w:rsid w:val="00D33D27"/>
    <w:rsid w:val="00D37DE7"/>
    <w:rsid w:val="00D417D6"/>
    <w:rsid w:val="00D4712E"/>
    <w:rsid w:val="00D66C4E"/>
    <w:rsid w:val="00DA5662"/>
    <w:rsid w:val="00DE0F5C"/>
    <w:rsid w:val="00E02E6B"/>
    <w:rsid w:val="00E150E3"/>
    <w:rsid w:val="00E16D7E"/>
    <w:rsid w:val="00E2352E"/>
    <w:rsid w:val="00E35A2F"/>
    <w:rsid w:val="00E42F38"/>
    <w:rsid w:val="00E56F87"/>
    <w:rsid w:val="00E82BE4"/>
    <w:rsid w:val="00EA566D"/>
    <w:rsid w:val="00EE02E5"/>
    <w:rsid w:val="00EE0F8A"/>
    <w:rsid w:val="00F51916"/>
    <w:rsid w:val="00F84939"/>
    <w:rsid w:val="00F93B3D"/>
    <w:rsid w:val="00FB4FAF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6EBF9A-4B10-4103-AD9B-03C6D88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1">
    <w:name w:val="Podnadpis1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C3F89"/>
  </w:style>
  <w:style w:type="paragraph" w:styleId="Bezmezer">
    <w:name w:val="No Spacing"/>
    <w:basedOn w:val="Normln"/>
    <w:link w:val="BezmezerChar"/>
    <w:uiPriority w:val="1"/>
    <w:qFormat/>
    <w:rsid w:val="000C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1888</Words>
  <Characters>11146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13008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11</cp:revision>
  <cp:lastPrinted>2012-03-16T05:29:00Z</cp:lastPrinted>
  <dcterms:created xsi:type="dcterms:W3CDTF">2018-05-30T05:33:00Z</dcterms:created>
  <dcterms:modified xsi:type="dcterms:W3CDTF">2018-05-30T10:15:00Z</dcterms:modified>
</cp:coreProperties>
</file>