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55" w:rsidRDefault="0067681F">
      <w:pPr>
        <w:pStyle w:val="Nadpis10"/>
        <w:keepNext/>
        <w:keepLines/>
        <w:shd w:val="clear" w:color="auto" w:fill="auto"/>
        <w:spacing w:after="0" w:line="290" w:lineRule="exact"/>
      </w:pPr>
      <w:bookmarkStart w:id="0" w:name="bookmark0"/>
      <w:bookmarkStart w:id="1" w:name="_GoBack"/>
      <w:bookmarkEnd w:id="1"/>
      <w:r>
        <w:t>DODATEK č. 4/2018 k obchodní smlouvě č. V/0603155</w:t>
      </w:r>
      <w:bookmarkEnd w:id="0"/>
    </w:p>
    <w:p w:rsidR="004A1F55" w:rsidRDefault="0067681F">
      <w:pPr>
        <w:pStyle w:val="Zkladntext20"/>
        <w:shd w:val="clear" w:color="auto" w:fill="auto"/>
        <w:tabs>
          <w:tab w:val="left" w:pos="2269"/>
        </w:tabs>
        <w:spacing w:before="0" w:after="139"/>
        <w:ind w:left="3520" w:right="2120"/>
      </w:pPr>
      <w:r>
        <w:t>o</w:t>
      </w:r>
      <w:r>
        <w:tab/>
        <w:t>Poskytování ekonomických a softwarových služeb (dále jen dodatek)</w:t>
      </w:r>
    </w:p>
    <w:p w:rsidR="004A1F55" w:rsidRDefault="0067681F">
      <w:pPr>
        <w:pStyle w:val="Titulektabulky0"/>
        <w:framePr w:w="8705" w:wrap="notBeside" w:vAnchor="text" w:hAnchor="text" w:xAlign="center" w:y="1"/>
        <w:shd w:val="clear" w:color="auto" w:fill="auto"/>
        <w:spacing w:line="200" w:lineRule="exact"/>
      </w:pPr>
      <w:r>
        <w:t>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4"/>
        <w:gridCol w:w="4511"/>
      </w:tblGrid>
      <w:tr w:rsidR="004A1F55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Název a sídlo: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302" w:lineRule="exact"/>
              <w:ind w:left="120" w:firstLine="0"/>
              <w:jc w:val="left"/>
            </w:pPr>
            <w:r>
              <w:rPr>
                <w:rStyle w:val="ZkladntextTun"/>
              </w:rPr>
              <w:t>Mateřská škola Zlín, příspěvková organizace</w:t>
            </w:r>
          </w:p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302" w:lineRule="exact"/>
              <w:ind w:left="120" w:firstLine="0"/>
              <w:jc w:val="left"/>
            </w:pPr>
            <w:r>
              <w:rPr>
                <w:rStyle w:val="Zkladntext1"/>
              </w:rPr>
              <w:t>M. Knesla 4056 PSČ 760 01, Zlín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 xml:space="preserve">Zápis v obchodním rejstříku </w:t>
            </w:r>
            <w:r>
              <w:rPr>
                <w:rStyle w:val="Zkladntext1"/>
              </w:rPr>
              <w:t xml:space="preserve">(či jiné </w:t>
            </w:r>
            <w:r>
              <w:rPr>
                <w:rStyle w:val="Zkladntext1"/>
              </w:rPr>
              <w:t>evidenci):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60" w:line="200" w:lineRule="exact"/>
              <w:ind w:left="120" w:firstLine="0"/>
              <w:jc w:val="left"/>
            </w:pPr>
            <w:r>
              <w:rPr>
                <w:rStyle w:val="Zkladntext1"/>
              </w:rPr>
              <w:t>11. října 2003</w:t>
            </w:r>
          </w:p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Pr 907 vedená u Krajského soudu v Brně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Statutární zástupce: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Mgr. Marie Hřibová , ředitelka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71007407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5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CZ71007407</w:t>
            </w:r>
          </w:p>
        </w:tc>
      </w:tr>
    </w:tbl>
    <w:p w:rsidR="004A1F55" w:rsidRDefault="004A1F55">
      <w:pPr>
        <w:rPr>
          <w:sz w:val="2"/>
          <w:szCs w:val="2"/>
        </w:rPr>
      </w:pPr>
    </w:p>
    <w:p w:rsidR="004A1F55" w:rsidRDefault="0067681F">
      <w:pPr>
        <w:pStyle w:val="Zkladntext20"/>
        <w:shd w:val="clear" w:color="auto" w:fill="auto"/>
        <w:spacing w:before="231" w:after="0" w:line="200" w:lineRule="exact"/>
        <w:ind w:firstLine="0"/>
        <w:jc w:val="center"/>
      </w:pPr>
      <w:r>
        <w:t>(dále jen odběratel)</w:t>
      </w:r>
    </w:p>
    <w:p w:rsidR="004A1F55" w:rsidRDefault="0067681F">
      <w:pPr>
        <w:pStyle w:val="Zkladntext21"/>
        <w:shd w:val="clear" w:color="auto" w:fill="auto"/>
        <w:spacing w:before="0" w:after="200" w:line="200" w:lineRule="exact"/>
        <w:ind w:firstLine="0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4410"/>
      </w:tblGrid>
      <w:tr w:rsidR="004A1F55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Název a sídlo: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120" w:line="200" w:lineRule="exact"/>
              <w:ind w:left="120" w:firstLine="0"/>
              <w:jc w:val="left"/>
            </w:pPr>
            <w:r>
              <w:rPr>
                <w:rStyle w:val="ZkladntextTun"/>
              </w:rPr>
              <w:t>Kvasar, spol. s r.o.</w:t>
            </w:r>
          </w:p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12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K Pasekám 3679, 760 01 Zlín, P.O.BOX 141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 xml:space="preserve">Zápis v obchodním rejstříku </w:t>
            </w:r>
            <w:r>
              <w:rPr>
                <w:rStyle w:val="Zkladntext1"/>
              </w:rPr>
              <w:t>(či jiné evidenci):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310" w:lineRule="exact"/>
              <w:ind w:left="120" w:firstLine="0"/>
              <w:jc w:val="left"/>
            </w:pPr>
            <w:r>
              <w:rPr>
                <w:rStyle w:val="Zkladntext1"/>
              </w:rPr>
              <w:t>C 907 vedená u Krajského soudu v Brně Den zápisu 28. 3. 1991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Statutární zástupce: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Vítězslav Vicherek, jednatel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IČO: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005 69 135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Tun"/>
              </w:rPr>
              <w:t>DIČ: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701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Zkladntext1"/>
              </w:rPr>
              <w:t>CZ 005 69 135</w:t>
            </w:r>
          </w:p>
        </w:tc>
      </w:tr>
    </w:tbl>
    <w:p w:rsidR="004A1F55" w:rsidRDefault="0067681F">
      <w:pPr>
        <w:pStyle w:val="Titulektabulky20"/>
        <w:framePr w:w="8701" w:wrap="notBeside" w:vAnchor="text" w:hAnchor="text" w:xAlign="center" w:y="1"/>
        <w:shd w:val="clear" w:color="auto" w:fill="auto"/>
        <w:spacing w:line="200" w:lineRule="exact"/>
      </w:pPr>
      <w:r>
        <w:t>(dále jen dodavatel)</w:t>
      </w:r>
    </w:p>
    <w:p w:rsidR="004A1F55" w:rsidRDefault="004A1F55">
      <w:pPr>
        <w:rPr>
          <w:sz w:val="2"/>
          <w:szCs w:val="2"/>
        </w:rPr>
      </w:pPr>
    </w:p>
    <w:p w:rsidR="004A1F55" w:rsidRDefault="0067681F">
      <w:pPr>
        <w:pStyle w:val="Zkladntext20"/>
        <w:shd w:val="clear" w:color="auto" w:fill="auto"/>
        <w:spacing w:before="231" w:after="480" w:line="200" w:lineRule="exact"/>
        <w:ind w:firstLine="0"/>
        <w:jc w:val="center"/>
      </w:pPr>
      <w:r>
        <w:t>(společně „smluvní strany")</w:t>
      </w:r>
    </w:p>
    <w:p w:rsidR="004A1F55" w:rsidRDefault="0067681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after="126" w:line="290" w:lineRule="exact"/>
        <w:ind w:left="20"/>
        <w:jc w:val="left"/>
      </w:pPr>
      <w:bookmarkStart w:id="2" w:name="bookmark1"/>
      <w:r>
        <w:t xml:space="preserve">Předmět </w:t>
      </w:r>
      <w:r>
        <w:t>dodatku</w:t>
      </w:r>
      <w:bookmarkEnd w:id="2"/>
    </w:p>
    <w:p w:rsidR="004A1F55" w:rsidRDefault="0067681F">
      <w:pPr>
        <w:pStyle w:val="Zkladntext21"/>
        <w:numPr>
          <w:ilvl w:val="0"/>
          <w:numId w:val="2"/>
        </w:numPr>
        <w:shd w:val="clear" w:color="auto" w:fill="auto"/>
        <w:tabs>
          <w:tab w:val="left" w:pos="684"/>
        </w:tabs>
        <w:spacing w:before="0" w:after="0" w:line="259" w:lineRule="exact"/>
        <w:ind w:left="720" w:right="580"/>
        <w:jc w:val="left"/>
      </w:pPr>
      <w:r>
        <w:t>Soulad poskytovaných služeb s Obecným nařízením Evropského parlamentu a Rady (EU) 2016/679, ze dne 27. dubna 2016 (dále jen „GDPR").</w:t>
      </w:r>
    </w:p>
    <w:p w:rsidR="004A1F55" w:rsidRDefault="0067681F">
      <w:pPr>
        <w:pStyle w:val="Zkladntext21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215" w:line="259" w:lineRule="exact"/>
        <w:ind w:left="720"/>
        <w:jc w:val="both"/>
      </w:pPr>
      <w:r>
        <w:t>Úprava ceníku služeb.</w:t>
      </w:r>
    </w:p>
    <w:p w:rsidR="004A1F55" w:rsidRDefault="0067681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after="123" w:line="290" w:lineRule="exact"/>
        <w:ind w:left="20"/>
        <w:jc w:val="left"/>
      </w:pPr>
      <w:bookmarkStart w:id="3" w:name="bookmark2"/>
      <w:r>
        <w:t>GDPR</w:t>
      </w:r>
      <w:bookmarkEnd w:id="3"/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0" w:line="259" w:lineRule="exact"/>
        <w:ind w:left="720" w:right="60"/>
        <w:jc w:val="both"/>
      </w:pPr>
      <w:r>
        <w:t>Dodavatel se ve smyslu GDPR považuje za Zpracovatele osobních údajů, se všemi pro něj vy</w:t>
      </w:r>
      <w:r>
        <w:t>plývajícími důsledky a povinnostmi. Odběratel se považuje za Správce osobních údajů, se všemi pro něj vyplývajícími důsledky a povinnostmi.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0" w:line="259" w:lineRule="exact"/>
        <w:ind w:left="720" w:right="60"/>
        <w:jc w:val="both"/>
      </w:pPr>
      <w:r>
        <w:t xml:space="preserve">Ustanovení o vzájemných povinnostech Správce a Zpracovatele při zpracování osobních dat zajišťuje, že nedojde k </w:t>
      </w:r>
      <w:r>
        <w:t>nezákonnému použití osobních údajů týkajících se Subjektů údajů ani k jejich předání do rukou neoprávněné třetí strany. Smluvní strany se dohodly na podmínkách zajištění odpovídajících opatření k zabezpečení ochrany osobních údajů a základních práv a svobo</w:t>
      </w:r>
      <w:r>
        <w:t>d Subjektů údajů při zpracování osobních údajů Zpracovatelem.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0" w:line="252" w:lineRule="exact"/>
        <w:ind w:left="700" w:right="20" w:hanging="340"/>
        <w:jc w:val="both"/>
      </w:pPr>
      <w:r>
        <w:t xml:space="preserve">Zpracovatel se zavazuje zpracovávat pouze a výlučně ty osobní údaje, které jsou nutné k výkonu jeho </w:t>
      </w:r>
      <w:r>
        <w:lastRenderedPageBreak/>
        <w:t>činnosti zpracovatele mzdové a personální agendy dle této smlouvy.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0" w:line="252" w:lineRule="exact"/>
        <w:ind w:left="700" w:right="20" w:hanging="340"/>
        <w:jc w:val="both"/>
      </w:pPr>
      <w:r>
        <w:t>Zpracovatel je oprávněn zpr</w:t>
      </w:r>
      <w:r>
        <w:t>acovávat osobní údaje dle této smlouvy pouze a výlučně po dobu účinnosti této smlouvy.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84"/>
        </w:tabs>
        <w:spacing w:before="0" w:after="0" w:line="252" w:lineRule="exact"/>
        <w:ind w:left="700" w:right="20" w:hanging="340"/>
        <w:jc w:val="both"/>
      </w:pPr>
      <w:r>
        <w:t>Zpracovatel je oprávněn zpracovávat osobní údaje pouze za účelem stanoveným v předmětu smlouvy.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52" w:lineRule="exact"/>
        <w:ind w:left="700" w:right="20" w:hanging="340"/>
        <w:jc w:val="both"/>
      </w:pPr>
      <w:r>
        <w:t xml:space="preserve">Zpracovatel je povinen se při zpracování osobních údajů řídit výslovnými </w:t>
      </w:r>
      <w:r>
        <w:t>pokyny Správce, budou-li mu takové uděleny, ať již ústní či písemnou formou. Za písemnou formu se považuje</w:t>
      </w:r>
    </w:p>
    <w:p w:rsidR="004A1F55" w:rsidRDefault="0067681F">
      <w:pPr>
        <w:pStyle w:val="Zkladntext21"/>
        <w:numPr>
          <w:ilvl w:val="0"/>
          <w:numId w:val="4"/>
        </w:numPr>
        <w:shd w:val="clear" w:color="auto" w:fill="auto"/>
        <w:tabs>
          <w:tab w:val="left" w:pos="1035"/>
          <w:tab w:val="left" w:pos="855"/>
        </w:tabs>
        <w:spacing w:before="0" w:after="0" w:line="252" w:lineRule="exact"/>
        <w:ind w:left="700" w:right="20" w:firstLine="0"/>
        <w:jc w:val="both"/>
      </w:pPr>
      <w:r>
        <w:t>elektronická komunikace, včetně e-mailu. Zpracovatel je povinen neprodleně Správce informovat, pokud dle jeho názoru udělený pokyn Správce porušuje G</w:t>
      </w:r>
      <w:r>
        <w:t>DPR nebo jiné předpisy na ochranu osobních údajů.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252" w:lineRule="exact"/>
        <w:ind w:left="700" w:right="20" w:hanging="340"/>
        <w:jc w:val="both"/>
      </w:pPr>
      <w:r>
        <w:t xml:space="preserve">Zpracovatel je povinen zajistit, že osoby, jimiž bude provádět plnění dle této smlouvy, se zavážou k mlčenlivosti ohledně veškeré činnosti související s touto smlouvou, zejména pak k mlčenlivosti ve vztahu </w:t>
      </w:r>
      <w:r>
        <w:t>ke všem osobním údajům, ke kterým budou mít přístup, nebo s kterými přijdou do kontaktu.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80"/>
        </w:tabs>
        <w:spacing w:before="0" w:after="0" w:line="252" w:lineRule="exact"/>
        <w:ind w:left="700" w:right="20" w:hanging="340"/>
        <w:jc w:val="both"/>
      </w:pPr>
      <w:r>
        <w:t xml:space="preserve">Zpracovatel je povinen, ve smyslu čl. 32 GDPR přijmout, s ohledem na stav techniky, náklady na provedení, povahu, rozsah, kontext a účely zpracování i k různě </w:t>
      </w:r>
      <w:r>
        <w:t>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</w:t>
      </w:r>
      <w:r>
        <w:t>tě, změně, zpřístupnění neoprávněným stranám, zneužití či jinému způsobu zpracování v rozporu s GDPR.</w:t>
      </w:r>
    </w:p>
    <w:p w:rsidR="004A1F55" w:rsidRDefault="0067681F">
      <w:pPr>
        <w:pStyle w:val="Zkladntext21"/>
        <w:numPr>
          <w:ilvl w:val="0"/>
          <w:numId w:val="3"/>
        </w:numPr>
        <w:shd w:val="clear" w:color="auto" w:fill="auto"/>
        <w:tabs>
          <w:tab w:val="left" w:pos="680"/>
        </w:tabs>
        <w:spacing w:before="0" w:after="0" w:line="252" w:lineRule="exact"/>
        <w:ind w:left="700" w:right="20" w:hanging="340"/>
        <w:jc w:val="both"/>
      </w:pPr>
      <w:r>
        <w:t>Zpracovatel je povinen písemně seznámit Správce s jakýmkoliv podezřením na porušení nebo skutečným porušením bezpečnosti zpracování osobních údajů podle u</w:t>
      </w:r>
      <w:r>
        <w:t>stanovení této smlouvy, např.: jakoukoliv odchylkou od udělených pokynů, odchylkou od sjednaného přístupu pro Správce, plánovaným zveřejněním, upgradem, testy apod., kterými může dojít k úpravě nebo změně zabezpečení nebo zpracování osobních údajů, jakýmko</w:t>
      </w:r>
      <w:r>
        <w:t>liv podezřením z porušení důvěrnosti, jakýmkoliv podezřením z náhodného či nezákonného zničení, ztráty, změny, zpřístupnění neoprávněným stranám, zneužití či jiného způsobu zpracování osobních údajů v rozporu s GDPR. Správce bude neprodleně seznámen s jaký</w:t>
      </w:r>
      <w:r>
        <w:t>mkoliv podstatným porušením těchto ustanovení o zpracování dat.</w:t>
      </w:r>
    </w:p>
    <w:p w:rsidR="004A1F55" w:rsidRDefault="0067681F">
      <w:pPr>
        <w:pStyle w:val="Zkladntext21"/>
        <w:shd w:val="clear" w:color="auto" w:fill="auto"/>
        <w:spacing w:before="0" w:after="0" w:line="252" w:lineRule="exact"/>
        <w:ind w:left="700" w:right="20" w:hanging="340"/>
        <w:jc w:val="both"/>
      </w:pPr>
      <w:r>
        <w:t>j) Zpracovatel není oprávněn, ve smyslu čl. 28 GDPR, zapojit do zpracování osobních údajů dalšího zpracovatele (zákaz řetězení zpracovatelů), bez předchozího schválení a písemného souhlasu Spr</w:t>
      </w:r>
      <w:r>
        <w:t>ávce.</w:t>
      </w:r>
    </w:p>
    <w:p w:rsidR="004A1F55" w:rsidRDefault="0067681F">
      <w:pPr>
        <w:pStyle w:val="Zkladntext21"/>
        <w:shd w:val="clear" w:color="auto" w:fill="auto"/>
        <w:spacing w:before="0" w:after="0" w:line="252" w:lineRule="exact"/>
        <w:ind w:left="700" w:right="20" w:hanging="340"/>
        <w:jc w:val="both"/>
      </w:pPr>
      <w:r>
        <w:t>k) Zpracovatel je povinen a zavazuje se k veškeré součinnosti se Správcem, o kterou bude požádán v souvislosti se zpracováním osobních údajů nebo která mu přímo vyplývá z GDPR. Zpracovatel je povinen na vyžádání zpřístupnit Správci svá písemná techni</w:t>
      </w:r>
      <w:r>
        <w:t>cká a organizační bezpečnostní opatření a umožnit mu případnou kontrolu dodržování předložených technických a organizačních bezpečnostních opatření.</w:t>
      </w:r>
    </w:p>
    <w:p w:rsidR="004A1F55" w:rsidRDefault="0067681F">
      <w:pPr>
        <w:pStyle w:val="Zkladntext21"/>
        <w:shd w:val="clear" w:color="auto" w:fill="auto"/>
        <w:spacing w:before="0" w:after="50" w:line="252" w:lineRule="exact"/>
        <w:ind w:left="700" w:right="20" w:hanging="340"/>
        <w:jc w:val="both"/>
      </w:pPr>
      <w:r>
        <w:t>I) Nejpozději k datu ukončení účinnosti této smlouvy Zpracovatel předá Správci ty osobní údaje, u nichž sta</w:t>
      </w:r>
      <w:r>
        <w:t>noví právní předpis EU, případně vnitrostátní právní předpis, povinnost jejich archivace. Zpracovatel odpovídá za archivaci, úplnost a správnost dokladů jen do data jejich předání. Zpracovatel je po ukončení účinnosti této smlouvy povinen všechny osobní úd</w:t>
      </w:r>
      <w:r>
        <w:t>aje, které má v držení, vymazat.</w:t>
      </w:r>
    </w:p>
    <w:p w:rsidR="004A1F55" w:rsidRDefault="0067681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  <w:spacing w:after="0" w:line="565" w:lineRule="exact"/>
        <w:ind w:left="20"/>
        <w:jc w:val="left"/>
      </w:pPr>
      <w:bookmarkStart w:id="4" w:name="bookmark3"/>
      <w:r>
        <w:t>Opatření v souvislosti s GDPR</w:t>
      </w:r>
      <w:bookmarkEnd w:id="4"/>
    </w:p>
    <w:p w:rsidR="004A1F55" w:rsidRDefault="0067681F">
      <w:pPr>
        <w:pStyle w:val="Zkladntext30"/>
        <w:numPr>
          <w:ilvl w:val="1"/>
          <w:numId w:val="1"/>
        </w:numPr>
        <w:shd w:val="clear" w:color="auto" w:fill="auto"/>
        <w:tabs>
          <w:tab w:val="left" w:pos="571"/>
        </w:tabs>
        <w:ind w:left="20"/>
      </w:pPr>
      <w:bookmarkStart w:id="5" w:name="bookmark4"/>
      <w:r>
        <w:t>Odpovědné osoby</w:t>
      </w:r>
      <w:bookmarkEnd w:id="5"/>
    </w:p>
    <w:p w:rsidR="004A1F55" w:rsidRDefault="0067681F">
      <w:pPr>
        <w:pStyle w:val="Zkladntext21"/>
        <w:shd w:val="clear" w:color="auto" w:fill="auto"/>
        <w:spacing w:before="0" w:after="0" w:line="256" w:lineRule="exact"/>
        <w:ind w:left="20" w:right="560" w:firstLine="0"/>
        <w:jc w:val="left"/>
        <w:sectPr w:rsidR="004A1F55">
          <w:footerReference w:type="default" r:id="rId7"/>
          <w:type w:val="continuous"/>
          <w:pgSz w:w="11909" w:h="16838"/>
          <w:pgMar w:top="1324" w:right="1508" w:bottom="2310" w:left="1533" w:header="0" w:footer="3" w:gutter="0"/>
          <w:cols w:space="720"/>
          <w:noEndnote/>
          <w:docGrid w:linePitch="360"/>
        </w:sectPr>
      </w:pPr>
      <w:r>
        <w:t xml:space="preserve">Odběratel určí kontaktní osobu odpovědnou za </w:t>
      </w:r>
      <w:r>
        <w:t>přípravu a předávání podkladů pro zpracování a přebírání výstupů ze zpracování.</w:t>
      </w:r>
    </w:p>
    <w:p w:rsidR="004A1F55" w:rsidRDefault="0067681F">
      <w:pPr>
        <w:pStyle w:val="Zkladntext21"/>
        <w:shd w:val="clear" w:color="auto" w:fill="auto"/>
        <w:spacing w:before="0" w:after="236" w:line="245" w:lineRule="exact"/>
        <w:ind w:left="40" w:right="900" w:firstLine="0"/>
        <w:jc w:val="left"/>
      </w:pPr>
      <w:r>
        <w:lastRenderedPageBreak/>
        <w:t>Dodavatel určí mzdovou účetní odpovědnou za zpracování a předávání podkladů-výstupů ze zpracování odběrateli.</w:t>
      </w:r>
    </w:p>
    <w:p w:rsidR="004A1F55" w:rsidRDefault="0067681F">
      <w:pPr>
        <w:pStyle w:val="Zkladntext30"/>
        <w:numPr>
          <w:ilvl w:val="1"/>
          <w:numId w:val="1"/>
        </w:numPr>
        <w:shd w:val="clear" w:color="auto" w:fill="auto"/>
        <w:tabs>
          <w:tab w:val="left" w:pos="580"/>
        </w:tabs>
        <w:spacing w:after="16" w:line="250" w:lineRule="exact"/>
        <w:ind w:left="40"/>
        <w:jc w:val="both"/>
      </w:pPr>
      <w:bookmarkStart w:id="6" w:name="bookmark5"/>
      <w:r>
        <w:t>Způsob předávání podkladů</w:t>
      </w:r>
      <w:bookmarkEnd w:id="6"/>
    </w:p>
    <w:p w:rsidR="004A1F55" w:rsidRDefault="0067681F">
      <w:pPr>
        <w:pStyle w:val="Zkladntext21"/>
        <w:shd w:val="clear" w:color="auto" w:fill="auto"/>
        <w:spacing w:before="0" w:after="0" w:line="252" w:lineRule="exact"/>
        <w:ind w:left="40" w:firstLine="0"/>
        <w:jc w:val="both"/>
      </w:pPr>
      <w:r>
        <w:t xml:space="preserve">Podklady je možné předávat třemi </w:t>
      </w:r>
      <w:r>
        <w:t>způsoby:</w:t>
      </w:r>
    </w:p>
    <w:p w:rsidR="004A1F55" w:rsidRDefault="0067681F">
      <w:pPr>
        <w:pStyle w:val="Zkladntext21"/>
        <w:numPr>
          <w:ilvl w:val="0"/>
          <w:numId w:val="5"/>
        </w:numPr>
        <w:shd w:val="clear" w:color="auto" w:fill="auto"/>
        <w:tabs>
          <w:tab w:val="left" w:pos="695"/>
        </w:tabs>
        <w:spacing w:before="0" w:after="0" w:line="252" w:lineRule="exact"/>
        <w:ind w:left="720" w:right="900"/>
        <w:jc w:val="left"/>
      </w:pPr>
      <w:r>
        <w:t>Písemně prostřednictví doporučené pošty v bezpečně zalepené obálce (razítko v místě uzavření obálky přelepené průhlednou lepicí páskou).</w:t>
      </w:r>
    </w:p>
    <w:p w:rsidR="004A1F55" w:rsidRDefault="0067681F">
      <w:pPr>
        <w:pStyle w:val="Zkladntext21"/>
        <w:numPr>
          <w:ilvl w:val="0"/>
          <w:numId w:val="5"/>
        </w:numPr>
        <w:shd w:val="clear" w:color="auto" w:fill="auto"/>
        <w:tabs>
          <w:tab w:val="left" w:pos="684"/>
        </w:tabs>
        <w:spacing w:before="0" w:after="0" w:line="252" w:lineRule="exact"/>
        <w:ind w:left="720" w:right="220"/>
        <w:jc w:val="left"/>
      </w:pPr>
      <w:r>
        <w:t>Osobním předáním mezi určenými kontaktními osobami nebo osobním předáním v bezpečně zalepené obálce mezi osoba</w:t>
      </w:r>
      <w:r>
        <w:t>mi pověřenými k předání.</w:t>
      </w:r>
    </w:p>
    <w:p w:rsidR="004A1F55" w:rsidRDefault="0067681F">
      <w:pPr>
        <w:pStyle w:val="Zkladntext21"/>
        <w:numPr>
          <w:ilvl w:val="0"/>
          <w:numId w:val="5"/>
        </w:numPr>
        <w:shd w:val="clear" w:color="auto" w:fill="auto"/>
        <w:tabs>
          <w:tab w:val="left" w:pos="695"/>
        </w:tabs>
        <w:spacing w:before="0" w:after="242" w:line="252" w:lineRule="exact"/>
        <w:ind w:left="720"/>
        <w:jc w:val="left"/>
      </w:pPr>
      <w:r>
        <w:t>E-mailovými zprávami zabezpečenými šifrováním.</w:t>
      </w:r>
    </w:p>
    <w:p w:rsidR="004A1F55" w:rsidRDefault="0067681F">
      <w:pPr>
        <w:pStyle w:val="Zkladntext30"/>
        <w:numPr>
          <w:ilvl w:val="1"/>
          <w:numId w:val="1"/>
        </w:numPr>
        <w:shd w:val="clear" w:color="auto" w:fill="auto"/>
        <w:tabs>
          <w:tab w:val="left" w:pos="576"/>
        </w:tabs>
        <w:spacing w:after="22" w:line="250" w:lineRule="exact"/>
        <w:ind w:left="40"/>
        <w:jc w:val="both"/>
      </w:pPr>
      <w:bookmarkStart w:id="7" w:name="bookmark6"/>
      <w:r>
        <w:t>Zálohování dat</w:t>
      </w:r>
      <w:bookmarkEnd w:id="7"/>
    </w:p>
    <w:p w:rsidR="004A1F55" w:rsidRDefault="0067681F">
      <w:pPr>
        <w:pStyle w:val="Zkladntext21"/>
        <w:shd w:val="clear" w:color="auto" w:fill="auto"/>
        <w:spacing w:before="0" w:after="207" w:line="248" w:lineRule="exact"/>
        <w:ind w:left="40" w:right="220" w:firstLine="0"/>
        <w:jc w:val="both"/>
      </w:pPr>
      <w:r>
        <w:t xml:space="preserve">Za pravidelné zálohování elektronických dat v minimálním intervalu jeden měsíc, je odpovědná ta smluvní strana, na jejímž serveru je systém PERM 3 provozován. </w:t>
      </w:r>
      <w:r>
        <w:t>Zpracovatel je nad to oprávněn si z důvodu archivace vytvářet vlastní zálohy dat.</w:t>
      </w:r>
    </w:p>
    <w:p w:rsidR="004A1F55" w:rsidRDefault="0067681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61"/>
        </w:tabs>
        <w:spacing w:after="182" w:line="290" w:lineRule="exact"/>
        <w:ind w:left="40"/>
        <w:jc w:val="both"/>
      </w:pPr>
      <w:bookmarkStart w:id="8" w:name="bookmark7"/>
      <w:r>
        <w:t>Úprava ceny služeb</w:t>
      </w:r>
      <w:bookmarkEnd w:id="8"/>
    </w:p>
    <w:p w:rsidR="004A1F55" w:rsidRDefault="0067681F">
      <w:pPr>
        <w:pStyle w:val="Titulektabulky0"/>
        <w:framePr w:w="8665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1"/>
        </w:rPr>
        <w:t>Nové položky ceníku služeb: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2419"/>
      </w:tblGrid>
      <w:tr w:rsidR="004A1F55">
        <w:tblPrEx>
          <w:tblCellMar>
            <w:top w:w="0" w:type="dxa"/>
            <w:bottom w:w="0" w:type="dxa"/>
          </w:tblCellMar>
        </w:tblPrEx>
        <w:trPr>
          <w:trHeight w:hRule="exact" w:val="1156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665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both"/>
            </w:pPr>
            <w:r>
              <w:rPr>
                <w:rStyle w:val="Zkladntext1"/>
              </w:rPr>
              <w:t>Exekuce</w:t>
            </w:r>
          </w:p>
          <w:p w:rsidR="004A1F55" w:rsidRDefault="0067681F">
            <w:pPr>
              <w:pStyle w:val="Zkladntext21"/>
              <w:framePr w:w="8665" w:wrap="notBeside" w:vAnchor="text" w:hAnchor="text" w:xAlign="center" w:y="1"/>
              <w:shd w:val="clear" w:color="auto" w:fill="auto"/>
              <w:spacing w:before="0" w:after="0" w:line="256" w:lineRule="exact"/>
              <w:ind w:left="800" w:hanging="340"/>
              <w:jc w:val="left"/>
            </w:pPr>
            <w:r>
              <w:rPr>
                <w:rStyle w:val="Zkladntext1"/>
              </w:rPr>
              <w:t>• cena za zavedení každé exekuce.</w:t>
            </w:r>
          </w:p>
          <w:p w:rsidR="004A1F55" w:rsidRDefault="0067681F">
            <w:pPr>
              <w:pStyle w:val="Zkladntext21"/>
              <w:framePr w:w="8665" w:wrap="notBeside" w:vAnchor="text" w:hAnchor="text" w:xAlign="center" w:y="1"/>
              <w:shd w:val="clear" w:color="auto" w:fill="auto"/>
              <w:spacing w:before="0" w:after="0" w:line="256" w:lineRule="exact"/>
              <w:ind w:firstLine="0"/>
              <w:jc w:val="both"/>
            </w:pPr>
            <w:r>
              <w:rPr>
                <w:rStyle w:val="Zkladntext1"/>
              </w:rPr>
              <w:t>(položka je uplatněna jen pro nově zaváděné exekuce od data účinnosti tohoto dodatku)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665" w:wrap="notBeside" w:vAnchor="text" w:hAnchor="text" w:xAlign="center" w:y="1"/>
              <w:shd w:val="clear" w:color="auto" w:fill="auto"/>
              <w:spacing w:before="0" w:after="0" w:line="200" w:lineRule="exact"/>
              <w:ind w:right="120" w:firstLine="0"/>
              <w:jc w:val="right"/>
            </w:pPr>
            <w:r>
              <w:rPr>
                <w:rStyle w:val="Zkladntext1"/>
              </w:rPr>
              <w:t>350,- Kč</w:t>
            </w:r>
          </w:p>
        </w:tc>
      </w:tr>
      <w:tr w:rsidR="004A1F55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665" w:wrap="notBeside" w:vAnchor="text" w:hAnchor="text" w:xAlign="center" w:y="1"/>
              <w:shd w:val="clear" w:color="auto" w:fill="auto"/>
              <w:spacing w:before="0" w:after="0" w:line="263" w:lineRule="exact"/>
              <w:ind w:firstLine="0"/>
              <w:jc w:val="both"/>
            </w:pPr>
            <w:r>
              <w:rPr>
                <w:rStyle w:val="Zkladntext1"/>
              </w:rPr>
              <w:t>Vícepráce</w:t>
            </w:r>
          </w:p>
          <w:p w:rsidR="004A1F55" w:rsidRDefault="0067681F">
            <w:pPr>
              <w:pStyle w:val="Zkladntext21"/>
              <w:framePr w:w="866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0"/>
              </w:tabs>
              <w:spacing w:before="0" w:after="0" w:line="263" w:lineRule="exact"/>
              <w:ind w:firstLine="0"/>
            </w:pPr>
            <w:r>
              <w:rPr>
                <w:rStyle w:val="Zkladntext1"/>
              </w:rPr>
              <w:t>vyžádané práce nad rámec dohodnutých součástí zpracování</w:t>
            </w:r>
          </w:p>
          <w:p w:rsidR="004A1F55" w:rsidRDefault="0067681F">
            <w:pPr>
              <w:pStyle w:val="Zkladntext21"/>
              <w:framePr w:w="866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95"/>
              </w:tabs>
              <w:spacing w:before="0" w:after="0" w:line="263" w:lineRule="exact"/>
              <w:ind w:left="800" w:hanging="340"/>
              <w:jc w:val="left"/>
            </w:pPr>
            <w:r>
              <w:rPr>
                <w:rStyle w:val="Zkladntext1"/>
              </w:rPr>
              <w:t>práce spojené s opravami již zpracovaných mezd a výstupů, kvůli chybným nebo nekompletním podkladům od odběratele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55" w:rsidRDefault="0067681F">
            <w:pPr>
              <w:pStyle w:val="Zkladntext21"/>
              <w:framePr w:w="8665" w:wrap="notBeside" w:vAnchor="text" w:hAnchor="text" w:xAlign="center" w:y="1"/>
              <w:shd w:val="clear" w:color="auto" w:fill="auto"/>
              <w:spacing w:before="0" w:after="0" w:line="200" w:lineRule="exact"/>
              <w:ind w:right="120" w:firstLine="0"/>
              <w:jc w:val="right"/>
            </w:pPr>
            <w:r>
              <w:rPr>
                <w:rStyle w:val="Zkladntext1"/>
              </w:rPr>
              <w:t>800,- Kč/hod.</w:t>
            </w:r>
          </w:p>
        </w:tc>
      </w:tr>
    </w:tbl>
    <w:p w:rsidR="004A1F55" w:rsidRDefault="0067681F">
      <w:pPr>
        <w:pStyle w:val="Titulektabulky0"/>
        <w:framePr w:w="8665" w:wrap="notBeside" w:vAnchor="text" w:hAnchor="text" w:xAlign="center" w:y="1"/>
        <w:shd w:val="clear" w:color="auto" w:fill="auto"/>
        <w:spacing w:line="252" w:lineRule="exact"/>
        <w:jc w:val="both"/>
      </w:pPr>
      <w:r>
        <w:t xml:space="preserve">Položka Vícepráce nahrazuje část textu v čl. 3 </w:t>
      </w:r>
      <w:r>
        <w:t>smlouvy zabývající se zvýšenou sazbou za zpracování v případě dodatečných oprav podkladů.</w:t>
      </w:r>
    </w:p>
    <w:p w:rsidR="004A1F55" w:rsidRDefault="004A1F55">
      <w:pPr>
        <w:rPr>
          <w:sz w:val="2"/>
          <w:szCs w:val="2"/>
        </w:rPr>
      </w:pPr>
    </w:p>
    <w:p w:rsidR="004A1F55" w:rsidRDefault="0067681F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43"/>
        </w:tabs>
        <w:spacing w:before="217" w:after="173" w:line="290" w:lineRule="exact"/>
        <w:ind w:left="40"/>
        <w:jc w:val="both"/>
      </w:pPr>
      <w:bookmarkStart w:id="9" w:name="bookmark8"/>
      <w:r>
        <w:t>Závěrečná ustanovení</w:t>
      </w:r>
      <w:bookmarkEnd w:id="9"/>
    </w:p>
    <w:p w:rsidR="004A1F55" w:rsidRDefault="0067681F">
      <w:pPr>
        <w:pStyle w:val="Zkladntext21"/>
        <w:numPr>
          <w:ilvl w:val="0"/>
          <w:numId w:val="7"/>
        </w:numPr>
        <w:shd w:val="clear" w:color="auto" w:fill="auto"/>
        <w:tabs>
          <w:tab w:val="left" w:pos="695"/>
        </w:tabs>
        <w:spacing w:before="0" w:after="68" w:line="200" w:lineRule="exact"/>
        <w:ind w:left="720"/>
        <w:jc w:val="left"/>
      </w:pPr>
      <w:r>
        <w:t>Dodatek nabývá platnosti dnem podpisu obou smluvních stran a účinnosti 25. 5. 2018.</w:t>
      </w:r>
    </w:p>
    <w:p w:rsidR="004A1F55" w:rsidRDefault="0067681F">
      <w:pPr>
        <w:pStyle w:val="Zkladntext21"/>
        <w:numPr>
          <w:ilvl w:val="0"/>
          <w:numId w:val="7"/>
        </w:numPr>
        <w:shd w:val="clear" w:color="auto" w:fill="auto"/>
        <w:tabs>
          <w:tab w:val="left" w:pos="680"/>
        </w:tabs>
        <w:spacing w:before="0" w:after="0" w:line="200" w:lineRule="exact"/>
        <w:ind w:left="720"/>
        <w:jc w:val="left"/>
      </w:pPr>
      <w:r>
        <w:t>Ostatní ujednání smlouvy se nemění a zůstávají v platnosti.</w:t>
      </w:r>
    </w:p>
    <w:sectPr w:rsidR="004A1F55">
      <w:footerReference w:type="default" r:id="rId8"/>
      <w:pgSz w:w="11909" w:h="16838"/>
      <w:pgMar w:top="1324" w:right="1508" w:bottom="2310" w:left="1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1F" w:rsidRDefault="0067681F">
      <w:r>
        <w:separator/>
      </w:r>
    </w:p>
  </w:endnote>
  <w:endnote w:type="continuationSeparator" w:id="0">
    <w:p w:rsidR="0067681F" w:rsidRDefault="0067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55" w:rsidRDefault="006768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9756775</wp:posOffset>
              </wp:positionV>
              <wp:extent cx="64135" cy="146050"/>
              <wp:effectExtent l="1270" t="317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F55" w:rsidRDefault="006768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681F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1pt;margin-top:768.2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" filled="f" stroked="f">
              <v:textbox style="mso-fit-shape-to-text:t" inset="0,0,0,0">
                <w:txbxContent>
                  <w:p w:rsidR="004A1F55" w:rsidRDefault="0067681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681F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55" w:rsidRDefault="004A1F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1F" w:rsidRDefault="0067681F"/>
  </w:footnote>
  <w:footnote w:type="continuationSeparator" w:id="0">
    <w:p w:rsidR="0067681F" w:rsidRDefault="00676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7E92"/>
    <w:multiLevelType w:val="multilevel"/>
    <w:tmpl w:val="D65402B6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E6F28"/>
    <w:multiLevelType w:val="multilevel"/>
    <w:tmpl w:val="5B042D0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67298E"/>
    <w:multiLevelType w:val="multilevel"/>
    <w:tmpl w:val="DC2634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970567"/>
    <w:multiLevelType w:val="multilevel"/>
    <w:tmpl w:val="BC48CE6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F44914"/>
    <w:multiLevelType w:val="multilevel"/>
    <w:tmpl w:val="7F6017B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A9694F"/>
    <w:multiLevelType w:val="multilevel"/>
    <w:tmpl w:val="8C5AEAA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C01432"/>
    <w:multiLevelType w:val="multilevel"/>
    <w:tmpl w:val="E1D0837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55"/>
    <w:rsid w:val="004A1F55"/>
    <w:rsid w:val="006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0D58E7B-5042-473B-A88B-964AA4EC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Titulektabulky1">
    <w:name w:val="Titulek tabulky"/>
    <w:basedOn w:val="Titulektabulky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z w:val="29"/>
      <w:szCs w:val="2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504" w:lineRule="exact"/>
      <w:ind w:hanging="142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60" w:after="240" w:line="0" w:lineRule="atLeast"/>
      <w:ind w:hanging="36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565" w:lineRule="exact"/>
    </w:pPr>
    <w:rPr>
      <w:rFonts w:ascii="Calibri" w:eastAsia="Calibri" w:hAnsi="Calibri" w:cs="Calibri"/>
      <w:b/>
      <w:bCs/>
      <w:i/>
      <w:i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2018-05-29T08:45:00Z</dcterms:created>
  <dcterms:modified xsi:type="dcterms:W3CDTF">2018-05-29T08:46:00Z</dcterms:modified>
</cp:coreProperties>
</file>