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A" w:rsidRDefault="00517CE6">
      <w:pPr>
        <w:pStyle w:val="Heading110"/>
        <w:framePr w:wrap="none" w:vAnchor="page" w:hAnchor="page" w:x="1432" w:y="127"/>
        <w:shd w:val="clear" w:color="auto" w:fill="auto"/>
        <w:spacing w:after="0"/>
        <w:ind w:left="6620"/>
      </w:pPr>
      <w:bookmarkStart w:id="0" w:name="bookmark0"/>
      <w:bookmarkStart w:id="1" w:name="_GoBack"/>
      <w:bookmarkEnd w:id="1"/>
      <w:r>
        <w:rPr>
          <w:rStyle w:val="Heading11SmallCaps"/>
          <w:i/>
          <w:iCs/>
        </w:rPr>
        <w:t>tk</w:t>
      </w:r>
      <w:bookmarkEnd w:id="0"/>
    </w:p>
    <w:p w:rsidR="008748AA" w:rsidRDefault="00517CE6">
      <w:pPr>
        <w:pStyle w:val="Heading210"/>
        <w:framePr w:w="9787" w:h="374" w:hRule="exact" w:wrap="none" w:vAnchor="page" w:hAnchor="page" w:x="1432" w:y="1265"/>
        <w:shd w:val="clear" w:color="auto" w:fill="auto"/>
        <w:spacing w:before="0" w:after="0"/>
        <w:ind w:left="20"/>
      </w:pPr>
      <w:bookmarkStart w:id="2" w:name="bookmark1"/>
      <w:r>
        <w:t>Příloha č. 2 ke smlouvě q dílo a poradenské činnosti č. 006 ze dne 4.1.20Í2</w:t>
      </w:r>
      <w:bookmarkEnd w:id="2"/>
    </w:p>
    <w:p w:rsidR="008748AA" w:rsidRDefault="00517CE6">
      <w:pPr>
        <w:pStyle w:val="Bodytext20"/>
        <w:framePr w:w="9787" w:h="6870" w:hRule="exact" w:wrap="none" w:vAnchor="page" w:hAnchor="page" w:x="1432" w:y="1916"/>
        <w:shd w:val="clear" w:color="auto" w:fill="auto"/>
        <w:spacing w:before="0" w:after="48"/>
        <w:ind w:left="20" w:firstLine="0"/>
      </w:pPr>
      <w:r>
        <w:t>Důvěrnost informací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0" w:line="490" w:lineRule="exact"/>
        <w:ind w:left="320"/>
        <w:jc w:val="both"/>
      </w:pPr>
      <w:r>
        <w:t>Smluvní strany jsou si vědomy toho, že v rámci plnění smlouvy: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490" w:lineRule="exact"/>
        <w:ind w:left="320"/>
        <w:jc w:val="both"/>
      </w:pPr>
      <w:r>
        <w:t>si mohou vzájemně poskytnout informace, které budou považovány za důvěrné</w:t>
      </w:r>
    </w:p>
    <w:p w:rsidR="008748AA" w:rsidRDefault="00517CE6">
      <w:pPr>
        <w:pStyle w:val="Bodytext20"/>
        <w:framePr w:w="9787" w:h="6870" w:hRule="exact" w:wrap="none" w:vAnchor="page" w:hAnchor="page" w:x="1432" w:y="1916"/>
        <w:shd w:val="clear" w:color="auto" w:fill="auto"/>
        <w:spacing w:before="0" w:after="0"/>
        <w:ind w:left="320"/>
        <w:jc w:val="both"/>
      </w:pPr>
      <w:r>
        <w:t xml:space="preserve">(dále „důvěrné </w:t>
      </w:r>
      <w:r>
        <w:t>informace"),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248"/>
        <w:ind w:left="320"/>
        <w:jc w:val="both"/>
      </w:pPr>
      <w:r>
        <w:t>mohou jejich zaměstnanci získat přístup k důvěrným informacím druhé strany.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40" w:lineRule="exact"/>
        <w:ind w:left="320"/>
        <w:jc w:val="both"/>
      </w:pPr>
      <w:r>
        <w:t>Veškeré důvěrné informace zůstávají výhradním vlastnictvím předávající strany a přijímající strana vyvine pro</w:t>
      </w:r>
      <w:r>
        <w:br/>
        <w:t>zachování jejich důvěrnosti a pro jejich ochranu stejné ú</w:t>
      </w:r>
      <w:r>
        <w:t>silí, jako by se jednalo o její vlastní důvěrné informace. S</w:t>
      </w:r>
      <w:r>
        <w:br/>
        <w:t>výjimkou plnění této smlouvy, se obě strany zavazují nepublikovat žádným způsobem důvěrné informace druhé</w:t>
      </w:r>
      <w:r>
        <w:br/>
        <w:t>strany, nepředat je třetí straně ani svým vlastním zaměstnancům a zástupcům s výjimkou tě</w:t>
      </w:r>
      <w:r>
        <w:t>ch, kteří s nimi potřebují</w:t>
      </w:r>
      <w:r>
        <w:br/>
        <w:t>být seznámeni, aby mohli splnit smlouvu. Obě strany se zároveň zavazují nepoužít důvěrné informace druhé strany</w:t>
      </w:r>
      <w:r>
        <w:br/>
        <w:t>jinak než za účelem plnění smlouvy nebo uplatnění svých práv z této smlouvy.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0" w:line="240" w:lineRule="exact"/>
        <w:ind w:left="320"/>
        <w:jc w:val="both"/>
      </w:pPr>
      <w:r>
        <w:t>Nedohodnou-li se smluvní strany výslovně</w:t>
      </w:r>
      <w:r>
        <w:t xml:space="preserve"> jinak, považují se za důvěrné implicitně všechny informace, které jsou a</w:t>
      </w:r>
      <w:r>
        <w:br/>
        <w:t>nebo by mohly být součástí obchodního tajemství, tj. například ale nejenom popisy nebo části popisů</w:t>
      </w:r>
      <w:r>
        <w:br/>
        <w:t>technologických procesů a vzorců, technických vzorců a technického know-how, infor</w:t>
      </w:r>
      <w:r>
        <w:t>mace o provozních metodách,</w:t>
      </w:r>
      <w:r>
        <w:br/>
        <w:t>procedurách a pracovních postupech, obchodní nebo marketingové plány, koncepce a strategie nebo jejich části,</w:t>
      </w:r>
      <w:r>
        <w:br/>
        <w:t>nabídky, kontrakty, smlouvy, dohody nebo jiná ujednání s třetími stranami, informace o výsledcích hospodaření, o</w:t>
      </w:r>
      <w:r>
        <w:br/>
        <w:t>vztaz</w:t>
      </w:r>
      <w:r>
        <w:t>ích s obchodními partnery, o pracovněprávních otázkách a všechny další informace, jejichž zveřejnění</w:t>
      </w:r>
      <w:r>
        <w:br/>
        <w:t>přijímající stranou by předávající straně mohlo způsobit škodu. Za důvěrné informace se zvláštním režimem ochrany</w:t>
      </w:r>
      <w:r>
        <w:br/>
        <w:t>se pak považují osobní údaje ve smyslu čl</w:t>
      </w:r>
      <w:r>
        <w:t>. 4. odst. 1 GDPR, zejména pak osobní údaje žáků a zaměstnanců</w:t>
      </w:r>
      <w:r>
        <w:br/>
        <w:t>objednatele.</w:t>
      </w:r>
    </w:p>
    <w:p w:rsidR="008748AA" w:rsidRDefault="00517CE6">
      <w:pPr>
        <w:pStyle w:val="Bodytext20"/>
        <w:framePr w:w="9787" w:h="6870" w:hRule="exact" w:wrap="none" w:vAnchor="page" w:hAnchor="page" w:x="1432" w:y="1916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 w:line="240" w:lineRule="exact"/>
        <w:ind w:left="320" w:firstLine="0"/>
        <w:jc w:val="both"/>
      </w:pPr>
      <w:r>
        <w:t>Pokud jsou důvěrné informace poskytovány v písemné podobě anebo ve formě textových souborů na</w:t>
      </w:r>
      <w:r>
        <w:br/>
        <w:t>počítačových médiích, je předávající strana povinna upozornit přijímající stranu na dů</w:t>
      </w:r>
      <w:r>
        <w:t>věrnost takového materiálu. U</w:t>
      </w:r>
      <w:r>
        <w:br/>
        <w:t>osobních údajů ve smyslu čl. 4. odst. 1 GDPR je Zhotovitel povinen navíc v souvislosti s výkonem svých úkolů</w:t>
      </w:r>
      <w:r>
        <w:br/>
        <w:t>dodržovat tajemství a důvěrnost těchto osobních údajů a jejich náležitou ochranu ve smyslu čl. 38 odst. 5 GDPR.</w:t>
      </w:r>
    </w:p>
    <w:p w:rsidR="008748AA" w:rsidRDefault="00517CE6">
      <w:pPr>
        <w:pStyle w:val="Bodytext30"/>
        <w:framePr w:wrap="none" w:vAnchor="page" w:hAnchor="page" w:x="1432" w:y="9730"/>
        <w:shd w:val="clear" w:color="auto" w:fill="auto"/>
        <w:spacing w:before="0"/>
        <w:ind w:left="320"/>
      </w:pPr>
      <w:r>
        <w:t xml:space="preserve">V </w:t>
      </w:r>
      <w:r>
        <w:t>Praze dne 16. května 2018</w:t>
      </w:r>
    </w:p>
    <w:p w:rsidR="008748AA" w:rsidRDefault="00E078C4">
      <w:pPr>
        <w:framePr w:wrap="none" w:vAnchor="page" w:hAnchor="page" w:x="1864" w:y="110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0200" cy="632460"/>
            <wp:effectExtent l="0" t="0" r="0" b="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AA" w:rsidRDefault="00517CE6">
      <w:pPr>
        <w:pStyle w:val="Picturecaption10"/>
        <w:framePr w:wrap="none" w:vAnchor="page" w:hAnchor="page" w:x="2027" w:y="12120"/>
        <w:shd w:val="clear" w:color="auto" w:fill="auto"/>
      </w:pPr>
      <w:r>
        <w:t>zástupce objednatele</w:t>
      </w:r>
    </w:p>
    <w:p w:rsidR="008748AA" w:rsidRDefault="00E078C4">
      <w:pPr>
        <w:framePr w:wrap="none" w:vAnchor="page" w:hAnchor="page" w:x="6452" w:y="100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37360" cy="967740"/>
            <wp:effectExtent l="0" t="0" r="0" b="3810"/>
            <wp:docPr id="2" name="obrázek 2" descr="C:\Users\tobiha\AppData\Local\Microsoft\Windows\Temporary Internet Files\Content.Outlook\5T728OH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AppData\Local\Microsoft\Windows\Temporary Internet Files\Content.Outlook\5T728OHS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AA" w:rsidRDefault="00517CE6">
      <w:pPr>
        <w:pStyle w:val="Bodytext30"/>
        <w:framePr w:wrap="none" w:vAnchor="page" w:hAnchor="page" w:x="1432" w:y="12120"/>
        <w:shd w:val="clear" w:color="auto" w:fill="auto"/>
        <w:spacing w:before="0"/>
        <w:ind w:left="5240" w:firstLine="0"/>
        <w:jc w:val="left"/>
      </w:pPr>
      <w:r>
        <w:t>zástupce zhotovitele</w:t>
      </w:r>
    </w:p>
    <w:p w:rsidR="008748AA" w:rsidRDefault="00517CE6">
      <w:pPr>
        <w:pStyle w:val="Heading310"/>
        <w:framePr w:w="9787" w:h="703" w:hRule="exact" w:wrap="none" w:vAnchor="page" w:hAnchor="page" w:x="1432" w:y="13006"/>
        <w:shd w:val="clear" w:color="auto" w:fill="auto"/>
        <w:spacing w:before="0"/>
        <w:ind w:left="600"/>
      </w:pPr>
      <w:bookmarkStart w:id="3" w:name="bookmark2"/>
      <w:r>
        <w:rPr>
          <w:rStyle w:val="Heading311"/>
          <w:b/>
          <w:bCs/>
        </w:rPr>
        <w:t>Pražská konzervatoř</w:t>
      </w:r>
      <w:bookmarkEnd w:id="3"/>
    </w:p>
    <w:p w:rsidR="008748AA" w:rsidRDefault="00517CE6">
      <w:pPr>
        <w:pStyle w:val="Bodytext40"/>
        <w:framePr w:w="9787" w:h="703" w:hRule="exact" w:wrap="none" w:vAnchor="page" w:hAnchor="page" w:x="1432" w:y="13006"/>
        <w:shd w:val="clear" w:color="auto" w:fill="auto"/>
        <w:tabs>
          <w:tab w:val="left" w:pos="2558"/>
        </w:tabs>
        <w:ind w:left="1060" w:right="7080"/>
      </w:pPr>
      <w:r>
        <w:rPr>
          <w:rStyle w:val="Bodytext41"/>
        </w:rPr>
        <w:t xml:space="preserve">Praha </w:t>
      </w:r>
      <w:r>
        <w:rPr>
          <w:rStyle w:val="Bodytext48ptBold"/>
        </w:rPr>
        <w:t>l</w:t>
      </w:r>
      <w:r>
        <w:rPr>
          <w:rStyle w:val="Bodytext41"/>
        </w:rPr>
        <w:t xml:space="preserve">, Na Rejdišti </w:t>
      </w:r>
      <w:r>
        <w:rPr>
          <w:rStyle w:val="Bodytext48ptBold"/>
        </w:rPr>
        <w:t>1</w:t>
      </w:r>
      <w:r>
        <w:rPr>
          <w:rStyle w:val="Bodytext48ptBold"/>
        </w:rPr>
        <w:br/>
        <w:t>liO; 70Ů37911</w:t>
      </w:r>
      <w:r>
        <w:rPr>
          <w:rStyle w:val="Bodytext48ptBold"/>
        </w:rPr>
        <w:tab/>
        <w:t>®</w:t>
      </w:r>
    </w:p>
    <w:p w:rsidR="008748AA" w:rsidRDefault="00517CE6">
      <w:pPr>
        <w:pStyle w:val="Headerorfooter10"/>
        <w:framePr w:wrap="none" w:vAnchor="page" w:hAnchor="page" w:x="6102" w:y="15740"/>
        <w:shd w:val="clear" w:color="auto" w:fill="auto"/>
      </w:pPr>
      <w:r>
        <w:t>1</w:t>
      </w:r>
    </w:p>
    <w:p w:rsidR="008748AA" w:rsidRDefault="008748AA">
      <w:pPr>
        <w:rPr>
          <w:sz w:val="2"/>
          <w:szCs w:val="2"/>
        </w:rPr>
      </w:pPr>
    </w:p>
    <w:sectPr w:rsidR="008748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E6" w:rsidRDefault="00517CE6">
      <w:r>
        <w:separator/>
      </w:r>
    </w:p>
  </w:endnote>
  <w:endnote w:type="continuationSeparator" w:id="0">
    <w:p w:rsidR="00517CE6" w:rsidRDefault="0051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E6" w:rsidRDefault="00517CE6"/>
  </w:footnote>
  <w:footnote w:type="continuationSeparator" w:id="0">
    <w:p w:rsidR="00517CE6" w:rsidRDefault="00517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22F"/>
    <w:multiLevelType w:val="multilevel"/>
    <w:tmpl w:val="F1A6E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A"/>
    <w:rsid w:val="00517CE6"/>
    <w:rsid w:val="008748AA"/>
    <w:rsid w:val="00E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 w:val="0"/>
      <w:bCs w:val="0"/>
      <w:i/>
      <w:iCs/>
      <w:smallCaps/>
      <w:strike w:val="0"/>
      <w:color w:val="796DB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3F7E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F7E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8ptBold">
    <w:name w:val="Body text|4 + 8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F7EE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740" w:line="312" w:lineRule="exact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740" w:after="28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00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960" w:line="200" w:lineRule="exact"/>
      <w:ind w:hanging="3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80" w:line="206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  <w:ind w:hanging="240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 w:val="0"/>
      <w:bCs w:val="0"/>
      <w:i/>
      <w:iCs/>
      <w:smallCaps/>
      <w:strike w:val="0"/>
      <w:color w:val="796DB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3F7E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F7E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8ptBold">
    <w:name w:val="Body text|4 + 8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F7EE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740" w:line="312" w:lineRule="exact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740" w:after="28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00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960" w:line="200" w:lineRule="exact"/>
      <w:ind w:hanging="3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80" w:line="206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  <w:ind w:hanging="240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2</cp:revision>
  <dcterms:created xsi:type="dcterms:W3CDTF">2018-05-28T13:37:00Z</dcterms:created>
  <dcterms:modified xsi:type="dcterms:W3CDTF">2018-05-28T13:37:00Z</dcterms:modified>
</cp:coreProperties>
</file>