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4D0" w:rsidRPr="00967D99" w:rsidRDefault="00967D99">
      <w:pPr>
        <w:spacing w:after="317" w:line="259" w:lineRule="auto"/>
        <w:ind w:left="24" w:firstLine="0"/>
        <w:jc w:val="center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Smlouva o poskytování poradenských služeb</w:t>
      </w:r>
    </w:p>
    <w:p w:rsidR="001A24D0" w:rsidRPr="00967D99" w:rsidRDefault="00967D99">
      <w:pPr>
        <w:spacing w:after="0" w:line="259" w:lineRule="auto"/>
        <w:ind w:left="33" w:hanging="10"/>
        <w:jc w:val="left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BDO Advisory s.r.o.</w:t>
      </w:r>
    </w:p>
    <w:p w:rsidR="001A24D0" w:rsidRPr="00967D99" w:rsidRDefault="00967D99">
      <w:pPr>
        <w:spacing w:after="242"/>
        <w:ind w:left="14" w:right="14" w:firstLine="5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 xml:space="preserve">Se sídlem Karolinská 661/4, 186 00 Praha 8 'ö: 272 44 784 zapsaná do obchodního rejstříku vedeného Městským soudem v Praze, spisová značka C 107235, jednající panem Radovanem </w:t>
      </w:r>
      <w:proofErr w:type="spellStart"/>
      <w:r w:rsidRPr="00967D99">
        <w:rPr>
          <w:rFonts w:asciiTheme="minorHAnsi" w:hAnsiTheme="minorHAnsi" w:cstheme="minorHAnsi"/>
          <w:szCs w:val="24"/>
        </w:rPr>
        <w:t>Haukem</w:t>
      </w:r>
      <w:proofErr w:type="spellEnd"/>
      <w:r w:rsidRPr="00967D99">
        <w:rPr>
          <w:rFonts w:asciiTheme="minorHAnsi" w:hAnsiTheme="minorHAnsi" w:cstheme="minorHAnsi"/>
          <w:szCs w:val="24"/>
        </w:rPr>
        <w:t>, jednatelem dále jen „Poradce”</w:t>
      </w:r>
    </w:p>
    <w:p w:rsidR="001A24D0" w:rsidRPr="00967D99" w:rsidRDefault="00967D99">
      <w:pPr>
        <w:spacing w:after="186" w:line="259" w:lineRule="auto"/>
        <w:ind w:left="24" w:firstLine="0"/>
        <w:jc w:val="left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a</w:t>
      </w:r>
    </w:p>
    <w:p w:rsidR="001A24D0" w:rsidRPr="00967D99" w:rsidRDefault="00967D99">
      <w:pPr>
        <w:spacing w:after="0" w:line="259" w:lineRule="auto"/>
        <w:ind w:left="33" w:hanging="10"/>
        <w:jc w:val="left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Střední průmyslová škola na Proseku</w:t>
      </w:r>
    </w:p>
    <w:p w:rsidR="001A24D0" w:rsidRPr="00967D99" w:rsidRDefault="00967D99">
      <w:pPr>
        <w:spacing w:after="51" w:line="216" w:lineRule="auto"/>
        <w:ind w:left="9" w:right="4" w:firstLine="0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Se sídlem Novoborská 610/2, Prosek, 190 00 Praha</w:t>
      </w:r>
    </w:p>
    <w:p w:rsidR="001A24D0" w:rsidRPr="00967D99" w:rsidRDefault="00967D99">
      <w:pPr>
        <w:ind w:left="14" w:right="14" w:firstLine="0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IC: 14891239</w:t>
      </w:r>
    </w:p>
    <w:p w:rsidR="001A24D0" w:rsidRPr="00967D99" w:rsidRDefault="00967D99">
      <w:pPr>
        <w:spacing w:after="278"/>
        <w:ind w:left="14" w:right="14" w:firstLine="0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Zastoupena Mgr. Jiří Bernát, ředitel</w:t>
      </w:r>
    </w:p>
    <w:p w:rsidR="001A24D0" w:rsidRPr="00967D99" w:rsidRDefault="00967D99">
      <w:pPr>
        <w:spacing w:after="562"/>
        <w:ind w:left="14" w:right="14" w:firstLine="0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dále jen „</w:t>
      </w:r>
      <w:proofErr w:type="spellStart"/>
      <w:r w:rsidRPr="00967D99">
        <w:rPr>
          <w:rFonts w:asciiTheme="minorHAnsi" w:hAnsiTheme="minorHAnsi" w:cstheme="minorHAnsi"/>
          <w:szCs w:val="24"/>
        </w:rPr>
        <w:t>Kliene</w:t>
      </w:r>
      <w:proofErr w:type="spellEnd"/>
    </w:p>
    <w:p w:rsidR="001A24D0" w:rsidRPr="00967D99" w:rsidRDefault="00967D99">
      <w:pPr>
        <w:spacing w:after="477" w:line="216" w:lineRule="auto"/>
        <w:ind w:left="9" w:right="4" w:firstLine="0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Poradce a Klient (dále společně jen ”Smluvní strany') uzavírají tuto Smlouvu o poradenské činnosti (dále jen ”Smlouva") ve smyslu ustanovení S 1 746 odst. 2. zákona č. 89/2012 Sb., občanský zákoník, ve znění pozdějších předpisů (dále jen ”Občanský zákoník”)</w:t>
      </w:r>
    </w:p>
    <w:p w:rsidR="001A24D0" w:rsidRPr="00967D99" w:rsidRDefault="00967D99">
      <w:pPr>
        <w:spacing w:after="0" w:line="259" w:lineRule="auto"/>
        <w:ind w:left="10" w:right="29" w:hanging="10"/>
        <w:jc w:val="center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Článek I.</w:t>
      </w:r>
    </w:p>
    <w:p w:rsidR="001A24D0" w:rsidRPr="00967D99" w:rsidRDefault="00967D99">
      <w:pPr>
        <w:pStyle w:val="Nadpis1"/>
        <w:spacing w:after="479"/>
        <w:ind w:left="10" w:right="5"/>
        <w:rPr>
          <w:rFonts w:asciiTheme="minorHAnsi" w:hAnsiTheme="minorHAnsi" w:cstheme="minorHAnsi"/>
          <w:sz w:val="24"/>
          <w:szCs w:val="24"/>
        </w:rPr>
      </w:pPr>
      <w:r w:rsidRPr="00967D99">
        <w:rPr>
          <w:rFonts w:asciiTheme="minorHAnsi" w:hAnsiTheme="minorHAnsi" w:cstheme="minorHAnsi"/>
          <w:sz w:val="24"/>
          <w:szCs w:val="24"/>
        </w:rPr>
        <w:t>Předmět Smlouvy</w:t>
      </w:r>
    </w:p>
    <w:p w:rsidR="001A24D0" w:rsidRPr="00967D99" w:rsidRDefault="00967D99">
      <w:pPr>
        <w:ind w:left="552" w:right="14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 xml:space="preserve">1 Poradce se zavazuje za podmínek stanovených touto Smlouvou zajistit pro Klienta činnosti v oblastech specifikovaných dále v čl. </w:t>
      </w:r>
      <w:proofErr w:type="spellStart"/>
      <w:r w:rsidRPr="00967D99">
        <w:rPr>
          <w:rFonts w:asciiTheme="minorHAnsi" w:hAnsiTheme="minorHAnsi" w:cstheme="minorHAnsi"/>
          <w:szCs w:val="24"/>
        </w:rPr>
        <w:t>Il</w:t>
      </w:r>
      <w:proofErr w:type="spellEnd"/>
      <w:r w:rsidRPr="00967D99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1A24D0" w:rsidRPr="00967D99" w:rsidRDefault="00967D99">
      <w:pPr>
        <w:numPr>
          <w:ilvl w:val="0"/>
          <w:numId w:val="1"/>
        </w:numPr>
        <w:spacing w:after="145"/>
        <w:ind w:left="552" w:right="14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Klient se zavazuje zaplatit Poradci za jím provedené činnosti podle této Smlouvy, odměnu stanovenou dále v čl. IV. této Smlouvy a poskytovat Poradci veškerou součinnost potřebnou pro výkon sjednané činnosti podle této smlouvy.</w:t>
      </w:r>
    </w:p>
    <w:p w:rsidR="001A24D0" w:rsidRPr="00967D99" w:rsidRDefault="00967D99">
      <w:pPr>
        <w:numPr>
          <w:ilvl w:val="0"/>
          <w:numId w:val="1"/>
        </w:numPr>
        <w:spacing w:after="488"/>
        <w:ind w:left="552" w:right="14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Poradce prohlašuje, že je odborně způsobilou osobou k výkonu sjednaných činností podle této smlouvy, má odborné znalosti práva a praxi v oblasti ochrany osobních údajů a je schopen zajistit plnění úkolů konkrétně jmenovaného Pověřence pro ochranu osobních údajů.</w:t>
      </w:r>
    </w:p>
    <w:p w:rsidR="001A24D0" w:rsidRPr="00967D99" w:rsidRDefault="00967D99">
      <w:pPr>
        <w:spacing w:after="0" w:line="259" w:lineRule="auto"/>
        <w:ind w:left="10" w:right="48" w:hanging="10"/>
        <w:jc w:val="center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967D99">
        <w:rPr>
          <w:rFonts w:asciiTheme="minorHAnsi" w:hAnsiTheme="minorHAnsi" w:cstheme="minorHAnsi"/>
          <w:szCs w:val="24"/>
        </w:rPr>
        <w:t>Il</w:t>
      </w:r>
      <w:proofErr w:type="spellEnd"/>
      <w:r w:rsidRPr="00967D99">
        <w:rPr>
          <w:rFonts w:asciiTheme="minorHAnsi" w:hAnsiTheme="minorHAnsi" w:cstheme="minorHAnsi"/>
          <w:szCs w:val="24"/>
        </w:rPr>
        <w:t>.</w:t>
      </w:r>
    </w:p>
    <w:p w:rsidR="001A24D0" w:rsidRPr="00967D99" w:rsidRDefault="00967D99">
      <w:pPr>
        <w:spacing w:after="363" w:line="259" w:lineRule="auto"/>
        <w:ind w:left="10" w:right="24" w:hanging="10"/>
        <w:jc w:val="center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Poskytované služby</w:t>
      </w:r>
    </w:p>
    <w:p w:rsidR="001A24D0" w:rsidRPr="00967D99" w:rsidRDefault="00967D99">
      <w:pPr>
        <w:ind w:left="701" w:right="14" w:hanging="341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1 Poradce se zavazuje poskytovat, dle této Smlouvy, Klientovi poradenskou činnost a služby související s implementací a dodržováním nařízením Evropského parlamentu a Rady EU (2016/679) ze dne 27. dubna 2016 0 ochraně fyzických osob v souvislosti</w:t>
      </w:r>
    </w:p>
    <w:p w:rsidR="001A24D0" w:rsidRPr="00967D99" w:rsidRDefault="00967D99">
      <w:pPr>
        <w:spacing w:after="377"/>
        <w:ind w:left="715" w:right="14" w:firstLine="0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se zpracováním osobních údajů a o volném pohybu těchto údajů a o zrušení směrnice 95/46/ES (dále také „GDPR"), spočívající zejména v poskytnutí:</w:t>
      </w:r>
    </w:p>
    <w:p w:rsidR="001A24D0" w:rsidRPr="00967D99" w:rsidRDefault="00967D99">
      <w:pPr>
        <w:spacing w:after="82"/>
        <w:ind w:left="1421" w:right="14" w:hanging="427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20" cy="103637"/>
            <wp:effectExtent l="0" t="0" r="0" b="0"/>
            <wp:docPr id="32569" name="Picture 32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69" name="Picture 325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7D99">
        <w:rPr>
          <w:rFonts w:asciiTheme="minorHAnsi" w:hAnsiTheme="minorHAnsi" w:cstheme="minorHAnsi"/>
          <w:szCs w:val="24"/>
        </w:rPr>
        <w:t>konzultantské činnosti při řešení problematiky ochrany osobních údajů v návaznosti na výše zmiňované nařízení GDPR;</w:t>
      </w:r>
    </w:p>
    <w:p w:rsidR="001A24D0" w:rsidRPr="00967D99" w:rsidRDefault="00967D99">
      <w:pPr>
        <w:ind w:left="1421" w:right="14" w:hanging="427"/>
        <w:rPr>
          <w:rFonts w:asciiTheme="minorHAnsi" w:hAnsiTheme="minorHAnsi" w:cstheme="minorHAnsi"/>
          <w:szCs w:val="24"/>
        </w:rPr>
      </w:pPr>
      <w:proofErr w:type="spellStart"/>
      <w:r w:rsidRPr="00967D99">
        <w:rPr>
          <w:rFonts w:asciiTheme="minorHAnsi" w:hAnsiTheme="minorHAnsi" w:cstheme="minorHAnsi"/>
          <w:szCs w:val="24"/>
        </w:rPr>
        <w:lastRenderedPageBreak/>
        <w:t>ii</w:t>
      </w:r>
      <w:proofErr w:type="spellEnd"/>
      <w:r w:rsidRPr="00967D99">
        <w:rPr>
          <w:rFonts w:asciiTheme="minorHAnsi" w:hAnsiTheme="minorHAnsi" w:cstheme="minorHAnsi"/>
          <w:szCs w:val="24"/>
        </w:rPr>
        <w:t>. nezbytné součinnosti při odstraňování nálezů popsaných ve zprávě Zpráva nezávislého auditora o ověření shody s požadavky GDPR;</w:t>
      </w:r>
    </w:p>
    <w:p w:rsidR="001A24D0" w:rsidRPr="00967D99" w:rsidRDefault="00967D99">
      <w:pPr>
        <w:numPr>
          <w:ilvl w:val="0"/>
          <w:numId w:val="2"/>
        </w:numPr>
        <w:ind w:right="14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ochraně osobních údajů (dále také „GDPR”), které vstoupilo v platnost dne 24. května 2016 a vnitrostátních právních předpisů na ochranu osobních údajů, a to zejména činností „Pověřence na ochranu osobních údajů” s cílem monitorování souladu s Obecným nařízením o ochraně osobních údajů (GDPR), a to v rozsahu:</w:t>
      </w:r>
    </w:p>
    <w:p w:rsidR="001A24D0" w:rsidRPr="00967D99" w:rsidRDefault="00967D99">
      <w:pPr>
        <w:spacing w:after="84"/>
        <w:ind w:left="1425" w:right="14" w:hanging="427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20" cy="106685"/>
            <wp:effectExtent l="0" t="0" r="0" b="0"/>
            <wp:docPr id="32571" name="Picture 32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71" name="Picture 325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7D99">
        <w:rPr>
          <w:rFonts w:asciiTheme="minorHAnsi" w:hAnsiTheme="minorHAnsi" w:cstheme="minorHAnsi"/>
          <w:szCs w:val="24"/>
        </w:rPr>
        <w:t>poskytování informací a poradenství klientovi i jeho zaměstnancům, kteří provádějí zpracování osobních údajů, o jejich povinnostech;</w:t>
      </w:r>
    </w:p>
    <w:p w:rsidR="001A24D0" w:rsidRPr="00967D99" w:rsidRDefault="00967D99">
      <w:pPr>
        <w:numPr>
          <w:ilvl w:val="1"/>
          <w:numId w:val="2"/>
        </w:numPr>
        <w:spacing w:after="82"/>
        <w:ind w:right="14" w:hanging="432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průběžné monitorování souladu Klienta s nařízením GDPR v oblasti ochrany osobních údajů a s koncepcemi klienta v oblasti ochrany osobních údajů, včetně rozdělení odpovědnosti, zvyšování povědomí a odborné přípravy pracovníků Klienta zapojených do operací zpracování osobních údajů; asistence při vypracování záznamů o činnostech zpracování;</w:t>
      </w:r>
    </w:p>
    <w:p w:rsidR="001A24D0" w:rsidRPr="00967D99" w:rsidRDefault="00967D99">
      <w:pPr>
        <w:numPr>
          <w:ilvl w:val="1"/>
          <w:numId w:val="2"/>
        </w:numPr>
        <w:spacing w:after="96"/>
        <w:ind w:right="14" w:hanging="432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poskytování poradenství na požádání, pokud jde o posouzení vlivu na ochranu osobních údajů Klienta a monitorování jeho uplatňování podle článku 35 GDPR (posouzení vlivu na ochranu osobních údajů);</w:t>
      </w:r>
    </w:p>
    <w:p w:rsidR="001A24D0" w:rsidRPr="00967D99" w:rsidRDefault="00967D99">
      <w:pPr>
        <w:numPr>
          <w:ilvl w:val="1"/>
          <w:numId w:val="2"/>
        </w:numPr>
        <w:spacing w:after="115"/>
        <w:ind w:right="14" w:hanging="432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spolupráce a komunikace s dozorovým úřadem; poradenská činnost při řízení před dozorovým úřadem nebo soudem;</w:t>
      </w:r>
    </w:p>
    <w:p w:rsidR="001A24D0" w:rsidRPr="00967D99" w:rsidRDefault="00967D99">
      <w:pPr>
        <w:numPr>
          <w:ilvl w:val="1"/>
          <w:numId w:val="2"/>
        </w:numPr>
        <w:spacing w:after="79"/>
        <w:ind w:right="14" w:hanging="432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967D99">
        <w:rPr>
          <w:rFonts w:asciiTheme="minorHAnsi" w:hAnsiTheme="minorHAnsi" w:cstheme="minorHAnsi"/>
          <w:szCs w:val="24"/>
        </w:rPr>
        <w:t>se</w:t>
      </w:r>
      <w:proofErr w:type="gramEnd"/>
      <w:r w:rsidRPr="00967D99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</w:t>
      </w:r>
    </w:p>
    <w:p w:rsidR="001A24D0" w:rsidRPr="00967D99" w:rsidRDefault="00967D99">
      <w:pPr>
        <w:numPr>
          <w:ilvl w:val="1"/>
          <w:numId w:val="2"/>
        </w:numPr>
        <w:ind w:right="14" w:hanging="432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působení jako kontaktní osoba Klienta, resp. zaměstnavatele pro subjekty údajů ve všech záležitostech souvisejících se zpracováním jejich osobních údajů a výkonem jejich práv podle GDPR.</w:t>
      </w:r>
    </w:p>
    <w:p w:rsidR="001A24D0" w:rsidRPr="00967D99" w:rsidRDefault="00967D99">
      <w:pPr>
        <w:numPr>
          <w:ilvl w:val="1"/>
          <w:numId w:val="2"/>
        </w:numPr>
        <w:spacing w:after="112"/>
        <w:ind w:right="14" w:hanging="432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 xml:space="preserve">Pověřenec dohlíží na soulad činnosti zaměstnavatele s GDPR a dalšími předpisy v oblasti ochrany osobních údajů podle vlastního plánu dohledové činnosti a na základě vyhodnocení podnětů zaměstnavatele, ostatních zaměstnanců, kontrolních orgánů a subjektů údajů. Pověřenec poskytuje zaměstnavateli a ostatním zaměstnancům informace z oboru své působnosti podle aktuálních potřeb, v souladu s vlastním plánem zvyšování povědomí zaměstnanců o ochraně osobních údajů a také formou vyjádření a připomínek ke konkrétním otázkám a dokumentům předloženým mu zaměstnavatelem. Pověřenec sleduje vývoj právní úpravy, stanoviska Úřadu pro ochranu osobních údajů a orgánů Evropské unie a rozhodovací činnost soudů v oblasti ochrany osobních údajů a přiměřeným způsobem o těchto skutečnostech informuje zaměstnavatele a ostatní zaměstnance. Pověřenec sleduje vývoj technologií souvisejících s ochranou osobních údajů a přiměřeným způsobem o něm informuje zaměstnavatele a ostatní zaměstnance. Pověřenec posuzuje návrhy významných dokumentů zaměstnavatele týkajících se ochrany osobních údajů, zejména politik ochrany osobních údajů, bezpečnostních směrnic a dalších vnitřních předpisů, vzorů souhlasů se zpracováním osobních údajů, návrhů smluv o zpracování osobních údajů, vzorů podání a vyřízení, pokud jde o uplatňování práv subjektů údajů. Pověřenec posuzuje soulad navrhovaných řešení v oblasti informačních a komunikačních technologií s pravidly ochrany osobních údajů. Pověřenec přijímá a vyhodnocuje podání subjektů údajů v záležitostech souvisejících se zpracováním jejich osobních údajů a výkonem jejich práv podle GDPR. V případě, že nemůže podání vyřídit sám, postupuje je v souladu s </w:t>
      </w:r>
      <w:proofErr w:type="spellStart"/>
      <w:r w:rsidRPr="00967D99">
        <w:rPr>
          <w:rFonts w:asciiTheme="minorHAnsi" w:hAnsiTheme="minorHAnsi" w:cstheme="minorHAnsi"/>
          <w:szCs w:val="24"/>
        </w:rPr>
        <w:t>vnitrními</w:t>
      </w:r>
      <w:proofErr w:type="spellEnd"/>
      <w:r w:rsidRPr="00967D99">
        <w:rPr>
          <w:rFonts w:asciiTheme="minorHAnsi" w:hAnsiTheme="minorHAnsi" w:cstheme="minorHAnsi"/>
          <w:szCs w:val="24"/>
        </w:rPr>
        <w:t xml:space="preserve"> předpisy zaměstnavatele k vyřízení příslušným útvarům, </w:t>
      </w:r>
      <w:r w:rsidRPr="00967D99">
        <w:rPr>
          <w:rFonts w:asciiTheme="minorHAnsi" w:hAnsiTheme="minorHAnsi" w:cstheme="minorHAnsi"/>
          <w:szCs w:val="24"/>
        </w:rPr>
        <w:lastRenderedPageBreak/>
        <w:t>popřípadě si vyžádá od příslušných útvarů podkladová stanoviska a následně podání vyřizuje. Pověřenec vede záznamy o činnostech zpracování podle čl. 30 GDPR. Pověřenec navrhuje zaměstnavateli opaření k dosahování plného souladu s GDPR a dalšími předpisy v oblasti ochrany osobních údajů. Pověřenec se podílí na plnění povinností zaměstnavatele hlásit porušení zabezpečení osobních údajů Úřadu pro ochranu osobních údajů (čl. 33 GDPR) a oznamovat porušení zabezpečení osobních údajů subjektům osobních údajů (čl. 34 GDPR).</w:t>
      </w:r>
    </w:p>
    <w:p w:rsidR="001A24D0" w:rsidRPr="00967D99" w:rsidRDefault="00967D99">
      <w:pPr>
        <w:numPr>
          <w:ilvl w:val="0"/>
          <w:numId w:val="2"/>
        </w:numPr>
        <w:spacing w:after="119"/>
        <w:ind w:right="14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Poradce se zavazuje, dle této Smlouvy, Klientovi poskytnout e-learningové školení zaměstnanců v oblasti GDPR.</w:t>
      </w:r>
    </w:p>
    <w:p w:rsidR="001A24D0" w:rsidRPr="00967D99" w:rsidRDefault="00967D99">
      <w:pPr>
        <w:numPr>
          <w:ilvl w:val="0"/>
          <w:numId w:val="2"/>
        </w:numPr>
        <w:spacing w:after="136"/>
        <w:ind w:right="14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Smluvní strany se dohodly, že jakékoli rozšíření služeb poskytovaných Poradcem dle této Smlouvy nad rámec stanovený v odst. 1. tohoto článku, bude sjednáno písemným dodatkem k této Smlouvě, v němž bude stanovena další poradenská činnost a odměna, kterou bude Klient hradit.</w:t>
      </w:r>
    </w:p>
    <w:p w:rsidR="001A24D0" w:rsidRPr="00967D99" w:rsidRDefault="00967D99">
      <w:pPr>
        <w:numPr>
          <w:ilvl w:val="0"/>
          <w:numId w:val="2"/>
        </w:numPr>
        <w:spacing w:after="837"/>
        <w:ind w:right="14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Za rozšíření služeb podle této smlouvy se nepovažuje posouzení shody činností klienta s doposud platnými právními předpisy nebo v budoucnu přijatými vnitrostátními právními předpisy nebo předpisy EU upravujícími ochranu osobních údajů a případně schválenými a závaznými kodexy chování dle článku 40 obecného nařízení o ochraně osobních údajů.</w:t>
      </w:r>
    </w:p>
    <w:p w:rsidR="001A24D0" w:rsidRPr="00967D99" w:rsidRDefault="00967D99">
      <w:pPr>
        <w:spacing w:after="0" w:line="259" w:lineRule="auto"/>
        <w:ind w:left="10" w:right="5" w:hanging="10"/>
        <w:jc w:val="center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967D99">
        <w:rPr>
          <w:rFonts w:asciiTheme="minorHAnsi" w:hAnsiTheme="minorHAnsi" w:cstheme="minorHAnsi"/>
          <w:szCs w:val="24"/>
        </w:rPr>
        <w:t>Ill</w:t>
      </w:r>
      <w:proofErr w:type="spellEnd"/>
      <w:r w:rsidRPr="00967D99">
        <w:rPr>
          <w:rFonts w:asciiTheme="minorHAnsi" w:hAnsiTheme="minorHAnsi" w:cstheme="minorHAnsi"/>
          <w:szCs w:val="24"/>
        </w:rPr>
        <w:t>.</w:t>
      </w:r>
    </w:p>
    <w:p w:rsidR="001A24D0" w:rsidRPr="00967D99" w:rsidRDefault="00967D99">
      <w:pPr>
        <w:spacing w:after="422" w:line="259" w:lineRule="auto"/>
        <w:ind w:left="10" w:right="19" w:hanging="10"/>
        <w:jc w:val="center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Práva a povinnosti Smluvních stran</w:t>
      </w:r>
    </w:p>
    <w:p w:rsidR="001A24D0" w:rsidRPr="00967D99" w:rsidRDefault="00967D99">
      <w:pPr>
        <w:spacing w:after="105"/>
        <w:ind w:left="552" w:right="14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1 Poradce se zavazuje vykonávat poradenskou činnost dle této Smlouvy s veškerou odbornou péčí, chránit obecně a jemu známé zájmy Klienta a informovat Klienta průběžně o plnění předmětu této Smlouvy.</w:t>
      </w:r>
    </w:p>
    <w:p w:rsidR="001A24D0" w:rsidRPr="00967D99" w:rsidRDefault="00967D99">
      <w:pPr>
        <w:numPr>
          <w:ilvl w:val="0"/>
          <w:numId w:val="3"/>
        </w:numPr>
        <w:spacing w:after="76"/>
        <w:ind w:right="14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Klient je povinen poskytovat Poradci veškerou potřebnou součinnost a veškeré informace a podklady potřebné k plnění činností Poradce.</w:t>
      </w:r>
    </w:p>
    <w:p w:rsidR="001A24D0" w:rsidRPr="00967D99" w:rsidRDefault="00967D99">
      <w:pPr>
        <w:numPr>
          <w:ilvl w:val="0"/>
          <w:numId w:val="3"/>
        </w:numPr>
        <w:spacing w:after="102"/>
        <w:ind w:right="14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oblastí činností poskytovaných dle této Smlouvy.</w:t>
      </w:r>
    </w:p>
    <w:p w:rsidR="001A24D0" w:rsidRPr="00967D99" w:rsidRDefault="00967D99">
      <w:pPr>
        <w:numPr>
          <w:ilvl w:val="0"/>
          <w:numId w:val="3"/>
        </w:numPr>
        <w:spacing w:after="159"/>
        <w:ind w:right="14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Poradce je povinen vykonávat činnosti dle této Smlouvy v dohodnutých nebo právními předpisy stanovených termínech.</w:t>
      </w:r>
    </w:p>
    <w:p w:rsidR="001A24D0" w:rsidRPr="00967D99" w:rsidRDefault="00967D99">
      <w:pPr>
        <w:numPr>
          <w:ilvl w:val="0"/>
          <w:numId w:val="3"/>
        </w:numPr>
        <w:spacing w:after="119"/>
        <w:ind w:right="14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1A24D0" w:rsidRPr="00967D99" w:rsidRDefault="00967D99">
      <w:pPr>
        <w:numPr>
          <w:ilvl w:val="0"/>
          <w:numId w:val="3"/>
        </w:numPr>
        <w:spacing w:after="462"/>
        <w:ind w:right="14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Každá ze Smluvních stran určuje kontaktní osobu/osoby, které budou zabezpečovat vzájemné předávání informací a spolupráci, předávání potřebných dokumentů, podkladů a výsledků činnosti dle této Smlouvy. Dojde-li ke změně v osobách pověřených k výkonu komunikace dle tohoto odstavce, je kterákoli ze Smluvních stran oprávněna pouze písemným oznámením, předaným druhé Smluvní straně, provést změnu či doplnění. Smluvní strany sjednaly, že takové změny a doplnění nejsou považovány za změny této Smlouvy a nebudou prováděny formou dodatku k této Smlouvě.</w:t>
      </w:r>
    </w:p>
    <w:p w:rsidR="001A24D0" w:rsidRPr="00967D99" w:rsidRDefault="00967D99">
      <w:pPr>
        <w:ind w:left="518" w:right="14" w:firstLine="0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Kontaktní osobou na straně Poradce je:</w:t>
      </w:r>
    </w:p>
    <w:p w:rsidR="001A24D0" w:rsidRPr="00967D99" w:rsidRDefault="00967D99">
      <w:pPr>
        <w:spacing w:after="473" w:line="259" w:lineRule="auto"/>
        <w:ind w:left="485" w:firstLine="0"/>
        <w:jc w:val="left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2030104" cy="688881"/>
            <wp:effectExtent l="0" t="0" r="0" b="0"/>
            <wp:docPr id="32574" name="Picture 32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74" name="Picture 3257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0104" cy="68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4D0" w:rsidRPr="00967D99" w:rsidRDefault="00967D99">
      <w:pPr>
        <w:spacing w:after="51" w:line="216" w:lineRule="auto"/>
        <w:ind w:left="523" w:right="4" w:firstLine="0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Pověřenec:</w:t>
      </w:r>
    </w:p>
    <w:p w:rsidR="001A24D0" w:rsidRPr="00967D99" w:rsidRDefault="00967D99">
      <w:pPr>
        <w:spacing w:after="486" w:line="259" w:lineRule="auto"/>
        <w:ind w:left="413" w:firstLine="0"/>
        <w:jc w:val="left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499717" cy="679736"/>
            <wp:effectExtent l="0" t="0" r="0" b="0"/>
            <wp:docPr id="32576" name="Picture 32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76" name="Picture 3257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9717" cy="67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4D0" w:rsidRPr="00967D99" w:rsidRDefault="00967D99">
      <w:pPr>
        <w:spacing w:after="178"/>
        <w:ind w:left="528" w:right="14" w:firstLine="0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Kontaktní osobou na straně Klienta je:</w:t>
      </w:r>
    </w:p>
    <w:p w:rsidR="001A24D0" w:rsidRPr="00967D99" w:rsidRDefault="00967D99">
      <w:pPr>
        <w:spacing w:after="821" w:line="259" w:lineRule="auto"/>
        <w:ind w:left="394" w:firstLine="0"/>
        <w:jc w:val="left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630601" cy="670592"/>
            <wp:effectExtent l="0" t="0" r="0" b="0"/>
            <wp:docPr id="17706" name="Picture 17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6" name="Picture 1770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30601" cy="67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4D0" w:rsidRPr="00967D99" w:rsidRDefault="00967D99">
      <w:pPr>
        <w:spacing w:after="0" w:line="259" w:lineRule="auto"/>
        <w:ind w:left="10" w:right="29" w:hanging="10"/>
        <w:jc w:val="center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Článek IV.</w:t>
      </w:r>
    </w:p>
    <w:p w:rsidR="001A24D0" w:rsidRPr="00967D99" w:rsidRDefault="00967D99">
      <w:pPr>
        <w:pStyle w:val="Nadpis1"/>
        <w:ind w:left="10" w:right="38"/>
        <w:rPr>
          <w:rFonts w:asciiTheme="minorHAnsi" w:hAnsiTheme="minorHAnsi" w:cstheme="minorHAnsi"/>
          <w:sz w:val="24"/>
          <w:szCs w:val="24"/>
        </w:rPr>
      </w:pPr>
      <w:r w:rsidRPr="00967D99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1A24D0" w:rsidRPr="00967D99" w:rsidRDefault="00967D99">
      <w:pPr>
        <w:spacing w:after="461"/>
        <w:ind w:left="552" w:right="14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 xml:space="preserve">IU Klient se zavazuje zaplatit Poradci za služby poskytované dle čl. </w:t>
      </w:r>
      <w:proofErr w:type="spellStart"/>
      <w:r w:rsidRPr="00967D99">
        <w:rPr>
          <w:rFonts w:asciiTheme="minorHAnsi" w:hAnsiTheme="minorHAnsi" w:cstheme="minorHAnsi"/>
          <w:szCs w:val="24"/>
        </w:rPr>
        <w:t>Il</w:t>
      </w:r>
      <w:proofErr w:type="spellEnd"/>
      <w:r w:rsidRPr="00967D99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1A24D0" w:rsidRPr="00967D99" w:rsidRDefault="00967D99">
      <w:pPr>
        <w:spacing w:after="86" w:line="216" w:lineRule="auto"/>
        <w:ind w:left="1401" w:right="4" w:hanging="422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4868" cy="103637"/>
            <wp:effectExtent l="0" t="0" r="0" b="0"/>
            <wp:docPr id="32578" name="Picture 32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78" name="Picture 3257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8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7D99">
        <w:rPr>
          <w:rFonts w:asciiTheme="minorHAnsi" w:hAnsiTheme="minorHAnsi" w:cstheme="minorHAnsi"/>
          <w:szCs w:val="24"/>
        </w:rPr>
        <w:t>za služby provedené dle čl. II., odst. 1. této Smlouvy jednorázovou odměnu v celkové výši 19 000,- Kč (bez DPH v zákonné výši) na základě faktury vystavené Poradcem se splatností 21 kalendářních dní ode dne doručení.</w:t>
      </w:r>
    </w:p>
    <w:p w:rsidR="001A24D0" w:rsidRPr="00967D99" w:rsidRDefault="00967D99">
      <w:pPr>
        <w:numPr>
          <w:ilvl w:val="0"/>
          <w:numId w:val="4"/>
        </w:numPr>
        <w:spacing w:after="51" w:line="216" w:lineRule="auto"/>
        <w:ind w:right="9" w:hanging="413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za služby provedené dle čl. II., odst. 2. této Smlouvy měsíční odměnu v celkové výši 2 800,- Kč (bez DPH v zákonné výši) na základě faktury vystavené Poradcem se splatností 21 kalendářních dní ode dne doručení.</w:t>
      </w:r>
    </w:p>
    <w:p w:rsidR="001A24D0" w:rsidRPr="00967D99" w:rsidRDefault="00967D99">
      <w:pPr>
        <w:numPr>
          <w:ilvl w:val="0"/>
          <w:numId w:val="4"/>
        </w:numPr>
        <w:spacing w:after="478"/>
        <w:ind w:right="9" w:hanging="413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Za služby provedené dle čl. II., odst. 3. této Smlouvy jednorázovou odměnu v celkové výši 1 400,- Kč (bez DPH v zákonné výši) pro všechny zaměstnance Klienta přihlášené do e-learningového kurzu. Výše uvedené bude Klientem proplaceno na základě Poradcem vystavené faktury se splatností 21 kalendářních dní ode dne doručení. E-learningové školení je možné využívat neomezeně po dobu devíti měsíců od podpisu této Smlouvy.</w:t>
      </w:r>
    </w:p>
    <w:p w:rsidR="001A24D0" w:rsidRPr="00967D99" w:rsidRDefault="00967D99">
      <w:pPr>
        <w:numPr>
          <w:ilvl w:val="0"/>
          <w:numId w:val="5"/>
        </w:numPr>
        <w:ind w:left="552" w:right="14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 xml:space="preserve">Odměna stanovená v odst. 1. tohoto článku zahrnuje veškeré náklady Poradce na činnosti vykonávané dle této Smlouvy, a to zejména cestovní náhrady, běžné náklady spojené s poskytnutím služeb dle této Smlouvy (tj. tel. hovorné, </w:t>
      </w:r>
      <w:proofErr w:type="spellStart"/>
      <w:r w:rsidRPr="00967D99">
        <w:rPr>
          <w:rFonts w:asciiTheme="minorHAnsi" w:hAnsiTheme="minorHAnsi" w:cstheme="minorHAnsi"/>
          <w:szCs w:val="24"/>
        </w:rPr>
        <w:t>faxovné</w:t>
      </w:r>
      <w:proofErr w:type="spellEnd"/>
      <w:r w:rsidRPr="00967D99">
        <w:rPr>
          <w:rFonts w:asciiTheme="minorHAnsi" w:hAnsiTheme="minorHAnsi" w:cstheme="minorHAnsi"/>
          <w:szCs w:val="24"/>
        </w:rPr>
        <w:t xml:space="preserve">, poštovné včetně kurýrních poplatků, jazykové překlady, notářské a jiné úřední poplatky, náklady na </w:t>
      </w:r>
      <w:proofErr w:type="spellStart"/>
      <w:r w:rsidRPr="00967D99">
        <w:rPr>
          <w:rFonts w:asciiTheme="minorHAnsi" w:hAnsiTheme="minorHAnsi" w:cstheme="minorHAnsi"/>
          <w:szCs w:val="24"/>
        </w:rPr>
        <w:t>fotokopírování</w:t>
      </w:r>
      <w:proofErr w:type="spellEnd"/>
      <w:r w:rsidRPr="00967D99">
        <w:rPr>
          <w:rFonts w:asciiTheme="minorHAnsi" w:hAnsiTheme="minorHAnsi" w:cstheme="minorHAnsi"/>
          <w:szCs w:val="24"/>
        </w:rPr>
        <w:t>, technické nosiče, a kancelářské potřeby).</w:t>
      </w:r>
    </w:p>
    <w:p w:rsidR="001A24D0" w:rsidRPr="00967D99" w:rsidRDefault="00967D99">
      <w:pPr>
        <w:numPr>
          <w:ilvl w:val="0"/>
          <w:numId w:val="5"/>
        </w:numPr>
        <w:spacing w:after="0"/>
        <w:ind w:left="552" w:right="14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 xml:space="preserve">Bude-li Klient v prodlení s placením odměny v termínech a výších dle tohoto článku, je povinen uhradit Poradci úroky z prodlení ve výši 0,05 % z dlužné částky za každý den </w:t>
      </w:r>
      <w:r w:rsidRPr="00967D99">
        <w:rPr>
          <w:rFonts w:asciiTheme="minorHAnsi" w:hAnsiTheme="minorHAnsi" w:cstheme="minorHAnsi"/>
          <w:szCs w:val="24"/>
        </w:rPr>
        <w:lastRenderedPageBreak/>
        <w:t>prodlení. Nebude-li Poradce řádně plnit předmět této smlouvy, je povinen uhradit Klientovi 1.000,-Kč denně za každý den prodlení s plněním.</w:t>
      </w:r>
    </w:p>
    <w:p w:rsidR="001A24D0" w:rsidRPr="00967D99" w:rsidRDefault="00967D99">
      <w:pPr>
        <w:numPr>
          <w:ilvl w:val="0"/>
          <w:numId w:val="5"/>
        </w:numPr>
        <w:spacing w:after="777"/>
        <w:ind w:left="552" w:right="14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 xml:space="preserve">V případě, že faktura nebude mít zákonem č. 235/2004 Sb., o dani z přidané hodnoty, ve znění </w:t>
      </w:r>
      <w:proofErr w:type="spellStart"/>
      <w:r w:rsidRPr="00967D99">
        <w:rPr>
          <w:rFonts w:asciiTheme="minorHAnsi" w:hAnsiTheme="minorHAnsi" w:cstheme="minorHAnsi"/>
          <w:szCs w:val="24"/>
        </w:rPr>
        <w:t>pozdejsłch</w:t>
      </w:r>
      <w:proofErr w:type="spellEnd"/>
      <w:r w:rsidRPr="00967D99">
        <w:rPr>
          <w:rFonts w:asciiTheme="minorHAnsi" w:hAnsiTheme="minorHAnsi" w:cstheme="minorHAnsi"/>
          <w:szCs w:val="24"/>
        </w:rPr>
        <w:t xml:space="preserve"> předpisů stanovené náležitosti nebo bude obsahovat chybné údaje, je Klient oprávněn tuto fakturu ve lhůtě její splatnosti vrátit Poradci, aniž by se tím Klient dostal do prodlení s úhradou faktury. Nová lhůta splatnosti počíná běžet dnem obdržení opravené nebo nově vystavené faktury. Důvod případného vrácení faktury musí být Klientem jednoznačně vymezen.</w:t>
      </w:r>
    </w:p>
    <w:p w:rsidR="001A24D0" w:rsidRPr="00967D99" w:rsidRDefault="00967D99">
      <w:pPr>
        <w:spacing w:after="0" w:line="259" w:lineRule="auto"/>
        <w:ind w:left="10" w:right="29" w:hanging="10"/>
        <w:jc w:val="center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Článek V.</w:t>
      </w:r>
    </w:p>
    <w:p w:rsidR="001A24D0" w:rsidRPr="00967D99" w:rsidRDefault="00967D99">
      <w:pPr>
        <w:pStyle w:val="Nadpis1"/>
        <w:spacing w:after="450"/>
        <w:ind w:left="10" w:right="10"/>
        <w:rPr>
          <w:rFonts w:asciiTheme="minorHAnsi" w:hAnsiTheme="minorHAnsi" w:cstheme="minorHAnsi"/>
          <w:sz w:val="24"/>
          <w:szCs w:val="24"/>
        </w:rPr>
      </w:pPr>
      <w:r w:rsidRPr="00967D99">
        <w:rPr>
          <w:rFonts w:asciiTheme="minorHAnsi" w:hAnsiTheme="minorHAnsi" w:cstheme="minorHAnsi"/>
          <w:sz w:val="24"/>
          <w:szCs w:val="24"/>
        </w:rPr>
        <w:t>Chráněné informace</w:t>
      </w:r>
    </w:p>
    <w:p w:rsidR="001A24D0" w:rsidRPr="00967D99" w:rsidRDefault="00967D99">
      <w:pPr>
        <w:spacing w:after="119"/>
        <w:ind w:left="552" w:right="14"/>
        <w:rPr>
          <w:rFonts w:asciiTheme="minorHAnsi" w:hAnsiTheme="minorHAnsi" w:cstheme="minorHAnsi"/>
          <w:szCs w:val="24"/>
        </w:rPr>
      </w:pPr>
      <w:proofErr w:type="gramStart"/>
      <w:r w:rsidRPr="00967D99">
        <w:rPr>
          <w:rFonts w:asciiTheme="minorHAnsi" w:hAnsiTheme="minorHAnsi" w:cstheme="minorHAnsi"/>
          <w:szCs w:val="24"/>
        </w:rPr>
        <w:t>1 .</w:t>
      </w:r>
      <w:proofErr w:type="gramEnd"/>
      <w:r w:rsidRPr="00967D99">
        <w:rPr>
          <w:rFonts w:asciiTheme="minorHAnsi" w:hAnsiTheme="minorHAnsi" w:cstheme="minorHAnsi"/>
          <w:szCs w:val="24"/>
        </w:rPr>
        <w:t xml:space="preserve"> Veškeré informace sdělené kteroukoliv ze Smluvních stran při plnění povinností dle této Smlouvy, jsou považovány za přísně důvěrné a nesmí být zpřístupněny či jakýmkoliv jiným způsobem sděleny třetí osobě, s výjimkou informací, které byly v okamžiku sdělení veřejně známé nebo informací, které Smluvní strany získaly od třetích osob nebo jejich poskytnutí upravuje platný právní předpis.</w:t>
      </w:r>
    </w:p>
    <w:p w:rsidR="001A24D0" w:rsidRPr="00967D99" w:rsidRDefault="00967D99">
      <w:pPr>
        <w:spacing w:after="817"/>
        <w:ind w:left="552" w:right="14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2. Poradce je oprávněn poskytovat při nabídce poradenských služeb jako reference údaje o realizovaném projektu, týkající se názvu projektu, názvu a identifikace Klienta, stručného popisu vykonané práce v rozsahu poskytované poradenské činnosti.</w:t>
      </w:r>
    </w:p>
    <w:p w:rsidR="001A24D0" w:rsidRPr="00967D99" w:rsidRDefault="00967D99">
      <w:pPr>
        <w:spacing w:after="0" w:line="259" w:lineRule="auto"/>
        <w:ind w:left="10" w:right="58" w:hanging="10"/>
        <w:jc w:val="center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967D99">
        <w:rPr>
          <w:rFonts w:asciiTheme="minorHAnsi" w:hAnsiTheme="minorHAnsi" w:cstheme="minorHAnsi"/>
          <w:szCs w:val="24"/>
        </w:rPr>
        <w:t>Vl</w:t>
      </w:r>
      <w:proofErr w:type="spellEnd"/>
      <w:r w:rsidRPr="00967D99">
        <w:rPr>
          <w:rFonts w:asciiTheme="minorHAnsi" w:hAnsiTheme="minorHAnsi" w:cstheme="minorHAnsi"/>
          <w:szCs w:val="24"/>
        </w:rPr>
        <w:t>.</w:t>
      </w:r>
    </w:p>
    <w:p w:rsidR="001A24D0" w:rsidRPr="00967D99" w:rsidRDefault="00967D99">
      <w:pPr>
        <w:pStyle w:val="Nadpis1"/>
        <w:spacing w:after="382"/>
        <w:ind w:left="10" w:right="53"/>
        <w:rPr>
          <w:rFonts w:asciiTheme="minorHAnsi" w:hAnsiTheme="minorHAnsi" w:cstheme="minorHAnsi"/>
          <w:sz w:val="24"/>
          <w:szCs w:val="24"/>
        </w:rPr>
      </w:pPr>
      <w:r w:rsidRPr="00967D99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1A24D0" w:rsidRPr="00967D99" w:rsidRDefault="00967D99">
      <w:pPr>
        <w:spacing w:after="156"/>
        <w:ind w:left="552" w:right="14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94494" cy="103637"/>
            <wp:effectExtent l="0" t="0" r="0" b="0"/>
            <wp:docPr id="32581" name="Picture 32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81" name="Picture 3258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4494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7D99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 znění a platnými právními předpisy upravujícími ochranu osobních údajů.</w:t>
      </w:r>
    </w:p>
    <w:p w:rsidR="001A24D0" w:rsidRPr="00967D99" w:rsidRDefault="00967D99">
      <w:pPr>
        <w:numPr>
          <w:ilvl w:val="0"/>
          <w:numId w:val="6"/>
        </w:numPr>
        <w:spacing w:after="108"/>
        <w:ind w:right="14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Tato Smlouva nabývá platnosti dnem jejího podpisu oběma Smluvními stranami a účinnosti dnem jejího řádného zveřejnění v registru smluv, které zajistí Poradce.</w:t>
      </w:r>
    </w:p>
    <w:p w:rsidR="001A24D0" w:rsidRPr="00967D99" w:rsidRDefault="00967D99">
      <w:pPr>
        <w:numPr>
          <w:ilvl w:val="0"/>
          <w:numId w:val="6"/>
        </w:numPr>
        <w:ind w:right="14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Poradce je pojištěn na škody v oblasti GDPR do výše 150 mil. Kč. Při podpisu smlouvy předloží klientovi kopii této smlouvy nebo potvrzení pojišťovny o sjednaném pojištění. Poradce je povinen být v uvedeném rozsahu pojištěn po celou dobu trvání této smlouvy a na základě výzvy klienta je povinen předložit potvrzení o trvání pojištění.</w:t>
      </w:r>
    </w:p>
    <w:p w:rsidR="001A24D0" w:rsidRPr="00967D99" w:rsidRDefault="00967D99">
      <w:pPr>
        <w:numPr>
          <w:ilvl w:val="0"/>
          <w:numId w:val="6"/>
        </w:numPr>
        <w:ind w:right="14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 xml:space="preserve">Poradce odpovídá klientovi za škodu, která mu vznikne v důsledku jeho pochybení, nečinnosti nebo jiného vadného </w:t>
      </w:r>
      <w:proofErr w:type="gramStart"/>
      <w:r w:rsidRPr="00967D99">
        <w:rPr>
          <w:rFonts w:asciiTheme="minorHAnsi" w:hAnsiTheme="minorHAnsi" w:cstheme="minorHAnsi"/>
          <w:szCs w:val="24"/>
        </w:rPr>
        <w:t>plnění</w:t>
      </w:r>
      <w:proofErr w:type="gramEnd"/>
      <w:r w:rsidRPr="00967D99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1A24D0" w:rsidRPr="00967D99" w:rsidRDefault="00967D99">
      <w:pPr>
        <w:numPr>
          <w:ilvl w:val="0"/>
          <w:numId w:val="6"/>
        </w:numPr>
        <w:ind w:right="14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Tato Smlouva je uzavírána na dobu neurčitou. Každá Smluvní strana může Smlouvu i před jejím skončením jednostranně vypovědět i bez udání důvodů. Výpovědní doba činí jeden měsíc. Závazek chránit informace dle čl. V. trvá i po skončení účinnosti Smlouvy, stejně tak jako odpovědnost Poradce za jím doposud poskytnutou činnost.</w:t>
      </w:r>
    </w:p>
    <w:p w:rsidR="001A24D0" w:rsidRPr="00967D99" w:rsidRDefault="00967D99">
      <w:pPr>
        <w:numPr>
          <w:ilvl w:val="0"/>
          <w:numId w:val="6"/>
        </w:numPr>
        <w:spacing w:after="132"/>
        <w:ind w:right="14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stranami.</w:t>
      </w:r>
    </w:p>
    <w:p w:rsidR="001A24D0" w:rsidRPr="00967D99" w:rsidRDefault="00967D99">
      <w:pPr>
        <w:numPr>
          <w:ilvl w:val="0"/>
          <w:numId w:val="6"/>
        </w:numPr>
        <w:spacing w:after="0"/>
        <w:ind w:right="14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Tato Smlouva se sepisuje ve (2) dvou vyhotoveních s platností originálu, přičemž každá ze Smluvních stran obdrží po (</w:t>
      </w:r>
      <w:proofErr w:type="gramStart"/>
      <w:r w:rsidRPr="00967D99">
        <w:rPr>
          <w:rFonts w:asciiTheme="minorHAnsi" w:hAnsiTheme="minorHAnsi" w:cstheme="minorHAnsi"/>
          <w:szCs w:val="24"/>
        </w:rPr>
        <w:t>1 )</w:t>
      </w:r>
      <w:proofErr w:type="gramEnd"/>
      <w:r w:rsidRPr="00967D99">
        <w:rPr>
          <w:rFonts w:asciiTheme="minorHAnsi" w:hAnsiTheme="minorHAnsi" w:cstheme="minorHAnsi"/>
          <w:szCs w:val="24"/>
        </w:rPr>
        <w:t xml:space="preserve"> jednom vyhotovení Smlouvy.</w:t>
      </w:r>
    </w:p>
    <w:p w:rsidR="001A24D0" w:rsidRPr="00967D99" w:rsidRDefault="00967D99">
      <w:pPr>
        <w:numPr>
          <w:ilvl w:val="0"/>
          <w:numId w:val="6"/>
        </w:numPr>
        <w:spacing w:after="116"/>
        <w:ind w:right="14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lastRenderedPageBreak/>
        <w:t>Pokud by tato Smlouva trpěla právními vadami, zejména pokud by některé z jejích ustanovení bylo v rozporu s českým právním řádem, v důsledku čehož by mohla být posuzována jako neplatná, považuje se toto ustanovení za samostatné a Smlouva se posuzuje, jako by takové ustanovení nikdy neobsahovala.</w:t>
      </w:r>
    </w:p>
    <w:p w:rsidR="001A24D0" w:rsidRPr="00967D99" w:rsidRDefault="00967D99">
      <w:pPr>
        <w:numPr>
          <w:ilvl w:val="0"/>
          <w:numId w:val="6"/>
        </w:numPr>
        <w:spacing w:after="147"/>
        <w:ind w:right="14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Smluvní strany této Smlouvy se zavazují, že v případě sporů o obsah a plnění této Smlouvy vynaloží veškeré úsilí, které lze spravedlivě požadovat k tomu, aby byly tyto spory vyřešeny smírnou cestou, zejména aby byly odstraněny okolnosti vedoucí ke vzniku práva od Smlouvy odstoupit, nebo způsobují neplatnost.</w:t>
      </w:r>
    </w:p>
    <w:p w:rsidR="001A24D0" w:rsidRPr="00967D99" w:rsidRDefault="00967D99">
      <w:pPr>
        <w:spacing w:after="804"/>
        <w:ind w:left="552" w:right="14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IO. Tato smlouva bude zveřejněna v registru smluv dle zákona č. 340/2015 Sb., o zvláštních podmínkách účinnosti některých smluv, uveřejňování těchto smluv a o registru smluv (zákon o registru smluv) a to bez uvedení citlivých údajů (obchodní tajemství, osobní údaje). Zveřejnění smlouvy zajistí Poradce.</w:t>
      </w:r>
    </w:p>
    <w:tbl>
      <w:tblPr>
        <w:tblStyle w:val="TableGrid"/>
        <w:tblW w:w="7023" w:type="dxa"/>
        <w:tblInd w:w="14" w:type="dxa"/>
        <w:tblCellMar>
          <w:bottom w:w="4" w:type="dxa"/>
        </w:tblCellMar>
        <w:tblLook w:val="04A0" w:firstRow="1" w:lastRow="0" w:firstColumn="1" w:lastColumn="0" w:noHBand="0" w:noVBand="1"/>
      </w:tblPr>
      <w:tblGrid>
        <w:gridCol w:w="4594"/>
        <w:gridCol w:w="2429"/>
      </w:tblGrid>
      <w:tr w:rsidR="001A24D0" w:rsidRPr="00967D99">
        <w:trPr>
          <w:trHeight w:val="362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1A24D0" w:rsidRPr="00967D99" w:rsidRDefault="00967D99">
            <w:pPr>
              <w:tabs>
                <w:tab w:val="center" w:pos="1851"/>
                <w:tab w:val="center" w:pos="2079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67D99">
              <w:rPr>
                <w:rFonts w:asciiTheme="minorHAnsi" w:hAnsiTheme="minorHAnsi" w:cstheme="minorHAnsi"/>
                <w:szCs w:val="24"/>
              </w:rPr>
              <w:t>V Praze, dne</w:t>
            </w:r>
            <w:r w:rsidRPr="00967D99">
              <w:rPr>
                <w:rFonts w:asciiTheme="minorHAnsi" w:hAnsiTheme="minorHAnsi" w:cstheme="minorHAnsi"/>
                <w:szCs w:val="24"/>
              </w:rPr>
              <w:tab/>
            </w:r>
            <w:bookmarkStart w:id="0" w:name="_GoBack"/>
            <w:bookmarkEnd w:id="0"/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1A24D0" w:rsidRPr="00967D99" w:rsidRDefault="00967D9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967D99">
              <w:rPr>
                <w:rFonts w:asciiTheme="minorHAnsi" w:hAnsiTheme="minorHAnsi" w:cstheme="minorHAnsi"/>
                <w:szCs w:val="24"/>
              </w:rPr>
              <w:t>V Praze, dne 24. 4. 2018</w:t>
            </w:r>
          </w:p>
        </w:tc>
      </w:tr>
      <w:tr w:rsidR="001A24D0" w:rsidRPr="00967D99">
        <w:trPr>
          <w:trHeight w:val="372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D0" w:rsidRPr="00967D99" w:rsidRDefault="00967D99">
            <w:pPr>
              <w:spacing w:after="0" w:line="259" w:lineRule="auto"/>
              <w:ind w:left="14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67D99">
              <w:rPr>
                <w:rFonts w:asciiTheme="minorHAnsi" w:hAnsiTheme="minorHAnsi" w:cstheme="minorHAnsi"/>
                <w:szCs w:val="24"/>
              </w:rPr>
              <w:t>Ing. Radovan Hauk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D0" w:rsidRPr="00967D99" w:rsidRDefault="00967D99">
            <w:pPr>
              <w:spacing w:after="0" w:line="259" w:lineRule="auto"/>
              <w:ind w:left="1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67D99">
              <w:rPr>
                <w:rFonts w:asciiTheme="minorHAnsi" w:hAnsiTheme="minorHAnsi" w:cstheme="minorHAnsi"/>
                <w:szCs w:val="24"/>
              </w:rPr>
              <w:t>Mgr. Jiří Bernát,</w:t>
            </w:r>
          </w:p>
        </w:tc>
      </w:tr>
    </w:tbl>
    <w:p w:rsidR="001A24D0" w:rsidRPr="00967D99" w:rsidRDefault="00967D99">
      <w:pPr>
        <w:tabs>
          <w:tab w:val="center" w:pos="4954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>jednatel BDO Advisory s.r.o.</w:t>
      </w:r>
      <w:r w:rsidRPr="00967D99">
        <w:rPr>
          <w:rFonts w:asciiTheme="minorHAnsi" w:hAnsiTheme="minorHAnsi" w:cstheme="minorHAnsi"/>
          <w:szCs w:val="24"/>
        </w:rPr>
        <w:tab/>
        <w:t>ředitel</w:t>
      </w:r>
    </w:p>
    <w:p w:rsidR="001A24D0" w:rsidRDefault="001A24D0">
      <w:pPr>
        <w:spacing w:after="84" w:line="259" w:lineRule="auto"/>
        <w:ind w:left="38" w:firstLine="0"/>
        <w:jc w:val="left"/>
        <w:rPr>
          <w:rFonts w:asciiTheme="minorHAnsi" w:hAnsiTheme="minorHAnsi" w:cstheme="minorHAnsi"/>
          <w:noProof/>
          <w:szCs w:val="24"/>
        </w:rPr>
      </w:pPr>
    </w:p>
    <w:p w:rsidR="00870EC3" w:rsidRDefault="00870EC3">
      <w:pPr>
        <w:spacing w:after="84" w:line="259" w:lineRule="auto"/>
        <w:ind w:left="38" w:firstLine="0"/>
        <w:jc w:val="left"/>
        <w:rPr>
          <w:rFonts w:asciiTheme="minorHAnsi" w:hAnsiTheme="minorHAnsi" w:cstheme="minorHAnsi"/>
          <w:szCs w:val="24"/>
        </w:rPr>
      </w:pPr>
    </w:p>
    <w:p w:rsidR="00870EC3" w:rsidRDefault="00870EC3">
      <w:pPr>
        <w:spacing w:after="84" w:line="259" w:lineRule="auto"/>
        <w:ind w:left="38" w:firstLine="0"/>
        <w:jc w:val="left"/>
        <w:rPr>
          <w:rFonts w:asciiTheme="minorHAnsi" w:hAnsiTheme="minorHAnsi" w:cstheme="minorHAnsi"/>
          <w:szCs w:val="24"/>
        </w:rPr>
      </w:pPr>
    </w:p>
    <w:p w:rsidR="00870EC3" w:rsidRPr="00967D99" w:rsidRDefault="00870EC3">
      <w:pPr>
        <w:spacing w:after="84" w:line="259" w:lineRule="auto"/>
        <w:ind w:left="38" w:firstLine="0"/>
        <w:jc w:val="left"/>
        <w:rPr>
          <w:rFonts w:asciiTheme="minorHAnsi" w:hAnsiTheme="minorHAnsi" w:cstheme="minorHAnsi"/>
          <w:szCs w:val="24"/>
        </w:rPr>
      </w:pPr>
    </w:p>
    <w:p w:rsidR="001A24D0" w:rsidRPr="00967D99" w:rsidRDefault="00967D99">
      <w:pPr>
        <w:tabs>
          <w:tab w:val="center" w:pos="2275"/>
          <w:tab w:val="center" w:pos="6884"/>
        </w:tabs>
        <w:spacing w:after="174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967D99">
        <w:rPr>
          <w:rFonts w:asciiTheme="minorHAnsi" w:hAnsiTheme="minorHAnsi" w:cstheme="minorHAnsi"/>
          <w:szCs w:val="24"/>
        </w:rPr>
        <w:tab/>
        <w:t>vlastnoruční podpis</w:t>
      </w:r>
      <w:r w:rsidRPr="00967D99">
        <w:rPr>
          <w:rFonts w:asciiTheme="minorHAnsi" w:hAnsiTheme="minorHAnsi" w:cstheme="minorHAnsi"/>
          <w:szCs w:val="24"/>
        </w:rPr>
        <w:tab/>
        <w:t>vlastnoruční podpis</w:t>
      </w:r>
    </w:p>
    <w:p w:rsidR="001A24D0" w:rsidRPr="00967D99" w:rsidRDefault="001A24D0">
      <w:pPr>
        <w:spacing w:after="0" w:line="243" w:lineRule="auto"/>
        <w:ind w:left="5804" w:right="1181" w:firstLine="43"/>
        <w:rPr>
          <w:rFonts w:asciiTheme="minorHAnsi" w:hAnsiTheme="minorHAnsi" w:cstheme="minorHAnsi"/>
          <w:szCs w:val="24"/>
        </w:rPr>
      </w:pPr>
    </w:p>
    <w:sectPr w:rsidR="001A24D0" w:rsidRPr="00967D99">
      <w:footerReference w:type="even" r:id="rId14"/>
      <w:footerReference w:type="default" r:id="rId15"/>
      <w:footerReference w:type="first" r:id="rId16"/>
      <w:pgSz w:w="11900" w:h="16820"/>
      <w:pgMar w:top="1708" w:right="1421" w:bottom="1101" w:left="1334" w:header="708" w:footer="4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C8B" w:rsidRDefault="00967D99">
      <w:pPr>
        <w:spacing w:after="0" w:line="240" w:lineRule="auto"/>
      </w:pPr>
      <w:r>
        <w:separator/>
      </w:r>
    </w:p>
  </w:endnote>
  <w:endnote w:type="continuationSeparator" w:id="0">
    <w:p w:rsidR="004F1C8B" w:rsidRDefault="00967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4D0" w:rsidRDefault="00967D99">
    <w:pPr>
      <w:spacing w:after="0" w:line="259" w:lineRule="auto"/>
      <w:ind w:left="0" w:right="12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4D0" w:rsidRDefault="00967D99">
    <w:pPr>
      <w:spacing w:after="0" w:line="259" w:lineRule="auto"/>
      <w:ind w:left="0" w:right="12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4D0" w:rsidRDefault="00967D99">
    <w:pPr>
      <w:spacing w:after="0" w:line="259" w:lineRule="auto"/>
      <w:ind w:left="0" w:right="12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C8B" w:rsidRDefault="00967D99">
      <w:pPr>
        <w:spacing w:after="0" w:line="240" w:lineRule="auto"/>
      </w:pPr>
      <w:r>
        <w:separator/>
      </w:r>
    </w:p>
  </w:footnote>
  <w:footnote w:type="continuationSeparator" w:id="0">
    <w:p w:rsidR="004F1C8B" w:rsidRDefault="00967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F47"/>
    <w:multiLevelType w:val="hybridMultilevel"/>
    <w:tmpl w:val="96C8F892"/>
    <w:lvl w:ilvl="0" w:tplc="9A6238E2">
      <w:start w:val="2"/>
      <w:numFmt w:val="decimal"/>
      <w:lvlText w:val="%1.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42D166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B6F454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34A7E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27EB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A8F488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0DF0C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5EBC1E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E49AAE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876195"/>
    <w:multiLevelType w:val="hybridMultilevel"/>
    <w:tmpl w:val="AE9C088C"/>
    <w:lvl w:ilvl="0" w:tplc="3806A04E">
      <w:start w:val="2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8E20EE">
      <w:start w:val="2"/>
      <w:numFmt w:val="lowerRoman"/>
      <w:lvlText w:val="%2.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CE21CE">
      <w:start w:val="1"/>
      <w:numFmt w:val="lowerRoman"/>
      <w:lvlText w:val="%3"/>
      <w:lvlJc w:val="left"/>
      <w:pPr>
        <w:ind w:left="2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9055B8">
      <w:start w:val="1"/>
      <w:numFmt w:val="decimal"/>
      <w:lvlText w:val="%4"/>
      <w:lvlJc w:val="left"/>
      <w:pPr>
        <w:ind w:left="2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03FC2">
      <w:start w:val="1"/>
      <w:numFmt w:val="lowerLetter"/>
      <w:lvlText w:val="%5"/>
      <w:lvlJc w:val="left"/>
      <w:pPr>
        <w:ind w:left="3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FE2E1A">
      <w:start w:val="1"/>
      <w:numFmt w:val="lowerRoman"/>
      <w:lvlText w:val="%6"/>
      <w:lvlJc w:val="left"/>
      <w:pPr>
        <w:ind w:left="4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12A9F2">
      <w:start w:val="1"/>
      <w:numFmt w:val="decimal"/>
      <w:lvlText w:val="%7"/>
      <w:lvlJc w:val="left"/>
      <w:pPr>
        <w:ind w:left="4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BCA4AE">
      <w:start w:val="1"/>
      <w:numFmt w:val="lowerLetter"/>
      <w:lvlText w:val="%8"/>
      <w:lvlJc w:val="left"/>
      <w:pPr>
        <w:ind w:left="5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E02F44">
      <w:start w:val="1"/>
      <w:numFmt w:val="lowerRoman"/>
      <w:lvlText w:val="%9"/>
      <w:lvlJc w:val="left"/>
      <w:pPr>
        <w:ind w:left="6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541630"/>
    <w:multiLevelType w:val="hybridMultilevel"/>
    <w:tmpl w:val="B3C2C04A"/>
    <w:lvl w:ilvl="0" w:tplc="527847AA">
      <w:start w:val="2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04E438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269BC2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F2B3B2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400DDC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6607DA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7CC8C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8E08E0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FE94E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892860"/>
    <w:multiLevelType w:val="hybridMultilevel"/>
    <w:tmpl w:val="668469C6"/>
    <w:lvl w:ilvl="0" w:tplc="59CC7088">
      <w:start w:val="2"/>
      <w:numFmt w:val="decimal"/>
      <w:lvlText w:val="%1.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9A80CC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DC4B94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90D42E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B034F0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5AEDEC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E4003C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18DD64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A7174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1556DC"/>
    <w:multiLevelType w:val="hybridMultilevel"/>
    <w:tmpl w:val="0DDCF324"/>
    <w:lvl w:ilvl="0" w:tplc="4EE06C06">
      <w:start w:val="2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EFA2A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B0CB8A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2EF4E6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32431A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C6A564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1083CE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ECEB5E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BC902C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756877"/>
    <w:multiLevelType w:val="hybridMultilevel"/>
    <w:tmpl w:val="D02E1EE4"/>
    <w:lvl w:ilvl="0" w:tplc="5D8E77D2">
      <w:start w:val="2"/>
      <w:numFmt w:val="lowerRoman"/>
      <w:lvlText w:val="%1."/>
      <w:lvlJc w:val="left"/>
      <w:pPr>
        <w:ind w:left="1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AC79EA">
      <w:start w:val="1"/>
      <w:numFmt w:val="lowerLetter"/>
      <w:lvlText w:val="%2"/>
      <w:lvlJc w:val="left"/>
      <w:pPr>
        <w:ind w:left="2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504C32">
      <w:start w:val="1"/>
      <w:numFmt w:val="lowerRoman"/>
      <w:lvlText w:val="%3"/>
      <w:lvlJc w:val="left"/>
      <w:pPr>
        <w:ind w:left="2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4262F6">
      <w:start w:val="1"/>
      <w:numFmt w:val="decimal"/>
      <w:lvlText w:val="%4"/>
      <w:lvlJc w:val="left"/>
      <w:pPr>
        <w:ind w:left="3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A6D3F6">
      <w:start w:val="1"/>
      <w:numFmt w:val="lowerLetter"/>
      <w:lvlText w:val="%5"/>
      <w:lvlJc w:val="left"/>
      <w:pPr>
        <w:ind w:left="4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5074C6">
      <w:start w:val="1"/>
      <w:numFmt w:val="lowerRoman"/>
      <w:lvlText w:val="%6"/>
      <w:lvlJc w:val="left"/>
      <w:pPr>
        <w:ind w:left="4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817E0">
      <w:start w:val="1"/>
      <w:numFmt w:val="decimal"/>
      <w:lvlText w:val="%7"/>
      <w:lvlJc w:val="left"/>
      <w:pPr>
        <w:ind w:left="5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4AA310">
      <w:start w:val="1"/>
      <w:numFmt w:val="lowerLetter"/>
      <w:lvlText w:val="%8"/>
      <w:lvlJc w:val="left"/>
      <w:pPr>
        <w:ind w:left="6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98A7A4">
      <w:start w:val="1"/>
      <w:numFmt w:val="lowerRoman"/>
      <w:lvlText w:val="%9"/>
      <w:lvlJc w:val="left"/>
      <w:pPr>
        <w:ind w:left="7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D0"/>
    <w:rsid w:val="001A24D0"/>
    <w:rsid w:val="004F1C8B"/>
    <w:rsid w:val="00870EC3"/>
    <w:rsid w:val="0096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17D9"/>
  <w15:docId w15:val="{C5BE0BBF-72C9-47D2-8C19-8624B6E3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7" w:line="220" w:lineRule="auto"/>
      <w:ind w:left="562" w:hanging="538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04" w:line="265" w:lineRule="auto"/>
      <w:ind w:left="34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1937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KM_C558-20180507094432</vt:lpstr>
    </vt:vector>
  </TitlesOfParts>
  <Company/>
  <LinksUpToDate>false</LinksUpToDate>
  <CharactersWithSpaces>13342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KM_C558-20180507094432</dc:title>
  <dc:subject/>
  <dc:creator>Petr Gabriel</dc:creator>
  <cp:keywords/>
  <cp:lastModifiedBy>Petr Gabriel</cp:lastModifiedBy>
  <cp:revision>3</cp:revision>
  <dcterms:created xsi:type="dcterms:W3CDTF">2018-05-24T10:39:00Z</dcterms:created>
  <dcterms:modified xsi:type="dcterms:W3CDTF">2018-05-28T10:14:00Z</dcterms:modified>
</cp:coreProperties>
</file>