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E5" w:rsidRPr="00EE3DEA" w:rsidRDefault="00ED1FE5" w:rsidP="00ED1FE5">
      <w:pPr>
        <w:jc w:val="center"/>
        <w:rPr>
          <w:rFonts w:ascii="Times New Roman" w:eastAsia="Times New Roman" w:hAnsi="Times New Roman"/>
          <w:b/>
          <w:kern w:val="1"/>
          <w:sz w:val="22"/>
          <w:szCs w:val="24"/>
          <w:shd w:val="clear" w:color="auto" w:fill="FFFFFF"/>
          <w:lang w:val="en-US"/>
        </w:rPr>
      </w:pPr>
      <w:bookmarkStart w:id="0" w:name="_GoBack"/>
      <w:bookmarkEnd w:id="0"/>
      <w:r w:rsidRPr="00EE3DEA">
        <w:rPr>
          <w:rFonts w:ascii="Times New Roman" w:eastAsia="Times New Roman" w:hAnsi="Times New Roman"/>
          <w:b/>
          <w:kern w:val="1"/>
          <w:sz w:val="22"/>
          <w:szCs w:val="24"/>
          <w:shd w:val="clear" w:color="auto" w:fill="FFFFFF"/>
        </w:rPr>
        <w:t>PŘÍLOHA Č. 3a</w:t>
      </w:r>
    </w:p>
    <w:p w:rsidR="00ED1FE5" w:rsidRPr="00EE3DEA" w:rsidRDefault="00ED1FE5" w:rsidP="00ED1FE5">
      <w:pPr>
        <w:jc w:val="center"/>
        <w:rPr>
          <w:rFonts w:ascii="Times New Roman" w:eastAsia="Times New Roman" w:hAnsi="Times New Roman"/>
          <w:b/>
          <w:kern w:val="1"/>
          <w:sz w:val="22"/>
          <w:szCs w:val="24"/>
          <w:shd w:val="clear" w:color="auto" w:fill="FFFFFF"/>
        </w:rPr>
      </w:pPr>
    </w:p>
    <w:p w:rsidR="00ED1FE5" w:rsidRDefault="00ED1FE5" w:rsidP="00ED1FE5">
      <w:pPr>
        <w:jc w:val="center"/>
        <w:rPr>
          <w:rFonts w:ascii="Times New Roman" w:eastAsia="Times New Roman" w:hAnsi="Times New Roman"/>
          <w:b/>
          <w:kern w:val="1"/>
          <w:sz w:val="22"/>
          <w:szCs w:val="24"/>
          <w:shd w:val="clear" w:color="auto" w:fill="FFFFFF"/>
        </w:rPr>
      </w:pPr>
      <w:r w:rsidRPr="00EE3DEA">
        <w:rPr>
          <w:rFonts w:ascii="Times New Roman" w:eastAsia="Times New Roman" w:hAnsi="Times New Roman"/>
          <w:b/>
          <w:kern w:val="1"/>
          <w:sz w:val="22"/>
          <w:szCs w:val="24"/>
          <w:shd w:val="clear" w:color="auto" w:fill="FFFFFF"/>
        </w:rPr>
        <w:t>Stupně obtížnosti odstranění poruchy</w:t>
      </w:r>
    </w:p>
    <w:p w:rsidR="00ED1FE5" w:rsidRDefault="00ED1FE5" w:rsidP="00ED1FE5">
      <w:pPr>
        <w:jc w:val="center"/>
        <w:rPr>
          <w:rFonts w:ascii="Times New Roman" w:eastAsia="Times New Roman" w:hAnsi="Times New Roman"/>
          <w:b/>
          <w:kern w:val="1"/>
          <w:sz w:val="22"/>
          <w:szCs w:val="24"/>
          <w:shd w:val="clear" w:color="auto" w:fill="FFFFFF"/>
          <w:lang w:val="en-US"/>
        </w:rPr>
      </w:pPr>
    </w:p>
    <w:p w:rsidR="00ED1FE5" w:rsidRDefault="00ED1FE5" w:rsidP="00ED1FE5">
      <w:pPr>
        <w:jc w:val="center"/>
        <w:rPr>
          <w:rFonts w:ascii="Times New Roman" w:eastAsia="Times New Roman" w:hAnsi="Times New Roman"/>
          <w:b/>
          <w:kern w:val="1"/>
          <w:sz w:val="22"/>
          <w:szCs w:val="24"/>
          <w:highlight w:val="green"/>
          <w:shd w:val="clear" w:color="auto" w:fill="FFFFFF"/>
          <w:lang w:val="en-US"/>
        </w:rPr>
      </w:pPr>
    </w:p>
    <w:p w:rsidR="00ED1FE5" w:rsidRDefault="00ED1FE5" w:rsidP="00ED1FE5">
      <w:pPr>
        <w:shd w:val="clear" w:color="auto" w:fill="auto"/>
        <w:spacing w:after="240"/>
        <w:rPr>
          <w:rFonts w:ascii="Times New Roman" w:eastAsia="Times New Roman" w:hAnsi="Times New Roman"/>
          <w:b/>
          <w:kern w:val="1"/>
          <w:sz w:val="22"/>
          <w:szCs w:val="24"/>
          <w:lang w:val="en-US"/>
        </w:rPr>
      </w:pPr>
      <w:r>
        <w:rPr>
          <w:rFonts w:ascii="Times New Roman" w:eastAsia="Times New Roman" w:hAnsi="Times New Roman"/>
          <w:b/>
          <w:kern w:val="1"/>
          <w:sz w:val="22"/>
          <w:szCs w:val="24"/>
        </w:rPr>
        <w:t>Stupeň obtížnosti odstranění poruchy A:</w:t>
      </w:r>
    </w:p>
    <w:p w:rsidR="00ED1FE5" w:rsidRDefault="00ED1FE5" w:rsidP="00ED1FE5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709" w:hanging="709"/>
        <w:jc w:val="both"/>
        <w:rPr>
          <w:rFonts w:ascii="Times New Roman" w:eastAsia="Times New Roman" w:hAnsi="Times New Roman"/>
          <w:kern w:val="1"/>
          <w:sz w:val="22"/>
          <w:szCs w:val="24"/>
          <w:lang w:val="en-US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Není potřeba speciální techniky ani speciálních služeb, Poruchu vybavení lze odhalit (nikoli identifikovat příčinu) vizuálně nebo základním ověřením (měřením) v gesci základních pracovníků výjezdové skupiny bez potřeby zvláštních postupů či konzultací s nadřízenými či specialisty Poskytovatele či Objednatele nebo externích spolupracovníků;</w:t>
      </w:r>
    </w:p>
    <w:p w:rsidR="00ED1FE5" w:rsidRDefault="00ED1FE5" w:rsidP="00ED1FE5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709" w:hanging="709"/>
        <w:jc w:val="both"/>
        <w:rPr>
          <w:rFonts w:ascii="Times New Roman" w:eastAsia="Times New Roman" w:hAnsi="Times New Roman"/>
          <w:kern w:val="1"/>
          <w:sz w:val="22"/>
          <w:szCs w:val="24"/>
          <w:lang w:val="en-US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Není třeba speciálních nebo zvláštních odborných znalostí a dovedností;</w:t>
      </w:r>
    </w:p>
    <w:p w:rsidR="00ED1FE5" w:rsidRDefault="00ED1FE5" w:rsidP="00ED1FE5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709" w:hanging="709"/>
        <w:jc w:val="both"/>
        <w:rPr>
          <w:rFonts w:ascii="Times New Roman" w:eastAsia="Times New Roman" w:hAnsi="Times New Roman"/>
          <w:kern w:val="1"/>
          <w:sz w:val="22"/>
          <w:szCs w:val="24"/>
          <w:lang w:val="en-US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Není třeba speciální techniky nebo zařízení (speciální stroje, pracovní plošiny, DIO apod.);</w:t>
      </w:r>
    </w:p>
    <w:p w:rsidR="00ED1FE5" w:rsidRDefault="00ED1FE5" w:rsidP="00ED1FE5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709" w:hanging="709"/>
        <w:jc w:val="both"/>
        <w:rPr>
          <w:rFonts w:ascii="Times New Roman" w:eastAsia="Times New Roman" w:hAnsi="Times New Roman"/>
          <w:kern w:val="1"/>
          <w:sz w:val="22"/>
          <w:szCs w:val="24"/>
          <w:lang w:val="en-US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Činnosti lze rozložit do několika pracovních bloků či dnů bez toho, aby byl ohrožen systém bezpečnosti provozu a užitnosti komunikace (např. možnost neprovádět práci v noci, za snížené viditelnosti, extrémního horka či mrazu apod.);</w:t>
      </w:r>
    </w:p>
    <w:p w:rsidR="00ED1FE5" w:rsidRDefault="00ED1FE5" w:rsidP="00ED1FE5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709" w:hanging="709"/>
        <w:jc w:val="both"/>
        <w:rPr>
          <w:rFonts w:ascii="Times New Roman" w:eastAsia="Times New Roman" w:hAnsi="Times New Roman"/>
          <w:kern w:val="1"/>
          <w:sz w:val="22"/>
          <w:szCs w:val="24"/>
          <w:lang w:val="en-US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K identifikaci příčiny Poruchy vybavení postačují znalosti a dovednosti základního pracovníka Poruchové služby;</w:t>
      </w:r>
    </w:p>
    <w:p w:rsidR="00ED1FE5" w:rsidRPr="00A0786F" w:rsidRDefault="00ED1FE5" w:rsidP="00ED1FE5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709" w:hanging="709"/>
        <w:jc w:val="both"/>
        <w:rPr>
          <w:rFonts w:ascii="Times New Roman" w:eastAsia="Times New Roman" w:hAnsi="Times New Roman"/>
          <w:kern w:val="1"/>
          <w:sz w:val="22"/>
          <w:szCs w:val="24"/>
          <w:lang w:val="en-US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K odstranění Poruchy vybavení nemusí být povolán specialista nebo podpůrný tým Poskytovatele nebo Poddodavatele.</w:t>
      </w:r>
    </w:p>
    <w:p w:rsidR="00ED1FE5" w:rsidRDefault="00ED1FE5" w:rsidP="00ED1FE5">
      <w:pPr>
        <w:pStyle w:val="Odstavecseseznamem"/>
        <w:shd w:val="clear" w:color="auto" w:fill="auto"/>
        <w:autoSpaceDE/>
        <w:adjustRightInd/>
        <w:spacing w:after="120"/>
        <w:ind w:left="709"/>
        <w:jc w:val="both"/>
        <w:rPr>
          <w:rFonts w:ascii="Times New Roman" w:eastAsia="Times New Roman" w:hAnsi="Times New Roman"/>
          <w:kern w:val="1"/>
          <w:sz w:val="22"/>
          <w:szCs w:val="24"/>
          <w:lang w:val="en-US"/>
        </w:rPr>
      </w:pPr>
    </w:p>
    <w:p w:rsidR="00ED1FE5" w:rsidRDefault="00ED1FE5" w:rsidP="00ED1FE5">
      <w:pPr>
        <w:shd w:val="clear" w:color="auto" w:fill="auto"/>
        <w:spacing w:after="240"/>
        <w:jc w:val="both"/>
        <w:rPr>
          <w:rFonts w:ascii="Times New Roman" w:eastAsia="Times New Roman" w:hAnsi="Times New Roman"/>
          <w:b/>
          <w:kern w:val="1"/>
          <w:sz w:val="22"/>
          <w:szCs w:val="24"/>
          <w:lang w:val="en-US"/>
        </w:rPr>
      </w:pPr>
      <w:r>
        <w:rPr>
          <w:rFonts w:ascii="Times New Roman" w:eastAsia="Times New Roman" w:hAnsi="Times New Roman"/>
          <w:b/>
          <w:kern w:val="1"/>
          <w:sz w:val="22"/>
          <w:szCs w:val="24"/>
        </w:rPr>
        <w:t>Stupeň obtížnosti odstranění poruchy B:</w:t>
      </w:r>
    </w:p>
    <w:p w:rsidR="00ED1FE5" w:rsidRDefault="00ED1FE5" w:rsidP="00ED1FE5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709" w:hanging="709"/>
        <w:jc w:val="both"/>
        <w:rPr>
          <w:rFonts w:ascii="Times New Roman" w:eastAsia="Times New Roman" w:hAnsi="Times New Roman"/>
          <w:kern w:val="1"/>
          <w:sz w:val="22"/>
          <w:szCs w:val="24"/>
          <w:lang w:val="en-US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Je potřeba speciální techniky nebo speciálních služeb, Poruchu vybavení nelze odhalit vizuálně nebo základním ověřením (měřením) v gesci základních pracovníků výjezdové skupiny a je nutné uplatnit zvláštní postupy či konzultací s nadřízenými či specialisty Poskytovatele či Objednatele nebo externích spolupracovníků;</w:t>
      </w:r>
    </w:p>
    <w:p w:rsidR="00ED1FE5" w:rsidRDefault="00ED1FE5" w:rsidP="00ED1FE5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709" w:hanging="709"/>
        <w:jc w:val="both"/>
        <w:rPr>
          <w:rFonts w:ascii="Times New Roman" w:eastAsia="Times New Roman" w:hAnsi="Times New Roman"/>
          <w:kern w:val="1"/>
          <w:sz w:val="22"/>
          <w:szCs w:val="24"/>
          <w:lang w:val="en-US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Na některé práce je třeba speciálních nebo zvláštních odborných znalostí a dovedností;</w:t>
      </w:r>
    </w:p>
    <w:p w:rsidR="00ED1FE5" w:rsidRDefault="00ED1FE5" w:rsidP="00ED1FE5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709" w:hanging="709"/>
        <w:jc w:val="both"/>
        <w:rPr>
          <w:rFonts w:ascii="Times New Roman" w:eastAsia="Times New Roman" w:hAnsi="Times New Roman"/>
          <w:kern w:val="1"/>
          <w:sz w:val="22"/>
          <w:szCs w:val="24"/>
          <w:lang w:val="en-US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Na některé práce je třeba speciální techniky nebo zařízení (speciální stroje, pracovní plošiny, soustavy DIO apod.);</w:t>
      </w:r>
    </w:p>
    <w:p w:rsidR="00ED1FE5" w:rsidRDefault="00ED1FE5" w:rsidP="00ED1FE5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709" w:hanging="709"/>
        <w:jc w:val="both"/>
        <w:rPr>
          <w:rFonts w:ascii="Times New Roman" w:eastAsia="Times New Roman" w:hAnsi="Times New Roman"/>
          <w:kern w:val="1"/>
          <w:sz w:val="22"/>
          <w:szCs w:val="24"/>
          <w:lang w:val="en-US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Činnosti nelze rozložit do několika pracovních bloků či dnů a je třeba konat neprodleně nebo pod tlakem plnění termínů pro odstranění Poruchy</w:t>
      </w:r>
      <w:r w:rsidRPr="00B41552">
        <w:rPr>
          <w:rFonts w:ascii="Times New Roman" w:eastAsia="Times New Roman" w:hAnsi="Times New Roman"/>
          <w:kern w:val="1"/>
          <w:sz w:val="22"/>
          <w:szCs w:val="24"/>
        </w:rPr>
        <w:t xml:space="preserve"> </w:t>
      </w:r>
      <w:r>
        <w:rPr>
          <w:rFonts w:ascii="Times New Roman" w:eastAsia="Times New Roman" w:hAnsi="Times New Roman"/>
          <w:kern w:val="1"/>
          <w:sz w:val="22"/>
          <w:szCs w:val="24"/>
        </w:rPr>
        <w:t>vybavení;</w:t>
      </w:r>
    </w:p>
    <w:p w:rsidR="00ED1FE5" w:rsidRDefault="00ED1FE5" w:rsidP="00ED1FE5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709" w:hanging="709"/>
        <w:jc w:val="both"/>
        <w:rPr>
          <w:rFonts w:ascii="Times New Roman" w:eastAsia="Times New Roman" w:hAnsi="Times New Roman"/>
          <w:kern w:val="1"/>
          <w:sz w:val="22"/>
          <w:szCs w:val="24"/>
          <w:lang w:val="en-US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K identifikaci příčiny Poruchy vybavení nepostačují znalosti a dovednosti základního pracovníka Poruchové služby a je třeba povolat specialistu;</w:t>
      </w:r>
    </w:p>
    <w:p w:rsidR="00ED1FE5" w:rsidRPr="00A0786F" w:rsidRDefault="00ED1FE5" w:rsidP="00ED1FE5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709" w:hanging="709"/>
        <w:jc w:val="both"/>
        <w:rPr>
          <w:rFonts w:ascii="Times New Roman" w:eastAsia="Times New Roman" w:hAnsi="Times New Roman"/>
          <w:kern w:val="1"/>
          <w:sz w:val="22"/>
          <w:szCs w:val="24"/>
          <w:lang w:val="en-US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K odstranění Poruchy vybavení musí být povolán specialista nebo podpůrný tým Poskytovatele nebo Poddodavatele.</w:t>
      </w:r>
    </w:p>
    <w:p w:rsidR="00ED1FE5" w:rsidRDefault="00ED1FE5" w:rsidP="00ED1FE5">
      <w:pPr>
        <w:pStyle w:val="Odstavecseseznamem"/>
        <w:shd w:val="clear" w:color="auto" w:fill="auto"/>
        <w:autoSpaceDE/>
        <w:adjustRightInd/>
        <w:spacing w:after="120"/>
        <w:ind w:left="709"/>
        <w:jc w:val="both"/>
        <w:rPr>
          <w:rFonts w:ascii="Times New Roman" w:eastAsia="Times New Roman" w:hAnsi="Times New Roman"/>
          <w:kern w:val="1"/>
          <w:sz w:val="22"/>
          <w:szCs w:val="24"/>
          <w:lang w:val="en-US"/>
        </w:rPr>
      </w:pPr>
    </w:p>
    <w:p w:rsidR="00ED1FE5" w:rsidRDefault="00ED1FE5" w:rsidP="00ED1FE5">
      <w:pPr>
        <w:shd w:val="clear" w:color="auto" w:fill="auto"/>
        <w:spacing w:after="240"/>
        <w:jc w:val="both"/>
        <w:rPr>
          <w:rFonts w:ascii="Times New Roman" w:eastAsia="Times New Roman" w:hAnsi="Times New Roman"/>
          <w:b/>
          <w:kern w:val="1"/>
          <w:sz w:val="22"/>
          <w:szCs w:val="24"/>
          <w:lang w:val="en-US"/>
        </w:rPr>
      </w:pPr>
      <w:r>
        <w:rPr>
          <w:rFonts w:ascii="Times New Roman" w:eastAsia="Times New Roman" w:hAnsi="Times New Roman"/>
          <w:b/>
          <w:kern w:val="1"/>
          <w:sz w:val="22"/>
          <w:szCs w:val="24"/>
        </w:rPr>
        <w:t>Stupeň obtížnosti odstranění poruchy C:</w:t>
      </w:r>
    </w:p>
    <w:p w:rsidR="00ED1FE5" w:rsidRDefault="00ED1FE5" w:rsidP="00ED1FE5">
      <w:pPr>
        <w:pStyle w:val="Odstavecseseznamem"/>
        <w:numPr>
          <w:ilvl w:val="0"/>
          <w:numId w:val="2"/>
        </w:numPr>
        <w:shd w:val="clear" w:color="auto" w:fill="auto"/>
        <w:spacing w:after="120"/>
        <w:ind w:left="709" w:hanging="709"/>
        <w:jc w:val="both"/>
        <w:rPr>
          <w:rFonts w:ascii="Times New Roman" w:eastAsia="Times New Roman" w:hAnsi="Times New Roman"/>
          <w:kern w:val="1"/>
          <w:sz w:val="22"/>
          <w:szCs w:val="24"/>
          <w:lang w:val="en-US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K odhalení a následné identifikaci příčiny Poruchy je třeba speciálních služeb a techniky, Poruchu vybavení nelze odhalit a identifikovat příčinu jinak než aktivací speciálních nebo zvláštních pracovních postupů;</w:t>
      </w:r>
    </w:p>
    <w:p w:rsidR="00ED1FE5" w:rsidRDefault="00ED1FE5" w:rsidP="00ED1FE5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709" w:hanging="709"/>
        <w:jc w:val="both"/>
        <w:rPr>
          <w:rFonts w:ascii="Times New Roman" w:eastAsia="Times New Roman" w:hAnsi="Times New Roman"/>
          <w:kern w:val="1"/>
          <w:sz w:val="22"/>
          <w:szCs w:val="24"/>
          <w:lang w:val="en-US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Je třeba speciálních nebo zvláštních odborných znalostí a dovedností;</w:t>
      </w:r>
    </w:p>
    <w:p w:rsidR="00ED1FE5" w:rsidRDefault="00ED1FE5" w:rsidP="00ED1FE5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709" w:hanging="709"/>
        <w:jc w:val="both"/>
        <w:rPr>
          <w:rFonts w:ascii="Times New Roman" w:eastAsia="Times New Roman" w:hAnsi="Times New Roman"/>
          <w:kern w:val="1"/>
          <w:sz w:val="22"/>
          <w:szCs w:val="24"/>
          <w:lang w:val="en-US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Je třeba speciální techniky nebo zařízení (speciální stroje, pracovní plošiny, soustavy DIO, SW a HW vybavení apod.);</w:t>
      </w:r>
    </w:p>
    <w:p w:rsidR="00ED1FE5" w:rsidRDefault="00ED1FE5" w:rsidP="00ED1FE5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709" w:hanging="709"/>
        <w:jc w:val="both"/>
        <w:rPr>
          <w:rFonts w:ascii="Times New Roman" w:eastAsia="Times New Roman" w:hAnsi="Times New Roman"/>
          <w:kern w:val="1"/>
          <w:sz w:val="22"/>
          <w:szCs w:val="24"/>
          <w:lang w:val="en-US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lastRenderedPageBreak/>
        <w:t>Činnosti nelze rozložit do několika pracovních bloků či dnů bez toho, aby byl ohrožen systém bezpečnosti provozu a užitnosti komunikace, tzn., musí se pracovat v nepřetržitém pracovním režimu bez ohledu na podmínky;</w:t>
      </w:r>
    </w:p>
    <w:p w:rsidR="00ED1FE5" w:rsidRDefault="00ED1FE5" w:rsidP="00ED1FE5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709" w:hanging="709"/>
        <w:jc w:val="both"/>
        <w:rPr>
          <w:rFonts w:ascii="Times New Roman" w:eastAsia="Times New Roman" w:hAnsi="Times New Roman"/>
          <w:kern w:val="1"/>
          <w:sz w:val="22"/>
          <w:szCs w:val="24"/>
          <w:lang w:val="en-US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K identifikaci příčiny Poruchy vybavení nepostačují znalosti a dovednosti základního pracovníka poruchové služby;</w:t>
      </w:r>
    </w:p>
    <w:p w:rsidR="00ED1FE5" w:rsidRDefault="00ED1FE5" w:rsidP="00ED1FE5">
      <w:pPr>
        <w:pStyle w:val="Odstavecseseznamem"/>
        <w:numPr>
          <w:ilvl w:val="0"/>
          <w:numId w:val="1"/>
        </w:numPr>
        <w:shd w:val="clear" w:color="auto" w:fill="auto"/>
        <w:autoSpaceDE/>
        <w:adjustRightInd/>
        <w:spacing w:after="120"/>
        <w:ind w:left="709" w:hanging="709"/>
        <w:jc w:val="both"/>
        <w:rPr>
          <w:rFonts w:ascii="Times New Roman" w:eastAsia="Times New Roman" w:hAnsi="Times New Roman"/>
          <w:kern w:val="1"/>
          <w:sz w:val="22"/>
          <w:szCs w:val="24"/>
          <w:lang w:val="en-US"/>
        </w:rPr>
      </w:pPr>
      <w:r>
        <w:rPr>
          <w:rFonts w:ascii="Times New Roman" w:eastAsia="Times New Roman" w:hAnsi="Times New Roman"/>
          <w:kern w:val="1"/>
          <w:sz w:val="22"/>
          <w:szCs w:val="24"/>
        </w:rPr>
        <w:t>K odstranění Poruchy vybavení musí být povolán specialista nebo podpůrný tým Poskytovatele nebo Poddodavatele.</w:t>
      </w:r>
    </w:p>
    <w:p w:rsidR="00795C2B" w:rsidRDefault="00795C2B"/>
    <w:sectPr w:rsidR="00795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B26" w:rsidRDefault="00CA5B26" w:rsidP="00ED1FE5">
      <w:r>
        <w:separator/>
      </w:r>
    </w:p>
  </w:endnote>
  <w:endnote w:type="continuationSeparator" w:id="0">
    <w:p w:rsidR="00CA5B26" w:rsidRDefault="00CA5B26" w:rsidP="00ED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390" w:rsidRDefault="0060439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141206"/>
      <w:docPartObj>
        <w:docPartGallery w:val="Page Numbers (Bottom of Page)"/>
        <w:docPartUnique/>
      </w:docPartObj>
    </w:sdtPr>
    <w:sdtEndPr/>
    <w:sdtContent>
      <w:p w:rsidR="009B61C9" w:rsidRDefault="009B61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390">
          <w:rPr>
            <w:noProof/>
          </w:rPr>
          <w:t>1</w:t>
        </w:r>
        <w:r>
          <w:fldChar w:fldCharType="end"/>
        </w:r>
      </w:p>
    </w:sdtContent>
  </w:sdt>
  <w:p w:rsidR="009B61C9" w:rsidRDefault="009B61C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390" w:rsidRDefault="006043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B26" w:rsidRDefault="00CA5B26" w:rsidP="00ED1FE5">
      <w:r>
        <w:separator/>
      </w:r>
    </w:p>
  </w:footnote>
  <w:footnote w:type="continuationSeparator" w:id="0">
    <w:p w:rsidR="00CA5B26" w:rsidRDefault="00CA5B26" w:rsidP="00ED1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390" w:rsidRDefault="0060439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FE5" w:rsidRPr="00ED1FE5" w:rsidRDefault="00ED1FE5" w:rsidP="00ED1FE5">
    <w:pPr>
      <w:pStyle w:val="Pleading3L1"/>
      <w:keepNext w:val="0"/>
      <w:keepLines w:val="0"/>
      <w:numPr>
        <w:ilvl w:val="0"/>
        <w:numId w:val="0"/>
      </w:numPr>
      <w:shd w:val="clear" w:color="auto" w:fill="auto"/>
      <w:autoSpaceDE/>
      <w:autoSpaceDN/>
      <w:adjustRightInd/>
      <w:spacing w:before="0" w:line="240" w:lineRule="auto"/>
      <w:jc w:val="left"/>
      <w:outlineLvl w:val="9"/>
      <w:rPr>
        <w:b w:val="0"/>
        <w:sz w:val="14"/>
        <w:szCs w:val="22"/>
        <w:lang w:eastAsia="en-US"/>
      </w:rPr>
    </w:pPr>
    <w:r w:rsidRPr="007826E2">
      <w:rPr>
        <w:kern w:val="1"/>
        <w:sz w:val="14"/>
        <w:szCs w:val="24"/>
        <w:lang w:eastAsia="en-US"/>
      </w:rPr>
      <w:t>SMLOUVA „Zajištění poruchové služby, servisu a údržby technologického a softwarového vybavení a stavebně-technické části dálnice D1 v km 341,507–376,497, včetně tunelu Klimkovice a tunelu Lysůvky na D48“</w:t>
    </w:r>
  </w:p>
  <w:p w:rsidR="00ED1FE5" w:rsidRDefault="00ED1FE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390" w:rsidRDefault="0060439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D1C"/>
    <w:multiLevelType w:val="hybridMultilevel"/>
    <w:tmpl w:val="C7A6CB8C"/>
    <w:lvl w:ilvl="0" w:tplc="DEE81FCC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trike w:val="0"/>
        <w:dstrike w:val="0"/>
      </w:rPr>
    </w:lvl>
    <w:lvl w:ilvl="1" w:tplc="5C28C008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strike w:val="0"/>
        <w:dstrike w:val="0"/>
        <w:rtl w:val="0"/>
      </w:rPr>
    </w:lvl>
    <w:lvl w:ilvl="2" w:tplc="6BAC2576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  <w:strike w:val="0"/>
        <w:dstrike w:val="0"/>
      </w:rPr>
    </w:lvl>
    <w:lvl w:ilvl="3" w:tplc="9208A2F2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trike w:val="0"/>
        <w:dstrike w:val="0"/>
      </w:rPr>
    </w:lvl>
    <w:lvl w:ilvl="4" w:tplc="CD68A898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strike w:val="0"/>
        <w:dstrike w:val="0"/>
        <w:rtl w:val="0"/>
      </w:rPr>
    </w:lvl>
    <w:lvl w:ilvl="5" w:tplc="5A0E3728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  <w:strike w:val="0"/>
        <w:dstrike w:val="0"/>
      </w:rPr>
    </w:lvl>
    <w:lvl w:ilvl="6" w:tplc="43160902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trike w:val="0"/>
        <w:dstrike w:val="0"/>
      </w:rPr>
    </w:lvl>
    <w:lvl w:ilvl="7" w:tplc="F286A7B4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strike w:val="0"/>
        <w:dstrike w:val="0"/>
        <w:rtl w:val="0"/>
      </w:rPr>
    </w:lvl>
    <w:lvl w:ilvl="8" w:tplc="24622E38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  <w:strike w:val="0"/>
        <w:dstrike w:val="0"/>
      </w:rPr>
    </w:lvl>
  </w:abstractNum>
  <w:abstractNum w:abstractNumId="1" w15:restartNumberingAfterBreak="0">
    <w:nsid w:val="772063AE"/>
    <w:multiLevelType w:val="multilevel"/>
    <w:tmpl w:val="8C087F28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left" w:pos="5115"/>
        </w:tabs>
      </w:pPr>
      <w:rPr>
        <w:b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left" w:pos="72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left" w:pos="144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(%4)"/>
      <w:lvlJc w:val="left"/>
      <w:pPr>
        <w:tabs>
          <w:tab w:val="left" w:pos="144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3L5"/>
      <w:lvlText w:val="(%5)"/>
      <w:lvlJc w:val="left"/>
      <w:pPr>
        <w:tabs>
          <w:tab w:val="left" w:pos="360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6"/>
      <w:lvlText w:val="(%6)"/>
      <w:lvlJc w:val="left"/>
      <w:pPr>
        <w:tabs>
          <w:tab w:val="left" w:pos="432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7"/>
      <w:lvlText w:val="(%7)"/>
      <w:lvlJc w:val="left"/>
      <w:pPr>
        <w:tabs>
          <w:tab w:val="left" w:pos="504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3L8"/>
      <w:lvlText w:val="%8)"/>
      <w:lvlJc w:val="left"/>
      <w:pPr>
        <w:tabs>
          <w:tab w:val="left" w:pos="576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3L9"/>
      <w:lvlText w:val="%9)"/>
      <w:lvlJc w:val="left"/>
      <w:pPr>
        <w:tabs>
          <w:tab w:val="left" w:pos="648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ACD4E93"/>
    <w:multiLevelType w:val="hybridMultilevel"/>
    <w:tmpl w:val="39AC0736"/>
    <w:lvl w:ilvl="0" w:tplc="41C6D70A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trike w:val="0"/>
        <w:dstrike w:val="0"/>
      </w:rPr>
    </w:lvl>
    <w:lvl w:ilvl="1" w:tplc="48D228CC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strike w:val="0"/>
        <w:dstrike w:val="0"/>
        <w:rtl w:val="0"/>
      </w:rPr>
    </w:lvl>
    <w:lvl w:ilvl="2" w:tplc="7F02F36C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  <w:strike w:val="0"/>
        <w:dstrike w:val="0"/>
      </w:rPr>
    </w:lvl>
    <w:lvl w:ilvl="3" w:tplc="FB6027D2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trike w:val="0"/>
        <w:dstrike w:val="0"/>
      </w:rPr>
    </w:lvl>
    <w:lvl w:ilvl="4" w:tplc="E7BE0F7A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strike w:val="0"/>
        <w:dstrike w:val="0"/>
        <w:rtl w:val="0"/>
      </w:rPr>
    </w:lvl>
    <w:lvl w:ilvl="5" w:tplc="1D1E5742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  <w:strike w:val="0"/>
        <w:dstrike w:val="0"/>
      </w:rPr>
    </w:lvl>
    <w:lvl w:ilvl="6" w:tplc="DF7C25AE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trike w:val="0"/>
        <w:dstrike w:val="0"/>
      </w:rPr>
    </w:lvl>
    <w:lvl w:ilvl="7" w:tplc="EF542562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strike w:val="0"/>
        <w:dstrike w:val="0"/>
        <w:rtl w:val="0"/>
      </w:rPr>
    </w:lvl>
    <w:lvl w:ilvl="8" w:tplc="7D04A2BC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  <w:strike w:val="0"/>
        <w:dstrike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5"/>
    <w:rsid w:val="002C6498"/>
    <w:rsid w:val="00604390"/>
    <w:rsid w:val="00795C2B"/>
    <w:rsid w:val="009B61C9"/>
    <w:rsid w:val="009E7E8E"/>
    <w:rsid w:val="00CA5B26"/>
    <w:rsid w:val="00E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1FE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Arial" w:eastAsia="Arial" w:hAnsi="Arial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1FE5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D1F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1FE5"/>
    <w:rPr>
      <w:rFonts w:ascii="Arial" w:eastAsia="Arial" w:hAnsi="Arial" w:cs="Calibri"/>
      <w:sz w:val="20"/>
      <w:szCs w:val="20"/>
      <w:shd w:val="clear" w:color="auto" w:fill="FFFFFF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1F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1FE5"/>
    <w:rPr>
      <w:rFonts w:ascii="Arial" w:eastAsia="Arial" w:hAnsi="Arial" w:cs="Calibri"/>
      <w:sz w:val="20"/>
      <w:szCs w:val="20"/>
      <w:shd w:val="clear" w:color="auto" w:fill="FFFFFF"/>
      <w:lang w:eastAsia="cs-CZ"/>
    </w:rPr>
  </w:style>
  <w:style w:type="paragraph" w:customStyle="1" w:styleId="Pleading3L1">
    <w:name w:val="Pleading3_L1"/>
    <w:basedOn w:val="Normln"/>
    <w:next w:val="Zkladntext"/>
    <w:rsid w:val="00ED1FE5"/>
    <w:pPr>
      <w:keepNext/>
      <w:keepLines/>
      <w:numPr>
        <w:numId w:val="3"/>
      </w:numPr>
      <w:spacing w:before="240" w:line="240" w:lineRule="exact"/>
      <w:ind w:left="4395"/>
      <w:jc w:val="center"/>
      <w:outlineLvl w:val="0"/>
    </w:pPr>
    <w:rPr>
      <w:rFonts w:ascii="Times New Roman" w:eastAsia="Times New Roman" w:hAnsi="Times New Roman"/>
      <w:b/>
      <w:caps/>
      <w:sz w:val="24"/>
    </w:rPr>
  </w:style>
  <w:style w:type="paragraph" w:customStyle="1" w:styleId="Pleading3L2">
    <w:name w:val="Pleading3_L2"/>
    <w:basedOn w:val="Pleading3L1"/>
    <w:next w:val="Zkladntext"/>
    <w:rsid w:val="00ED1FE5"/>
    <w:pPr>
      <w:keepNext w:val="0"/>
      <w:keepLines w:val="0"/>
      <w:numPr>
        <w:ilvl w:val="1"/>
      </w:numPr>
      <w:spacing w:line="0" w:lineRule="atLeast"/>
      <w:ind w:left="720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ED1FE5"/>
    <w:pPr>
      <w:numPr>
        <w:ilvl w:val="2"/>
      </w:numPr>
      <w:ind w:left="1440"/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ED1FE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ED1FE5"/>
    <w:pPr>
      <w:keepNext/>
      <w:keepLines/>
      <w:numPr>
        <w:ilvl w:val="4"/>
      </w:numPr>
      <w:ind w:left="3600"/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ED1FE5"/>
    <w:pPr>
      <w:numPr>
        <w:ilvl w:val="5"/>
      </w:numPr>
      <w:ind w:left="4320"/>
      <w:outlineLvl w:val="5"/>
    </w:pPr>
  </w:style>
  <w:style w:type="paragraph" w:customStyle="1" w:styleId="Pleading3L7">
    <w:name w:val="Pleading3_L7"/>
    <w:basedOn w:val="Pleading3L6"/>
    <w:next w:val="Zkladntext"/>
    <w:rsid w:val="00ED1FE5"/>
    <w:pPr>
      <w:numPr>
        <w:ilvl w:val="6"/>
      </w:numPr>
      <w:ind w:left="5040"/>
      <w:outlineLvl w:val="6"/>
    </w:pPr>
  </w:style>
  <w:style w:type="paragraph" w:customStyle="1" w:styleId="Pleading3L8">
    <w:name w:val="Pleading3_L8"/>
    <w:basedOn w:val="Pleading3L7"/>
    <w:next w:val="Zkladntext"/>
    <w:rsid w:val="00ED1FE5"/>
    <w:pPr>
      <w:numPr>
        <w:ilvl w:val="7"/>
      </w:numPr>
      <w:ind w:left="5760"/>
      <w:outlineLvl w:val="7"/>
    </w:pPr>
  </w:style>
  <w:style w:type="paragraph" w:customStyle="1" w:styleId="Pleading3L9">
    <w:name w:val="Pleading3_L9"/>
    <w:basedOn w:val="Pleading3L8"/>
    <w:next w:val="Zkladntext"/>
    <w:rsid w:val="00ED1FE5"/>
    <w:pPr>
      <w:numPr>
        <w:ilvl w:val="8"/>
      </w:numPr>
      <w:ind w:left="6480"/>
      <w:outlineLvl w:val="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D1FE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D1FE5"/>
    <w:rPr>
      <w:rFonts w:ascii="Arial" w:eastAsia="Arial" w:hAnsi="Arial" w:cs="Calibri"/>
      <w:sz w:val="20"/>
      <w:szCs w:val="20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2018-05-25T12:29:00Z</dcterms:created>
  <dcterms:modified xsi:type="dcterms:W3CDTF">2018-05-25T12:29:00Z</dcterms:modified>
</cp:coreProperties>
</file>