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E1" w:rsidRPr="00FE2FF8" w:rsidRDefault="00FE2FF8">
      <w:pPr>
        <w:spacing w:after="383" w:line="259" w:lineRule="auto"/>
        <w:ind w:left="67" w:right="0" w:firstLine="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Smlouva o poskytování poradenských služeb</w:t>
      </w:r>
    </w:p>
    <w:p w:rsidR="00F52CE1" w:rsidRPr="00FE2FF8" w:rsidRDefault="00FE2FF8">
      <w:pPr>
        <w:spacing w:after="50" w:line="216" w:lineRule="auto"/>
        <w:ind w:left="53" w:right="2151" w:hanging="1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BDO Advisory s.r.o.</w:t>
      </w:r>
    </w:p>
    <w:p w:rsidR="00F52CE1" w:rsidRPr="00FE2FF8" w:rsidRDefault="00FE2FF8">
      <w:pPr>
        <w:spacing w:after="247"/>
        <w:ind w:left="23" w:right="43" w:firstLine="1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FE2FF8">
        <w:rPr>
          <w:rFonts w:asciiTheme="minorHAnsi" w:hAnsiTheme="minorHAnsi" w:cstheme="minorHAnsi"/>
          <w:szCs w:val="24"/>
        </w:rPr>
        <w:t>lč</w:t>
      </w:r>
      <w:proofErr w:type="spellEnd"/>
      <w:r w:rsidRPr="00FE2FF8">
        <w:rPr>
          <w:rFonts w:asciiTheme="minorHAnsi" w:hAnsiTheme="minorHAnsi" w:cstheme="minorHAnsi"/>
          <w:szCs w:val="24"/>
        </w:rPr>
        <w:t>:</w:t>
      </w:r>
      <w:r w:rsidRPr="00FE2FF8">
        <w:rPr>
          <w:rFonts w:asciiTheme="minorHAnsi" w:hAnsiTheme="minorHAnsi" w:cstheme="minorHAnsi"/>
          <w:szCs w:val="24"/>
        </w:rPr>
        <w:t xml:space="preserve"> 272 44 784 zapsaná do obchodního rejstříku vedeného Městským soudem v Praze, spisová značka C 107235, jednající panem Radovanem </w:t>
      </w:r>
      <w:proofErr w:type="spellStart"/>
      <w:r w:rsidRPr="00FE2FF8">
        <w:rPr>
          <w:rFonts w:asciiTheme="minorHAnsi" w:hAnsiTheme="minorHAnsi" w:cstheme="minorHAnsi"/>
          <w:szCs w:val="24"/>
        </w:rPr>
        <w:t>Haukem</w:t>
      </w:r>
      <w:proofErr w:type="spellEnd"/>
      <w:r w:rsidRPr="00FE2FF8">
        <w:rPr>
          <w:rFonts w:asciiTheme="minorHAnsi" w:hAnsiTheme="minorHAnsi" w:cstheme="minorHAnsi"/>
          <w:szCs w:val="24"/>
        </w:rPr>
        <w:t>, jednatelem</w:t>
      </w:r>
    </w:p>
    <w:p w:rsidR="00F52CE1" w:rsidRPr="00FE2FF8" w:rsidRDefault="00FE2FF8">
      <w:pPr>
        <w:spacing w:after="243"/>
        <w:ind w:left="23" w:right="43" w:firstLine="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dále jen „Poradce”</w:t>
      </w:r>
    </w:p>
    <w:p w:rsidR="00F52CE1" w:rsidRPr="00FE2FF8" w:rsidRDefault="00FE2FF8">
      <w:pPr>
        <w:spacing w:after="175" w:line="259" w:lineRule="auto"/>
        <w:ind w:left="38" w:right="0" w:firstLine="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a</w:t>
      </w:r>
    </w:p>
    <w:p w:rsidR="00FE2FF8" w:rsidRPr="00FE2FF8" w:rsidRDefault="00FE2FF8">
      <w:pPr>
        <w:spacing w:after="0" w:line="216" w:lineRule="auto"/>
        <w:ind w:left="53" w:right="2151" w:hanging="1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Střední průmyslová škola sdělovací techn</w:t>
      </w:r>
      <w:r w:rsidRPr="00FE2FF8">
        <w:rPr>
          <w:rFonts w:asciiTheme="minorHAnsi" w:hAnsiTheme="minorHAnsi" w:cstheme="minorHAnsi"/>
          <w:szCs w:val="24"/>
        </w:rPr>
        <w:t>iky, Praha 1, Panská 3</w:t>
      </w:r>
      <w:r w:rsidRPr="00FE2FF8">
        <w:rPr>
          <w:rFonts w:asciiTheme="minorHAnsi" w:hAnsiTheme="minorHAnsi" w:cstheme="minorHAnsi"/>
          <w:szCs w:val="24"/>
        </w:rPr>
        <w:t xml:space="preserve"> </w:t>
      </w:r>
    </w:p>
    <w:p w:rsidR="00F52CE1" w:rsidRPr="00FE2FF8" w:rsidRDefault="00FE2FF8">
      <w:pPr>
        <w:spacing w:after="0" w:line="216" w:lineRule="auto"/>
        <w:ind w:left="53" w:right="2151" w:hanging="1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Se sídlem Panská 856/3, Praha 1 110 OO</w:t>
      </w:r>
    </w:p>
    <w:p w:rsidR="00F52CE1" w:rsidRPr="00FE2FF8" w:rsidRDefault="00FE2FF8">
      <w:pPr>
        <w:spacing w:after="0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proofErr w:type="spellStart"/>
      <w:r w:rsidRPr="00FE2FF8">
        <w:rPr>
          <w:rFonts w:asciiTheme="minorHAnsi" w:hAnsiTheme="minorHAnsi" w:cstheme="minorHAnsi"/>
          <w:szCs w:val="24"/>
        </w:rPr>
        <w:t>Ič</w:t>
      </w:r>
      <w:proofErr w:type="spellEnd"/>
      <w:r w:rsidRPr="00FE2FF8">
        <w:rPr>
          <w:rFonts w:asciiTheme="minorHAnsi" w:hAnsiTheme="minorHAnsi" w:cstheme="minorHAnsi"/>
          <w:szCs w:val="24"/>
        </w:rPr>
        <w:t>: 61388866</w:t>
      </w:r>
    </w:p>
    <w:p w:rsidR="00F52CE1" w:rsidRPr="00FE2FF8" w:rsidRDefault="00FE2FF8">
      <w:pPr>
        <w:spacing w:after="230" w:line="265" w:lineRule="auto"/>
        <w:ind w:left="24" w:right="0" w:hanging="1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Zastoupena: Ing. Luděk </w:t>
      </w:r>
      <w:proofErr w:type="spellStart"/>
      <w:r w:rsidRPr="00FE2FF8">
        <w:rPr>
          <w:rFonts w:asciiTheme="minorHAnsi" w:hAnsiTheme="minorHAnsi" w:cstheme="minorHAnsi"/>
          <w:szCs w:val="24"/>
        </w:rPr>
        <w:t>Šnajdar</w:t>
      </w:r>
      <w:proofErr w:type="spellEnd"/>
      <w:r w:rsidRPr="00FE2FF8">
        <w:rPr>
          <w:rFonts w:asciiTheme="minorHAnsi" w:hAnsiTheme="minorHAnsi" w:cstheme="minorHAnsi"/>
          <w:szCs w:val="24"/>
        </w:rPr>
        <w:t>, ředitel školy</w:t>
      </w:r>
    </w:p>
    <w:p w:rsidR="00F52CE1" w:rsidRPr="00FE2FF8" w:rsidRDefault="00FE2FF8">
      <w:pPr>
        <w:spacing w:after="531" w:line="265" w:lineRule="auto"/>
        <w:ind w:left="24" w:right="0" w:hanging="1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dále jen „Klient”</w:t>
      </w:r>
    </w:p>
    <w:p w:rsidR="00F52CE1" w:rsidRPr="00FE2FF8" w:rsidRDefault="00FE2FF8">
      <w:pPr>
        <w:spacing w:after="353"/>
        <w:ind w:left="23" w:right="43" w:firstLine="1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Poradce a Klient (dále společně jen "Smluvní strany") uzavírají tuto Smlouvu o poradenské činnosti (dále jen ”Smlouva”) ve smyslu ustanovení S 1 746 odst. 2. zákona č. 89/2012 Sb., občanský zákoník, ve znění pozdějších předpisů (dále jen ”Občanský zákoník”</w:t>
      </w:r>
      <w:r w:rsidRPr="00FE2FF8">
        <w:rPr>
          <w:rFonts w:asciiTheme="minorHAnsi" w:hAnsiTheme="minorHAnsi" w:cstheme="minorHAnsi"/>
          <w:szCs w:val="24"/>
        </w:rPr>
        <w:t>)</w:t>
      </w:r>
    </w:p>
    <w:p w:rsidR="00F52CE1" w:rsidRPr="00FE2FF8" w:rsidRDefault="00FE2FF8">
      <w:pPr>
        <w:spacing w:after="0" w:line="259" w:lineRule="auto"/>
        <w:ind w:left="48" w:right="58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Článek I.</w:t>
      </w:r>
    </w:p>
    <w:p w:rsidR="00F52CE1" w:rsidRPr="00FE2FF8" w:rsidRDefault="00FE2FF8">
      <w:pPr>
        <w:pStyle w:val="Nadpis1"/>
        <w:spacing w:after="368"/>
        <w:ind w:left="44" w:right="38"/>
        <w:rPr>
          <w:rFonts w:asciiTheme="minorHAnsi" w:hAnsiTheme="minorHAnsi" w:cstheme="minorHAnsi"/>
          <w:sz w:val="24"/>
          <w:szCs w:val="24"/>
        </w:rPr>
      </w:pPr>
      <w:r w:rsidRPr="00FE2FF8">
        <w:rPr>
          <w:rFonts w:asciiTheme="minorHAnsi" w:hAnsiTheme="minorHAnsi" w:cstheme="minorHAnsi"/>
          <w:sz w:val="24"/>
          <w:szCs w:val="24"/>
        </w:rPr>
        <w:t>Předmět Smlouvy</w:t>
      </w:r>
    </w:p>
    <w:p w:rsidR="00F52CE1" w:rsidRPr="00FE2FF8" w:rsidRDefault="00FE2FF8">
      <w:pPr>
        <w:spacing w:after="9"/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1 </w:t>
      </w:r>
      <w:r w:rsidRPr="00FE2FF8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FE2FF8">
        <w:rPr>
          <w:rFonts w:asciiTheme="minorHAnsi" w:hAnsiTheme="minorHAnsi" w:cstheme="minorHAnsi"/>
          <w:szCs w:val="24"/>
        </w:rPr>
        <w:t>Il</w:t>
      </w:r>
      <w:proofErr w:type="spellEnd"/>
      <w:r w:rsidRPr="00FE2FF8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F52CE1" w:rsidRPr="00FE2FF8" w:rsidRDefault="00FE2FF8">
      <w:pPr>
        <w:numPr>
          <w:ilvl w:val="0"/>
          <w:numId w:val="1"/>
        </w:numPr>
        <w:spacing w:after="81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Klient se zavazuje za</w:t>
      </w:r>
      <w:r w:rsidRPr="00FE2FF8">
        <w:rPr>
          <w:rFonts w:asciiTheme="minorHAnsi" w:hAnsiTheme="minorHAnsi" w:cstheme="minorHAnsi"/>
          <w:szCs w:val="24"/>
        </w:rPr>
        <w:t>platit Poradci za jím provedené činnosti podle této Smlouvy, odměnu stanovenou dále v čl. IV. této Smlouvy a poskytovat Poradci veškerou součinnost potřebnou pro výkon sjednané činnosti podle této smlouvy.</w:t>
      </w:r>
    </w:p>
    <w:p w:rsidR="00F52CE1" w:rsidRPr="00FE2FF8" w:rsidRDefault="00FE2FF8">
      <w:pPr>
        <w:numPr>
          <w:ilvl w:val="0"/>
          <w:numId w:val="1"/>
        </w:numPr>
        <w:spacing w:after="350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Poradce prohlašuje, že je odborně způsobilou osobo</w:t>
      </w:r>
      <w:r w:rsidRPr="00FE2FF8">
        <w:rPr>
          <w:rFonts w:asciiTheme="minorHAnsi" w:hAnsiTheme="minorHAnsi" w:cstheme="minorHAnsi"/>
          <w:szCs w:val="24"/>
        </w:rPr>
        <w:t>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F52CE1" w:rsidRPr="00FE2FF8" w:rsidRDefault="00FE2FF8">
      <w:pPr>
        <w:spacing w:after="0" w:line="259" w:lineRule="auto"/>
        <w:ind w:left="48" w:right="96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E2FF8">
        <w:rPr>
          <w:rFonts w:asciiTheme="minorHAnsi" w:hAnsiTheme="minorHAnsi" w:cstheme="minorHAnsi"/>
          <w:szCs w:val="24"/>
        </w:rPr>
        <w:t>Il</w:t>
      </w:r>
      <w:proofErr w:type="spellEnd"/>
      <w:r w:rsidRPr="00FE2FF8">
        <w:rPr>
          <w:rFonts w:asciiTheme="minorHAnsi" w:hAnsiTheme="minorHAnsi" w:cstheme="minorHAnsi"/>
          <w:szCs w:val="24"/>
        </w:rPr>
        <w:t>.</w:t>
      </w:r>
    </w:p>
    <w:p w:rsidR="00F52CE1" w:rsidRPr="00FE2FF8" w:rsidRDefault="00FE2FF8">
      <w:pPr>
        <w:spacing w:after="326" w:line="259" w:lineRule="auto"/>
        <w:ind w:left="48" w:right="86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Poskytované služby</w:t>
      </w:r>
    </w:p>
    <w:p w:rsidR="00F52CE1" w:rsidRPr="00FE2FF8" w:rsidRDefault="00FE2FF8">
      <w:pPr>
        <w:ind w:left="720" w:right="43" w:hanging="346"/>
        <w:rPr>
          <w:rFonts w:asciiTheme="minorHAnsi" w:hAnsiTheme="minorHAnsi" w:cstheme="minorHAnsi"/>
          <w:szCs w:val="24"/>
        </w:rPr>
      </w:pPr>
      <w:proofErr w:type="gramStart"/>
      <w:r w:rsidRPr="00FE2FF8">
        <w:rPr>
          <w:rFonts w:asciiTheme="minorHAnsi" w:hAnsiTheme="minorHAnsi" w:cstheme="minorHAnsi"/>
          <w:szCs w:val="24"/>
        </w:rPr>
        <w:t>1 .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</w:t>
      </w:r>
      <w:r w:rsidRPr="00FE2FF8">
        <w:rPr>
          <w:rFonts w:asciiTheme="minorHAnsi" w:hAnsiTheme="minorHAnsi" w:cstheme="minorHAnsi"/>
          <w:szCs w:val="24"/>
        </w:rPr>
        <w:t>Poradce s</w:t>
      </w:r>
      <w:r w:rsidRPr="00FE2FF8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 a Rady EU (2016/679) ze dne 27. dubna 2016 0 ochraně fyzických osob v souvislosti se zpracováním osobní</w:t>
      </w:r>
      <w:r w:rsidRPr="00FE2FF8">
        <w:rPr>
          <w:rFonts w:asciiTheme="minorHAnsi" w:hAnsiTheme="minorHAnsi" w:cstheme="minorHAnsi"/>
          <w:szCs w:val="24"/>
        </w:rPr>
        <w:t>ch údajů a o volném pohybu těchto údajů a o zrušení směrnice 95/46/ES (dále také „GDPR"), spočívající zejména v poskytnutí:</w:t>
      </w:r>
    </w:p>
    <w:p w:rsidR="00F52CE1" w:rsidRPr="00FE2FF8" w:rsidRDefault="00FE2FF8">
      <w:pPr>
        <w:spacing w:after="0"/>
        <w:ind w:left="1027" w:right="43" w:hanging="5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23807" name="Picture 2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7" name="Picture 23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FF8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FE2FF8">
        <w:rPr>
          <w:rFonts w:asciiTheme="minorHAnsi" w:hAnsiTheme="minorHAnsi" w:cstheme="minorHAnsi"/>
          <w:szCs w:val="24"/>
        </w:rPr>
        <w:t>ii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. nezbytné součinnosti při </w:t>
      </w:r>
      <w:r w:rsidRPr="00FE2FF8">
        <w:rPr>
          <w:rFonts w:asciiTheme="minorHAnsi" w:hAnsiTheme="minorHAnsi" w:cstheme="minorHAnsi"/>
          <w:szCs w:val="24"/>
        </w:rPr>
        <w:lastRenderedPageBreak/>
        <w:t>odstraňování nálezů popsaných ve zprávě Zpráva nezávislého auditora o ověření shody s požadavky GDPR;</w:t>
      </w:r>
    </w:p>
    <w:p w:rsidR="00F52CE1" w:rsidRPr="00FE2FF8" w:rsidRDefault="00FE2FF8">
      <w:pPr>
        <w:spacing w:after="13"/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2. </w:t>
      </w:r>
      <w:r w:rsidRPr="00FE2FF8">
        <w:rPr>
          <w:rFonts w:asciiTheme="minorHAnsi" w:hAnsiTheme="minorHAnsi" w:cstheme="minorHAnsi"/>
          <w:szCs w:val="24"/>
        </w:rPr>
        <w:t>Porad</w:t>
      </w:r>
      <w:r w:rsidRPr="00FE2FF8">
        <w:rPr>
          <w:rFonts w:asciiTheme="minorHAnsi" w:hAnsiTheme="minorHAnsi" w:cstheme="minorHAnsi"/>
          <w:szCs w:val="24"/>
        </w:rPr>
        <w:t>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osobních úda</w:t>
      </w:r>
      <w:r w:rsidRPr="00FE2FF8">
        <w:rPr>
          <w:rFonts w:asciiTheme="minorHAnsi" w:hAnsiTheme="minorHAnsi" w:cstheme="minorHAnsi"/>
          <w:szCs w:val="24"/>
        </w:rPr>
        <w:t>jů, a to zejména činností „Pověřence na ochranu osobních údajů” s cílem monitorování souladu s Obecným nařízením o ochraně osobních údajů (GDPR), a to v rozsahu:</w:t>
      </w:r>
    </w:p>
    <w:p w:rsidR="00F52CE1" w:rsidRPr="00FE2FF8" w:rsidRDefault="00FE2FF8">
      <w:pPr>
        <w:spacing w:after="74"/>
        <w:ind w:left="1003" w:right="43" w:firstLine="5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23809" name="Picture 23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9" name="Picture 23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FF8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</w:t>
      </w:r>
      <w:r w:rsidRPr="00FE2FF8">
        <w:rPr>
          <w:rFonts w:asciiTheme="minorHAnsi" w:hAnsiTheme="minorHAnsi" w:cstheme="minorHAnsi"/>
          <w:szCs w:val="24"/>
        </w:rPr>
        <w:t xml:space="preserve">í osobních údajů, o jejich povinnostech; </w:t>
      </w:r>
      <w:proofErr w:type="spellStart"/>
      <w:r w:rsidRPr="00FE2FF8">
        <w:rPr>
          <w:rFonts w:asciiTheme="minorHAnsi" w:hAnsiTheme="minorHAnsi" w:cstheme="minorHAnsi"/>
          <w:szCs w:val="24"/>
        </w:rPr>
        <w:t>ii</w:t>
      </w:r>
      <w:proofErr w:type="spellEnd"/>
      <w:r w:rsidRPr="00FE2FF8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ochrany osobních údajů, včetně rozdělení odpovědnosti, zvyšování povědomí a odborné přípra</w:t>
      </w:r>
      <w:r w:rsidRPr="00FE2FF8">
        <w:rPr>
          <w:rFonts w:asciiTheme="minorHAnsi" w:hAnsiTheme="minorHAnsi" w:cstheme="minorHAnsi"/>
          <w:szCs w:val="24"/>
        </w:rPr>
        <w:t xml:space="preserve">vy pracovníků Klienta zapojených do operací zpracování osobních údajů; asistence při vypracování záznamů o činnostech zpracování; </w:t>
      </w:r>
      <w:proofErr w:type="spellStart"/>
      <w:proofErr w:type="gramStart"/>
      <w:r w:rsidRPr="00FE2FF8">
        <w:rPr>
          <w:rFonts w:asciiTheme="minorHAnsi" w:hAnsiTheme="minorHAnsi" w:cstheme="minorHAnsi"/>
          <w:szCs w:val="24"/>
        </w:rPr>
        <w:t>iii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</w:t>
      </w:r>
      <w:r w:rsidRPr="00FE2FF8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</w:t>
      </w:r>
      <w:r w:rsidRPr="00FE2FF8">
        <w:rPr>
          <w:rFonts w:asciiTheme="minorHAnsi" w:hAnsiTheme="minorHAnsi" w:cstheme="minorHAnsi"/>
          <w:szCs w:val="24"/>
        </w:rPr>
        <w:t xml:space="preserve">platňování podle článku 35 GDPR (posouzení vlivu na ochranu osobních údajů); </w:t>
      </w:r>
      <w:proofErr w:type="spellStart"/>
      <w:r w:rsidRPr="00FE2FF8">
        <w:rPr>
          <w:rFonts w:asciiTheme="minorHAnsi" w:hAnsiTheme="minorHAnsi" w:cstheme="minorHAnsi"/>
          <w:szCs w:val="24"/>
        </w:rPr>
        <w:t>iv</w:t>
      </w:r>
      <w:proofErr w:type="spellEnd"/>
      <w:r w:rsidRPr="00FE2FF8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úřadem nebo soudem;</w:t>
      </w:r>
    </w:p>
    <w:p w:rsidR="00F52CE1" w:rsidRPr="00FE2FF8" w:rsidRDefault="00FE2FF8">
      <w:pPr>
        <w:spacing w:after="0"/>
        <w:ind w:left="989" w:right="43" w:firstLine="5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v. </w:t>
      </w:r>
      <w:r w:rsidRPr="00FE2FF8">
        <w:rPr>
          <w:rFonts w:asciiTheme="minorHAnsi" w:hAnsiTheme="minorHAnsi" w:cstheme="minorHAnsi"/>
          <w:szCs w:val="24"/>
        </w:rPr>
        <w:t>působení jako kontaktní místo pro dozorový úřad v záležitostech</w:t>
      </w:r>
      <w:r w:rsidRPr="00FE2FF8">
        <w:rPr>
          <w:rFonts w:asciiTheme="minorHAnsi" w:hAnsiTheme="minorHAnsi" w:cstheme="minorHAnsi"/>
          <w:szCs w:val="24"/>
        </w:rPr>
        <w:t xml:space="preserve"> týkajících </w:t>
      </w:r>
      <w:proofErr w:type="gramStart"/>
      <w:r w:rsidRPr="00FE2FF8">
        <w:rPr>
          <w:rFonts w:asciiTheme="minorHAnsi" w:hAnsiTheme="minorHAnsi" w:cstheme="minorHAnsi"/>
          <w:szCs w:val="24"/>
        </w:rPr>
        <w:t>se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FE2FF8">
        <w:rPr>
          <w:rFonts w:asciiTheme="minorHAnsi" w:hAnsiTheme="minorHAnsi" w:cstheme="minorHAnsi"/>
          <w:szCs w:val="24"/>
        </w:rPr>
        <w:t>vi</w:t>
      </w:r>
      <w:proofErr w:type="spellEnd"/>
      <w:r w:rsidRPr="00FE2FF8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údajů</w:t>
      </w:r>
      <w:r w:rsidRPr="00FE2FF8">
        <w:rPr>
          <w:rFonts w:asciiTheme="minorHAnsi" w:hAnsiTheme="minorHAnsi" w:cstheme="minorHAnsi"/>
          <w:szCs w:val="24"/>
        </w:rPr>
        <w:t xml:space="preserve"> a výkonem jejich práv podle GDPR.</w:t>
      </w:r>
    </w:p>
    <w:p w:rsidR="00F52CE1" w:rsidRPr="00FE2FF8" w:rsidRDefault="00FE2FF8">
      <w:pPr>
        <w:ind w:left="1368" w:right="43" w:hanging="384"/>
        <w:rPr>
          <w:rFonts w:asciiTheme="minorHAnsi" w:hAnsiTheme="minorHAnsi" w:cstheme="minorHAnsi"/>
          <w:szCs w:val="24"/>
        </w:rPr>
      </w:pPr>
      <w:proofErr w:type="spellStart"/>
      <w:r w:rsidRPr="00FE2FF8">
        <w:rPr>
          <w:rFonts w:asciiTheme="minorHAnsi" w:hAnsiTheme="minorHAnsi" w:cstheme="minorHAnsi"/>
          <w:szCs w:val="24"/>
        </w:rPr>
        <w:t>vii</w:t>
      </w:r>
      <w:proofErr w:type="spellEnd"/>
      <w:r w:rsidRPr="00FE2FF8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 na základě vyhodnocení podnětů zaměstnavatele, ostatních zaměs</w:t>
      </w:r>
      <w:r w:rsidRPr="00FE2FF8">
        <w:rPr>
          <w:rFonts w:asciiTheme="minorHAnsi" w:hAnsiTheme="minorHAnsi" w:cstheme="minorHAnsi"/>
          <w:szCs w:val="24"/>
        </w:rPr>
        <w:t>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také for</w:t>
      </w:r>
      <w:r w:rsidRPr="00FE2FF8">
        <w:rPr>
          <w:rFonts w:asciiTheme="minorHAnsi" w:hAnsiTheme="minorHAnsi" w:cstheme="minorHAnsi"/>
          <w:szCs w:val="24"/>
        </w:rPr>
        <w:t>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osobních ú</w:t>
      </w:r>
      <w:r w:rsidRPr="00FE2FF8">
        <w:rPr>
          <w:rFonts w:asciiTheme="minorHAnsi" w:hAnsiTheme="minorHAnsi" w:cstheme="minorHAnsi"/>
          <w:szCs w:val="24"/>
        </w:rPr>
        <w:t>dajů a přiměřeným způsobem o těchto skutečnostech informuje zaměstnavatele a ostatní zaměstnance. Pověřenec sleduje vývoj technologií souvisejících s ochranou osobních údajů a přiměřeným způsobem o něm informuje zaměstnavatele a ostatní zaměstnance. Pověře</w:t>
      </w:r>
      <w:r w:rsidRPr="00FE2FF8">
        <w:rPr>
          <w:rFonts w:asciiTheme="minorHAnsi" w:hAnsiTheme="minorHAnsi" w:cstheme="minorHAnsi"/>
          <w:szCs w:val="24"/>
        </w:rPr>
        <w:t>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</w:t>
      </w:r>
      <w:r w:rsidRPr="00FE2FF8">
        <w:rPr>
          <w:rFonts w:asciiTheme="minorHAnsi" w:hAnsiTheme="minorHAnsi" w:cstheme="minorHAnsi"/>
          <w:szCs w:val="24"/>
        </w:rPr>
        <w:t>ní osobních údajů, vzorů podání a vyřízení, pokud jde o uplatňování práv subjektů údajů. Pověřenec posuzuje soulad navrhovaných řešení v oblasti informačních a komunikačních technologií s pravidly ochrany osobních údajů. Pověřenec přijímá a vyhodnocuje pod</w:t>
      </w:r>
      <w:r w:rsidRPr="00FE2FF8">
        <w:rPr>
          <w:rFonts w:asciiTheme="minorHAnsi" w:hAnsiTheme="minorHAnsi" w:cstheme="minorHAnsi"/>
          <w:szCs w:val="24"/>
        </w:rPr>
        <w:t>ání subjektů údajů v záležitostech souvisejících se zpracováním jejich osobních údajů a výkonem jejich práv podle GDPR.</w:t>
      </w:r>
    </w:p>
    <w:p w:rsidR="00F52CE1" w:rsidRPr="00FE2FF8" w:rsidRDefault="00FE2FF8">
      <w:pPr>
        <w:ind w:left="23" w:right="43" w:firstLine="1426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</w:t>
      </w:r>
      <w:r w:rsidRPr="00FE2FF8">
        <w:rPr>
          <w:rFonts w:asciiTheme="minorHAnsi" w:hAnsiTheme="minorHAnsi" w:cstheme="minorHAnsi"/>
          <w:szCs w:val="24"/>
        </w:rPr>
        <w:t xml:space="preserve">padě si vyžádá od příslušných útvarů podkladová stanoviska a následně podání vyřizuje. Pověřenec vede záznamy o </w:t>
      </w:r>
      <w:r w:rsidRPr="00FE2FF8">
        <w:rPr>
          <w:rFonts w:asciiTheme="minorHAnsi" w:hAnsiTheme="minorHAnsi" w:cstheme="minorHAnsi"/>
          <w:szCs w:val="24"/>
        </w:rPr>
        <w:lastRenderedPageBreak/>
        <w:t>činnostech zpracování podle čl. 30 GDPR. Pověřenec navrhuje zaměstnavateli opaření k dosahování plného souladu s GDPR a dalšími předpisy v oblas</w:t>
      </w:r>
      <w:r w:rsidRPr="00FE2FF8">
        <w:rPr>
          <w:rFonts w:asciiTheme="minorHAnsi" w:hAnsiTheme="minorHAnsi" w:cstheme="minorHAnsi"/>
          <w:szCs w:val="24"/>
        </w:rPr>
        <w:t>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</w:t>
      </w:r>
      <w:r w:rsidRPr="00FE2FF8">
        <w:rPr>
          <w:rFonts w:asciiTheme="minorHAnsi" w:hAnsiTheme="minorHAnsi" w:cstheme="minorHAnsi"/>
          <w:szCs w:val="24"/>
        </w:rPr>
        <w:t xml:space="preserve">PR). </w:t>
      </w:r>
      <w:r w:rsidRPr="00FE2FF8">
        <w:rPr>
          <w:rFonts w:asciiTheme="minorHAnsi" w:hAnsiTheme="minorHAnsi" w:cstheme="minorHAnsi"/>
          <w:szCs w:val="24"/>
        </w:rPr>
        <w:t xml:space="preserve">3. </w:t>
      </w:r>
      <w:r w:rsidRPr="00FE2FF8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F52CE1" w:rsidRPr="00FE2FF8" w:rsidRDefault="00FE2FF8">
      <w:pPr>
        <w:numPr>
          <w:ilvl w:val="0"/>
          <w:numId w:val="2"/>
        </w:numPr>
        <w:spacing w:after="128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</w:t>
      </w:r>
      <w:r w:rsidRPr="00FE2FF8">
        <w:rPr>
          <w:rFonts w:asciiTheme="minorHAnsi" w:hAnsiTheme="minorHAnsi" w:cstheme="minorHAnsi"/>
          <w:szCs w:val="24"/>
        </w:rPr>
        <w:t>ku, bude sjednáno písemným dodatkem k této Smlouvě, v němž bude stanovena další poradenská činnost a odměna, kterou bude Klient hradit.</w:t>
      </w:r>
    </w:p>
    <w:p w:rsidR="00F52CE1" w:rsidRPr="00FE2FF8" w:rsidRDefault="00FE2FF8">
      <w:pPr>
        <w:numPr>
          <w:ilvl w:val="0"/>
          <w:numId w:val="2"/>
        </w:numPr>
        <w:spacing w:after="676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</w:t>
      </w:r>
      <w:r w:rsidRPr="00FE2FF8">
        <w:rPr>
          <w:rFonts w:asciiTheme="minorHAnsi" w:hAnsiTheme="minorHAnsi" w:cstheme="minorHAnsi"/>
          <w:szCs w:val="24"/>
        </w:rPr>
        <w:t>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F52CE1" w:rsidRPr="00FE2FF8" w:rsidRDefault="00FE2FF8">
      <w:pPr>
        <w:spacing w:after="0" w:line="259" w:lineRule="auto"/>
        <w:ind w:left="48" w:right="38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E2FF8">
        <w:rPr>
          <w:rFonts w:asciiTheme="minorHAnsi" w:hAnsiTheme="minorHAnsi" w:cstheme="minorHAnsi"/>
          <w:szCs w:val="24"/>
        </w:rPr>
        <w:t>Ill</w:t>
      </w:r>
      <w:proofErr w:type="spellEnd"/>
      <w:r w:rsidRPr="00FE2FF8">
        <w:rPr>
          <w:rFonts w:asciiTheme="minorHAnsi" w:hAnsiTheme="minorHAnsi" w:cstheme="minorHAnsi"/>
          <w:szCs w:val="24"/>
        </w:rPr>
        <w:t>.</w:t>
      </w:r>
    </w:p>
    <w:p w:rsidR="00F52CE1" w:rsidRPr="00FE2FF8" w:rsidRDefault="00FE2FF8">
      <w:pPr>
        <w:spacing w:after="253" w:line="259" w:lineRule="auto"/>
        <w:ind w:left="48" w:right="53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Práva a povinnosti Sm</w:t>
      </w:r>
      <w:r w:rsidRPr="00FE2FF8">
        <w:rPr>
          <w:rFonts w:asciiTheme="minorHAnsi" w:hAnsiTheme="minorHAnsi" w:cstheme="minorHAnsi"/>
          <w:szCs w:val="24"/>
        </w:rPr>
        <w:t>luvních stran</w:t>
      </w:r>
    </w:p>
    <w:p w:rsidR="00F52CE1" w:rsidRPr="00FE2FF8" w:rsidRDefault="00FE2FF8">
      <w:pPr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1 </w:t>
      </w:r>
      <w:r w:rsidRPr="00FE2FF8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F52CE1" w:rsidRPr="00FE2FF8" w:rsidRDefault="00FE2FF8">
      <w:pPr>
        <w:numPr>
          <w:ilvl w:val="0"/>
          <w:numId w:val="3"/>
        </w:numPr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F52CE1" w:rsidRPr="00FE2FF8" w:rsidRDefault="00FE2FF8">
      <w:pPr>
        <w:numPr>
          <w:ilvl w:val="0"/>
          <w:numId w:val="3"/>
        </w:numPr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</w:t>
      </w:r>
      <w:r w:rsidRPr="00FE2FF8">
        <w:rPr>
          <w:rFonts w:asciiTheme="minorHAnsi" w:hAnsiTheme="minorHAnsi" w:cstheme="minorHAnsi"/>
          <w:szCs w:val="24"/>
        </w:rPr>
        <w:t>ytovaných dle této Smlouvy.</w:t>
      </w:r>
    </w:p>
    <w:p w:rsidR="00F52CE1" w:rsidRPr="00FE2FF8" w:rsidRDefault="00FE2FF8">
      <w:pPr>
        <w:numPr>
          <w:ilvl w:val="0"/>
          <w:numId w:val="3"/>
        </w:numPr>
        <w:spacing w:after="106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F52CE1" w:rsidRPr="00FE2FF8" w:rsidRDefault="00FE2FF8">
      <w:pPr>
        <w:numPr>
          <w:ilvl w:val="0"/>
          <w:numId w:val="3"/>
        </w:numPr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F52CE1" w:rsidRPr="00FE2FF8" w:rsidRDefault="00FE2FF8">
      <w:pPr>
        <w:numPr>
          <w:ilvl w:val="0"/>
          <w:numId w:val="3"/>
        </w:numPr>
        <w:spacing w:after="359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Každá ze</w:t>
      </w:r>
      <w:r w:rsidRPr="00FE2FF8">
        <w:rPr>
          <w:rFonts w:asciiTheme="minorHAnsi" w:hAnsiTheme="minorHAnsi" w:cstheme="minorHAnsi"/>
          <w:szCs w:val="24"/>
        </w:rPr>
        <w:t xml:space="preserve">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</w:t>
      </w:r>
      <w:r w:rsidRPr="00FE2FF8">
        <w:rPr>
          <w:rFonts w:asciiTheme="minorHAnsi" w:hAnsiTheme="minorHAnsi" w:cstheme="minorHAnsi"/>
          <w:szCs w:val="24"/>
        </w:rPr>
        <w:t xml:space="preserve">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</w:t>
      </w:r>
      <w:r w:rsidRPr="00FE2FF8">
        <w:rPr>
          <w:rFonts w:asciiTheme="minorHAnsi" w:hAnsiTheme="minorHAnsi" w:cstheme="minorHAnsi"/>
          <w:szCs w:val="24"/>
        </w:rPr>
        <w:t>formou dodatku k této Smlouvě.</w:t>
      </w:r>
    </w:p>
    <w:p w:rsidR="00F52CE1" w:rsidRPr="00FE2FF8" w:rsidRDefault="00FE2FF8">
      <w:pPr>
        <w:ind w:left="547" w:right="43" w:firstLine="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Kontaktní osobou na straně Poradce je:</w:t>
      </w:r>
    </w:p>
    <w:p w:rsidR="00FE2FF8" w:rsidRDefault="00FE2FF8">
      <w:pPr>
        <w:spacing w:after="0" w:line="259" w:lineRule="auto"/>
        <w:ind w:left="542" w:right="0" w:firstLine="0"/>
        <w:jc w:val="left"/>
        <w:rPr>
          <w:rFonts w:asciiTheme="minorHAnsi" w:hAnsiTheme="minorHAnsi" w:cstheme="minorHAnsi"/>
          <w:szCs w:val="24"/>
        </w:rPr>
      </w:pPr>
    </w:p>
    <w:p w:rsidR="00F52CE1" w:rsidRPr="00FE2FF8" w:rsidRDefault="00FE2FF8">
      <w:pPr>
        <w:ind w:left="595" w:right="43" w:firstLine="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Pověřenec:</w:t>
      </w:r>
    </w:p>
    <w:p w:rsidR="00FE2FF8" w:rsidRDefault="00FE2FF8">
      <w:pPr>
        <w:spacing w:after="299"/>
        <w:ind w:left="586" w:right="43" w:firstLine="0"/>
        <w:rPr>
          <w:rFonts w:asciiTheme="minorHAnsi" w:hAnsiTheme="minorHAnsi" w:cstheme="minorHAnsi"/>
          <w:szCs w:val="24"/>
        </w:rPr>
      </w:pPr>
    </w:p>
    <w:p w:rsidR="00F52CE1" w:rsidRDefault="00FE2FF8">
      <w:pPr>
        <w:spacing w:after="299"/>
        <w:ind w:left="586" w:right="43" w:firstLine="0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Kontaktní osobou na straně Klienta je:</w:t>
      </w:r>
    </w:p>
    <w:p w:rsidR="00FE2FF8" w:rsidRPr="00FE2FF8" w:rsidRDefault="00FE2FF8">
      <w:pPr>
        <w:spacing w:after="299"/>
        <w:ind w:left="586" w:right="43" w:firstLine="0"/>
        <w:rPr>
          <w:rFonts w:asciiTheme="minorHAnsi" w:hAnsiTheme="minorHAnsi" w:cstheme="minorHAnsi"/>
          <w:szCs w:val="24"/>
        </w:rPr>
      </w:pPr>
    </w:p>
    <w:p w:rsidR="00F52CE1" w:rsidRPr="00FE2FF8" w:rsidRDefault="00FE2FF8">
      <w:pPr>
        <w:spacing w:after="0" w:line="259" w:lineRule="auto"/>
        <w:ind w:left="48" w:right="38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lastRenderedPageBreak/>
        <w:t>Článek IV.</w:t>
      </w:r>
    </w:p>
    <w:p w:rsidR="00F52CE1" w:rsidRPr="00FE2FF8" w:rsidRDefault="00FE2FF8">
      <w:pPr>
        <w:pStyle w:val="Nadpis1"/>
        <w:ind w:left="44" w:right="29"/>
        <w:rPr>
          <w:rFonts w:asciiTheme="minorHAnsi" w:hAnsiTheme="minorHAnsi" w:cstheme="minorHAnsi"/>
          <w:sz w:val="24"/>
          <w:szCs w:val="24"/>
        </w:rPr>
      </w:pPr>
      <w:r w:rsidRPr="00FE2FF8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F52CE1" w:rsidRPr="00FE2FF8" w:rsidRDefault="00FE2FF8">
      <w:pPr>
        <w:numPr>
          <w:ilvl w:val="0"/>
          <w:numId w:val="4"/>
        </w:numPr>
        <w:spacing w:after="371"/>
        <w:ind w:left="565" w:right="43" w:hanging="542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E2FF8">
        <w:rPr>
          <w:rFonts w:asciiTheme="minorHAnsi" w:hAnsiTheme="minorHAnsi" w:cstheme="minorHAnsi"/>
          <w:szCs w:val="24"/>
        </w:rPr>
        <w:t>Il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F52CE1" w:rsidRPr="00FE2FF8" w:rsidRDefault="00FE2FF8">
      <w:pPr>
        <w:ind w:left="1435" w:right="43" w:hanging="41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23812" name="Picture 23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2" name="Picture 238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FF8">
        <w:rPr>
          <w:rFonts w:asciiTheme="minorHAnsi" w:hAnsiTheme="minorHAnsi" w:cstheme="minorHAnsi"/>
          <w:szCs w:val="24"/>
        </w:rPr>
        <w:t>za služby provedené dle čl. II., odst. 1. této Smlo</w:t>
      </w:r>
      <w:r w:rsidRPr="00FE2FF8">
        <w:rPr>
          <w:rFonts w:asciiTheme="minorHAnsi" w:hAnsiTheme="minorHAnsi" w:cstheme="minorHAnsi"/>
          <w:szCs w:val="24"/>
        </w:rPr>
        <w:t>uvy jednorázovou odměnu v celkové výši 19 000,- Kč (bez DPH v zákonné výši) na základě faktury vystavené Poradcem se splatností 21 kalendářních dní ode dne doručení.</w:t>
      </w:r>
    </w:p>
    <w:p w:rsidR="00F52CE1" w:rsidRPr="00FE2FF8" w:rsidRDefault="00FE2FF8">
      <w:pPr>
        <w:ind w:left="1436" w:right="43" w:hanging="418"/>
        <w:rPr>
          <w:rFonts w:asciiTheme="minorHAnsi" w:hAnsiTheme="minorHAnsi" w:cstheme="minorHAnsi"/>
          <w:szCs w:val="24"/>
        </w:rPr>
      </w:pPr>
      <w:proofErr w:type="spellStart"/>
      <w:r w:rsidRPr="00FE2FF8">
        <w:rPr>
          <w:rFonts w:asciiTheme="minorHAnsi" w:hAnsiTheme="minorHAnsi" w:cstheme="minorHAnsi"/>
          <w:szCs w:val="24"/>
        </w:rPr>
        <w:t>ii</w:t>
      </w:r>
      <w:proofErr w:type="spellEnd"/>
      <w:r w:rsidRPr="00FE2FF8">
        <w:rPr>
          <w:rFonts w:asciiTheme="minorHAnsi" w:hAnsiTheme="minorHAnsi" w:cstheme="minorHAnsi"/>
          <w:szCs w:val="24"/>
        </w:rPr>
        <w:t>. za služby provedené dle čl. II., odst. 2. této Smlouvy měsíční odměnu v celkové výši 2 800,- Kč (bez DPH v zákonné výši) na základě faktury vystavené Poradcem se splatností 21 kalendářních dní ode dne doručení.</w:t>
      </w:r>
    </w:p>
    <w:p w:rsidR="00F52CE1" w:rsidRPr="00FE2FF8" w:rsidRDefault="00FE2FF8">
      <w:pPr>
        <w:spacing w:after="384"/>
        <w:ind w:left="1435" w:right="43" w:hanging="422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FE2FF8">
        <w:rPr>
          <w:rFonts w:asciiTheme="minorHAnsi" w:hAnsiTheme="minorHAnsi" w:cstheme="minorHAnsi"/>
          <w:szCs w:val="24"/>
        </w:rPr>
        <w:t>i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FE2FF8">
        <w:rPr>
          <w:rFonts w:asciiTheme="minorHAnsi" w:hAnsiTheme="minorHAnsi" w:cstheme="minorHAnsi"/>
          <w:szCs w:val="24"/>
        </w:rPr>
        <w:t>i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</w:t>
      </w:r>
      <w:r w:rsidRPr="00FE2FF8">
        <w:rPr>
          <w:rFonts w:asciiTheme="minorHAnsi" w:hAnsiTheme="minorHAnsi" w:cstheme="minorHAnsi"/>
          <w:szCs w:val="24"/>
        </w:rPr>
        <w:t xml:space="preserve">Za služby provedené dle čl. II., </w:t>
      </w:r>
      <w:r w:rsidRPr="00FE2FF8">
        <w:rPr>
          <w:rFonts w:asciiTheme="minorHAnsi" w:hAnsiTheme="minorHAnsi" w:cstheme="minorHAnsi"/>
          <w:szCs w:val="24"/>
        </w:rPr>
        <w:t>odst. 3. této Smlouvy jednorázovou odměnu v celkové výši 1 400,- Kč (bez DPH v zákonné výši) pro všechny zaměstnance Klienta přihlášené do e-learningového kurzu. Výše uvedené bude Klientem proplaceno na základě Poradcem vystavené faktury se splatností 21 k</w:t>
      </w:r>
      <w:r w:rsidRPr="00FE2FF8">
        <w:rPr>
          <w:rFonts w:asciiTheme="minorHAnsi" w:hAnsiTheme="minorHAnsi" w:cstheme="minorHAnsi"/>
          <w:szCs w:val="24"/>
        </w:rPr>
        <w:t>alendářních dní ode dne doručení. E-learningové školení je možné využívat neomezeně po dobu devíti měsíců od podpisu této Smlouvy.</w:t>
      </w:r>
    </w:p>
    <w:p w:rsidR="00F52CE1" w:rsidRPr="00FE2FF8" w:rsidRDefault="00FE2FF8">
      <w:pPr>
        <w:numPr>
          <w:ilvl w:val="0"/>
          <w:numId w:val="4"/>
        </w:numPr>
        <w:spacing w:after="4"/>
        <w:ind w:left="565" w:right="43" w:hanging="542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</w:t>
      </w:r>
      <w:r w:rsidRPr="00FE2FF8">
        <w:rPr>
          <w:rFonts w:asciiTheme="minorHAnsi" w:hAnsiTheme="minorHAnsi" w:cstheme="minorHAnsi"/>
          <w:szCs w:val="24"/>
        </w:rPr>
        <w:t xml:space="preserve">éna cestovní náhrady, běžné náklady spojené s poskytnutím služeb dle této Smlouvy (tj. tel. hovorné, </w:t>
      </w:r>
      <w:proofErr w:type="spellStart"/>
      <w:r w:rsidRPr="00FE2FF8">
        <w:rPr>
          <w:rFonts w:asciiTheme="minorHAnsi" w:hAnsiTheme="minorHAnsi" w:cstheme="minorHAnsi"/>
          <w:szCs w:val="24"/>
        </w:rPr>
        <w:t>faxovné</w:t>
      </w:r>
      <w:proofErr w:type="spellEnd"/>
      <w:r w:rsidRPr="00FE2FF8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FE2FF8">
        <w:rPr>
          <w:rFonts w:asciiTheme="minorHAnsi" w:hAnsiTheme="minorHAnsi" w:cstheme="minorHAnsi"/>
          <w:szCs w:val="24"/>
        </w:rPr>
        <w:t>fotokopírování</w:t>
      </w:r>
      <w:proofErr w:type="spellEnd"/>
      <w:r w:rsidRPr="00FE2FF8">
        <w:rPr>
          <w:rFonts w:asciiTheme="minorHAnsi" w:hAnsiTheme="minorHAnsi" w:cstheme="minorHAnsi"/>
          <w:szCs w:val="24"/>
        </w:rPr>
        <w:t>, technické nosiče, a kancelářské</w:t>
      </w:r>
      <w:r w:rsidRPr="00FE2FF8">
        <w:rPr>
          <w:rFonts w:asciiTheme="minorHAnsi" w:hAnsiTheme="minorHAnsi" w:cstheme="minorHAnsi"/>
          <w:szCs w:val="24"/>
        </w:rPr>
        <w:t xml:space="preserve"> potřeby).</w:t>
      </w:r>
    </w:p>
    <w:p w:rsidR="00F52CE1" w:rsidRPr="00FE2FF8" w:rsidRDefault="00FE2FF8">
      <w:pPr>
        <w:numPr>
          <w:ilvl w:val="0"/>
          <w:numId w:val="4"/>
        </w:numPr>
        <w:spacing w:after="0"/>
        <w:ind w:left="565" w:right="43" w:hanging="542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předmět této smlouvy, je povinen </w:t>
      </w:r>
      <w:r w:rsidRPr="00FE2FF8">
        <w:rPr>
          <w:rFonts w:asciiTheme="minorHAnsi" w:hAnsiTheme="minorHAnsi" w:cstheme="minorHAnsi"/>
          <w:szCs w:val="24"/>
        </w:rPr>
        <w:t>uhradit Klientovi 1.000,-Kč denně za každý den prodlení s plněním.</w:t>
      </w:r>
    </w:p>
    <w:p w:rsidR="00F52CE1" w:rsidRPr="00FE2FF8" w:rsidRDefault="00FE2FF8">
      <w:pPr>
        <w:numPr>
          <w:ilvl w:val="0"/>
          <w:numId w:val="4"/>
        </w:numPr>
        <w:ind w:left="565" w:right="43" w:hanging="542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</w:t>
      </w:r>
      <w:r w:rsidRPr="00FE2FF8">
        <w:rPr>
          <w:rFonts w:asciiTheme="minorHAnsi" w:hAnsiTheme="minorHAnsi" w:cstheme="minorHAnsi"/>
          <w:szCs w:val="24"/>
        </w:rPr>
        <w:t>uto fakturu ve lhůtě její splatnosti vrátit Poradci, aniž by se tím Klient dostal do prodlení s úhradou faktury. Nová lhůta splatnosti počíná běžet dnem obdržení opravené nebo nově vystavené faktury. Důvod případného vrácení faktury musí být Klientem jedno</w:t>
      </w:r>
      <w:r w:rsidRPr="00FE2FF8">
        <w:rPr>
          <w:rFonts w:asciiTheme="minorHAnsi" w:hAnsiTheme="minorHAnsi" w:cstheme="minorHAnsi"/>
          <w:szCs w:val="24"/>
        </w:rPr>
        <w:t>značně vymezen.</w:t>
      </w:r>
    </w:p>
    <w:p w:rsidR="00F52CE1" w:rsidRPr="00FE2FF8" w:rsidRDefault="00FE2FF8">
      <w:pPr>
        <w:spacing w:after="0" w:line="259" w:lineRule="auto"/>
        <w:ind w:left="48" w:right="0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Článek V.</w:t>
      </w:r>
    </w:p>
    <w:p w:rsidR="00F52CE1" w:rsidRPr="00FE2FF8" w:rsidRDefault="00FE2FF8">
      <w:pPr>
        <w:pStyle w:val="Nadpis1"/>
        <w:spacing w:after="345"/>
        <w:ind w:left="44"/>
        <w:rPr>
          <w:rFonts w:asciiTheme="minorHAnsi" w:hAnsiTheme="minorHAnsi" w:cstheme="minorHAnsi"/>
          <w:sz w:val="24"/>
          <w:szCs w:val="24"/>
        </w:rPr>
      </w:pPr>
      <w:r w:rsidRPr="00FE2FF8">
        <w:rPr>
          <w:rFonts w:asciiTheme="minorHAnsi" w:hAnsiTheme="minorHAnsi" w:cstheme="minorHAnsi"/>
          <w:sz w:val="24"/>
          <w:szCs w:val="24"/>
        </w:rPr>
        <w:t>Chráněné informace</w:t>
      </w:r>
    </w:p>
    <w:p w:rsidR="00F52CE1" w:rsidRPr="00FE2FF8" w:rsidRDefault="00FE2FF8">
      <w:pPr>
        <w:spacing w:after="88"/>
        <w:ind w:left="566" w:right="43"/>
        <w:rPr>
          <w:rFonts w:asciiTheme="minorHAnsi" w:hAnsiTheme="minorHAnsi" w:cstheme="minorHAnsi"/>
          <w:szCs w:val="24"/>
        </w:rPr>
      </w:pPr>
      <w:proofErr w:type="gramStart"/>
      <w:r w:rsidRPr="00FE2FF8">
        <w:rPr>
          <w:rFonts w:asciiTheme="minorHAnsi" w:hAnsiTheme="minorHAnsi" w:cstheme="minorHAnsi"/>
          <w:szCs w:val="24"/>
        </w:rPr>
        <w:t>1 .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</w:t>
      </w:r>
      <w:r w:rsidRPr="00FE2FF8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</w:t>
      </w:r>
      <w:r w:rsidRPr="00FE2FF8">
        <w:rPr>
          <w:rFonts w:asciiTheme="minorHAnsi" w:hAnsiTheme="minorHAnsi" w:cstheme="minorHAnsi"/>
          <w:szCs w:val="24"/>
        </w:rPr>
        <w:t xml:space="preserve"> výjimkou informací, které byly v okamžiku sdělení veřejně známé nebo informací, které Smluvní strany získaly od třetích osob nebo jejich poskytnutí upravuje platný právní předpis.</w:t>
      </w:r>
    </w:p>
    <w:p w:rsidR="00F52CE1" w:rsidRPr="00FE2FF8" w:rsidRDefault="00FE2FF8">
      <w:pPr>
        <w:spacing w:after="643"/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2. </w:t>
      </w:r>
      <w:r w:rsidRPr="00FE2FF8">
        <w:rPr>
          <w:rFonts w:asciiTheme="minorHAnsi" w:hAnsiTheme="minorHAnsi" w:cstheme="minorHAnsi"/>
          <w:szCs w:val="24"/>
        </w:rPr>
        <w:t>Poradce je oprávněn poskytovat při nabídce poradenských služeb jako refe</w:t>
      </w:r>
      <w:r w:rsidRPr="00FE2FF8">
        <w:rPr>
          <w:rFonts w:asciiTheme="minorHAnsi" w:hAnsiTheme="minorHAnsi" w:cstheme="minorHAnsi"/>
          <w:szCs w:val="24"/>
        </w:rPr>
        <w:t>rence údaje o realizovaném projektu, týkající se názvu projektu, názvu a identifikace Klienta, stručného popisu vykonané práce v rozsahu poskytované poradenské činnosti.</w:t>
      </w:r>
    </w:p>
    <w:p w:rsidR="00F52CE1" w:rsidRPr="00FE2FF8" w:rsidRDefault="00FE2FF8">
      <w:pPr>
        <w:spacing w:after="0" w:line="259" w:lineRule="auto"/>
        <w:ind w:left="48" w:right="29" w:hanging="10"/>
        <w:jc w:val="center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FE2FF8">
        <w:rPr>
          <w:rFonts w:asciiTheme="minorHAnsi" w:hAnsiTheme="minorHAnsi" w:cstheme="minorHAnsi"/>
          <w:szCs w:val="24"/>
        </w:rPr>
        <w:t>Vl</w:t>
      </w:r>
      <w:proofErr w:type="spellEnd"/>
      <w:r w:rsidRPr="00FE2FF8">
        <w:rPr>
          <w:rFonts w:asciiTheme="minorHAnsi" w:hAnsiTheme="minorHAnsi" w:cstheme="minorHAnsi"/>
          <w:szCs w:val="24"/>
        </w:rPr>
        <w:t>.</w:t>
      </w:r>
    </w:p>
    <w:p w:rsidR="00F52CE1" w:rsidRPr="00FE2FF8" w:rsidRDefault="00FE2FF8">
      <w:pPr>
        <w:pStyle w:val="Nadpis1"/>
        <w:spacing w:after="273"/>
        <w:ind w:left="44" w:right="38"/>
        <w:rPr>
          <w:rFonts w:asciiTheme="minorHAnsi" w:hAnsiTheme="minorHAnsi" w:cstheme="minorHAnsi"/>
          <w:sz w:val="24"/>
          <w:szCs w:val="24"/>
        </w:rPr>
      </w:pPr>
      <w:r w:rsidRPr="00FE2FF8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F52CE1" w:rsidRPr="00FE2FF8" w:rsidRDefault="00FE2FF8">
      <w:pPr>
        <w:spacing w:after="101"/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0589"/>
            <wp:effectExtent l="0" t="0" r="0" b="0"/>
            <wp:docPr id="23815" name="Picture 2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5" name="Picture 238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FF8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znění a platnými právními předpisy upravujícími ochranu osobních </w:t>
      </w:r>
      <w:r w:rsidRPr="00FE2FF8">
        <w:rPr>
          <w:rFonts w:asciiTheme="minorHAnsi" w:hAnsiTheme="minorHAnsi" w:cstheme="minorHAnsi"/>
          <w:szCs w:val="24"/>
        </w:rPr>
        <w:t>údajů.</w:t>
      </w:r>
    </w:p>
    <w:p w:rsidR="00F52CE1" w:rsidRPr="00FE2FF8" w:rsidRDefault="00FE2FF8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FE2FF8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F52CE1" w:rsidRPr="00FE2FF8" w:rsidRDefault="00FE2FF8">
      <w:pPr>
        <w:numPr>
          <w:ilvl w:val="0"/>
          <w:numId w:val="5"/>
        </w:numPr>
        <w:spacing w:after="0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FE2FF8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F52CE1" w:rsidRPr="00FE2FF8" w:rsidRDefault="00FE2FF8">
      <w:pPr>
        <w:numPr>
          <w:ilvl w:val="0"/>
          <w:numId w:val="5"/>
        </w:numPr>
        <w:spacing w:after="14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FE2FF8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FE2FF8">
        <w:rPr>
          <w:rFonts w:asciiTheme="minorHAnsi" w:hAnsiTheme="minorHAnsi" w:cstheme="minorHAnsi"/>
          <w:szCs w:val="24"/>
        </w:rPr>
        <w:t>plnění</w:t>
      </w:r>
      <w:proofErr w:type="gramEnd"/>
      <w:r w:rsidRPr="00FE2FF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F52CE1" w:rsidRPr="00FE2FF8" w:rsidRDefault="00FE2FF8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FE2FF8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F52CE1" w:rsidRPr="00FE2FF8" w:rsidRDefault="00FE2FF8">
      <w:pPr>
        <w:numPr>
          <w:ilvl w:val="0"/>
          <w:numId w:val="5"/>
        </w:numPr>
        <w:spacing w:after="80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F52CE1" w:rsidRPr="00FE2FF8" w:rsidRDefault="00FE2FF8">
      <w:pPr>
        <w:numPr>
          <w:ilvl w:val="0"/>
          <w:numId w:val="5"/>
        </w:numPr>
        <w:spacing w:after="67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Tato Smlouva se </w:t>
      </w:r>
      <w:r w:rsidRPr="00FE2FF8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F52CE1" w:rsidRPr="00FE2FF8" w:rsidRDefault="00FE2FF8">
      <w:pPr>
        <w:numPr>
          <w:ilvl w:val="0"/>
          <w:numId w:val="5"/>
        </w:numPr>
        <w:spacing w:after="81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FE2FF8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F52CE1" w:rsidRPr="00FE2FF8" w:rsidRDefault="00FE2FF8">
      <w:pPr>
        <w:numPr>
          <w:ilvl w:val="0"/>
          <w:numId w:val="5"/>
        </w:numPr>
        <w:spacing w:after="78"/>
        <w:ind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FE2FF8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F52CE1" w:rsidRPr="00FE2FF8" w:rsidRDefault="00FE2FF8">
      <w:pPr>
        <w:ind w:left="566" w:right="43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 xml:space="preserve">1 0. </w:t>
      </w:r>
      <w:r w:rsidRPr="00FE2FF8">
        <w:rPr>
          <w:rFonts w:asciiTheme="minorHAnsi" w:hAnsiTheme="minorHAnsi" w:cstheme="minorHAnsi"/>
          <w:szCs w:val="24"/>
        </w:rPr>
        <w:t>Tato smlouva bude zveřejn</w:t>
      </w:r>
      <w:r w:rsidRPr="00FE2FF8">
        <w:rPr>
          <w:rFonts w:asciiTheme="minorHAnsi" w:hAnsiTheme="minorHAnsi" w:cstheme="minorHAnsi"/>
          <w:szCs w:val="24"/>
        </w:rPr>
        <w:t xml:space="preserve">ěna v registru smluv dle zákona č. 340/2015 Sb., o </w:t>
      </w: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7"/>
            <wp:effectExtent l="0" t="0" r="0" b="0"/>
            <wp:docPr id="12368" name="Picture 1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" name="Picture 12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FF8">
        <w:rPr>
          <w:rFonts w:asciiTheme="minorHAnsi" w:hAnsiTheme="minorHAnsi" w:cstheme="minorHAnsi"/>
          <w:szCs w:val="24"/>
        </w:rPr>
        <w:t>zvláštních podmínkách účinnosti některých smluv, uveřejňování těchto smluv a o registru smluv (zákon o registru smluv) a to bez uvedení citlivých údajů (obchodní tajemství, osobní údaje). Zveřejnění smlou</w:t>
      </w:r>
      <w:r w:rsidRPr="00FE2FF8">
        <w:rPr>
          <w:rFonts w:asciiTheme="minorHAnsi" w:hAnsiTheme="minorHAnsi" w:cstheme="minorHAnsi"/>
          <w:szCs w:val="24"/>
        </w:rPr>
        <w:t>vy zajistí Poradce.</w:t>
      </w:r>
    </w:p>
    <w:tbl>
      <w:tblPr>
        <w:tblStyle w:val="TableGrid"/>
        <w:tblW w:w="6456" w:type="dxa"/>
        <w:tblInd w:w="62" w:type="dxa"/>
        <w:tblCellMar>
          <w:top w:w="5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863"/>
      </w:tblGrid>
      <w:tr w:rsidR="00F52CE1" w:rsidRPr="00FE2FF8">
        <w:trPr>
          <w:trHeight w:val="37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F52CE1" w:rsidRPr="00FE2FF8" w:rsidRDefault="00FE2FF8">
            <w:pPr>
              <w:tabs>
                <w:tab w:val="center" w:pos="1687"/>
                <w:tab w:val="center" w:pos="1942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E2FF8">
              <w:rPr>
                <w:rFonts w:asciiTheme="minorHAnsi" w:hAnsiTheme="minorHAnsi" w:cstheme="minorHAnsi"/>
                <w:szCs w:val="24"/>
              </w:rPr>
              <w:t>V Praze, dne</w:t>
            </w:r>
            <w:r w:rsidRPr="00FE2FF8">
              <w:rPr>
                <w:rFonts w:asciiTheme="minorHAnsi" w:hAnsiTheme="minorHAnsi" w:cstheme="minorHAnsi"/>
                <w:szCs w:val="24"/>
              </w:rPr>
              <w:tab/>
            </w:r>
            <w:r w:rsidRPr="00FE2FF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5241"/>
                  <wp:effectExtent l="0" t="0" r="0" b="0"/>
                  <wp:docPr id="13214" name="Picture 1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" name="Picture 13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2FF8">
              <w:rPr>
                <w:rFonts w:asciiTheme="minorHAnsi" w:hAnsiTheme="minorHAnsi" w:cstheme="minorHAnsi"/>
                <w:szCs w:val="24"/>
              </w:rPr>
              <w:tab/>
            </w:r>
            <w:r w:rsidRPr="00FE2FF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18289"/>
                  <wp:effectExtent l="0" t="0" r="0" b="0"/>
                  <wp:docPr id="13215" name="Picture 1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" name="Picture 132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52CE1" w:rsidRPr="00FE2FF8" w:rsidRDefault="00FE2FF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E2FF8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F52CE1" w:rsidRPr="00FE2FF8">
        <w:trPr>
          <w:trHeight w:val="384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E1" w:rsidRPr="00FE2FF8" w:rsidRDefault="00FE2FF8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E2FF8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CE1" w:rsidRPr="00FE2FF8" w:rsidRDefault="00FE2FF8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FE2FF8">
              <w:rPr>
                <w:rFonts w:asciiTheme="minorHAnsi" w:hAnsiTheme="minorHAnsi" w:cstheme="minorHAnsi"/>
                <w:szCs w:val="24"/>
              </w:rPr>
              <w:t xml:space="preserve">Ing. Luděk </w:t>
            </w:r>
            <w:proofErr w:type="spellStart"/>
            <w:r w:rsidRPr="00FE2FF8">
              <w:rPr>
                <w:rFonts w:asciiTheme="minorHAnsi" w:hAnsiTheme="minorHAnsi" w:cstheme="minorHAnsi"/>
                <w:szCs w:val="24"/>
              </w:rPr>
              <w:t>Šnajdar</w:t>
            </w:r>
            <w:proofErr w:type="spellEnd"/>
          </w:p>
        </w:tc>
      </w:tr>
    </w:tbl>
    <w:p w:rsidR="00F52CE1" w:rsidRPr="00FE2FF8" w:rsidRDefault="00FE2FF8">
      <w:pPr>
        <w:tabs>
          <w:tab w:val="center" w:pos="5242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>jednatel BDO Advisory s.r.o.</w:t>
      </w:r>
      <w:r w:rsidRPr="00FE2FF8">
        <w:rPr>
          <w:rFonts w:asciiTheme="minorHAnsi" w:hAnsiTheme="minorHAnsi" w:cstheme="minorHAnsi"/>
          <w:szCs w:val="24"/>
        </w:rPr>
        <w:tab/>
        <w:t>ředitel školy</w:t>
      </w:r>
    </w:p>
    <w:p w:rsidR="00F52CE1" w:rsidRPr="00FE2FF8" w:rsidRDefault="00FE2FF8">
      <w:pPr>
        <w:spacing w:after="94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84902" cy="829096"/>
            <wp:effectExtent l="0" t="0" r="0" b="0"/>
            <wp:docPr id="23817" name="Picture 2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7" name="Picture 238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4902" cy="82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E1" w:rsidRPr="00FE2FF8" w:rsidRDefault="00FE2FF8">
      <w:pPr>
        <w:tabs>
          <w:tab w:val="center" w:pos="2275"/>
          <w:tab w:val="center" w:pos="6884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FE2FF8">
        <w:rPr>
          <w:rFonts w:asciiTheme="minorHAnsi" w:hAnsiTheme="minorHAnsi" w:cstheme="minorHAnsi"/>
          <w:szCs w:val="24"/>
        </w:rPr>
        <w:tab/>
        <w:t>vlastnoruční podpis</w:t>
      </w:r>
      <w:bookmarkStart w:id="0" w:name="_GoBack"/>
      <w:bookmarkEnd w:id="0"/>
      <w:r w:rsidRPr="00FE2FF8">
        <w:rPr>
          <w:rFonts w:asciiTheme="minorHAnsi" w:hAnsiTheme="minorHAnsi" w:cstheme="minorHAnsi"/>
          <w:szCs w:val="24"/>
        </w:rPr>
        <w:tab/>
        <w:t>vlastnoruční podpis</w:t>
      </w:r>
    </w:p>
    <w:sectPr w:rsidR="00F52CE1" w:rsidRPr="00FE2FF8">
      <w:footerReference w:type="even" r:id="rId15"/>
      <w:footerReference w:type="default" r:id="rId16"/>
      <w:footerReference w:type="first" r:id="rId17"/>
      <w:pgSz w:w="11900" w:h="16820"/>
      <w:pgMar w:top="1634" w:right="1435" w:bottom="1443" w:left="1349" w:header="708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2FF8">
      <w:pPr>
        <w:spacing w:after="0" w:line="240" w:lineRule="auto"/>
      </w:pPr>
      <w:r>
        <w:separator/>
      </w:r>
    </w:p>
  </w:endnote>
  <w:endnote w:type="continuationSeparator" w:id="0">
    <w:p w:rsidR="00000000" w:rsidRDefault="00F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E1" w:rsidRDefault="00FE2FF8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E1" w:rsidRDefault="00FE2FF8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E1" w:rsidRDefault="00FE2FF8">
    <w:pPr>
      <w:spacing w:after="0" w:line="259" w:lineRule="auto"/>
      <w:ind w:left="0"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2FF8">
      <w:pPr>
        <w:spacing w:after="0" w:line="240" w:lineRule="auto"/>
      </w:pPr>
      <w:r>
        <w:separator/>
      </w:r>
    </w:p>
  </w:footnote>
  <w:footnote w:type="continuationSeparator" w:id="0">
    <w:p w:rsidR="00000000" w:rsidRDefault="00FE2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0FD"/>
    <w:multiLevelType w:val="hybridMultilevel"/>
    <w:tmpl w:val="DD083184"/>
    <w:lvl w:ilvl="0" w:tplc="10B8D85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90031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2A840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BE644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ACF96A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849CE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2C543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AEAD9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F018A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8724C"/>
    <w:multiLevelType w:val="hybridMultilevel"/>
    <w:tmpl w:val="2C6C927C"/>
    <w:lvl w:ilvl="0" w:tplc="38FC820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E025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5CD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AFDA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E3C4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8063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E8F7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0C93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04E3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E3B78"/>
    <w:multiLevelType w:val="hybridMultilevel"/>
    <w:tmpl w:val="68F614CA"/>
    <w:lvl w:ilvl="0" w:tplc="CA300C3C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D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C66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E7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2F4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A4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A79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22B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046EC"/>
    <w:multiLevelType w:val="hybridMultilevel"/>
    <w:tmpl w:val="333A9970"/>
    <w:lvl w:ilvl="0" w:tplc="DF9E30E8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C8DB9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6E7B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981F6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F8E64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E8544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0AC73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60614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5A671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2F2821"/>
    <w:multiLevelType w:val="hybridMultilevel"/>
    <w:tmpl w:val="73E6B66C"/>
    <w:lvl w:ilvl="0" w:tplc="E94216A6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72D4C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10D64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82DAF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65A6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B038A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E46C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E82F0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5218B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E1"/>
    <w:rsid w:val="00F52CE1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30A"/>
  <w15:docId w15:val="{772ED86B-5F2D-4950-AA24-093EEE3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9" w:line="222" w:lineRule="auto"/>
      <w:ind w:left="581" w:right="5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7"/>
      <w:ind w:left="3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1946</Words>
  <Characters>11488</Characters>
  <Application>Microsoft Office Word</Application>
  <DocSecurity>0</DocSecurity>
  <Lines>95</Lines>
  <Paragraphs>26</Paragraphs>
  <ScaleCrop>false</ScaleCrop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KM_C558-20180509153935</dc:title>
  <dc:subject/>
  <dc:creator>Petr Gabriel</dc:creator>
  <cp:keywords/>
  <cp:lastModifiedBy>Petr Gabriel</cp:lastModifiedBy>
  <cp:revision>2</cp:revision>
  <dcterms:created xsi:type="dcterms:W3CDTF">2018-05-24T10:38:00Z</dcterms:created>
  <dcterms:modified xsi:type="dcterms:W3CDTF">2018-05-24T10:38:00Z</dcterms:modified>
</cp:coreProperties>
</file>