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C7" w:rsidRPr="00216F21" w:rsidRDefault="00216F21">
      <w:pPr>
        <w:spacing w:after="360" w:line="259" w:lineRule="auto"/>
        <w:ind w:left="101" w:right="0" w:firstLine="0"/>
        <w:jc w:val="center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>Smlouva o poskytování poradenských služeb</w:t>
      </w:r>
    </w:p>
    <w:p w:rsidR="00A04BC7" w:rsidRPr="00216F21" w:rsidRDefault="00216F21">
      <w:pPr>
        <w:spacing w:after="0" w:line="259" w:lineRule="auto"/>
        <w:ind w:left="96" w:right="0" w:firstLine="0"/>
        <w:jc w:val="left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>BDO Advisory s.r.o.</w:t>
      </w:r>
    </w:p>
    <w:p w:rsidR="00A04BC7" w:rsidRPr="00216F21" w:rsidRDefault="00216F21">
      <w:pPr>
        <w:spacing w:after="862"/>
        <w:ind w:left="14" w:right="9" w:firstLine="14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 xml:space="preserve">Se sídlem Karolinská 661/4, 186 OO Praha 8 IC: 272 44 784 zapsaná do obchodního rejstříku vedeného Městským soudem v Praze, spisová značka C 107235, jednající panem Radovanem </w:t>
      </w:r>
      <w:proofErr w:type="spellStart"/>
      <w:r w:rsidRPr="00216F21">
        <w:rPr>
          <w:rFonts w:asciiTheme="minorHAnsi" w:hAnsiTheme="minorHAnsi" w:cstheme="minorHAnsi"/>
          <w:szCs w:val="24"/>
        </w:rPr>
        <w:t>Haukem</w:t>
      </w:r>
      <w:proofErr w:type="spellEnd"/>
      <w:r w:rsidRPr="00216F21">
        <w:rPr>
          <w:rFonts w:asciiTheme="minorHAnsi" w:hAnsiTheme="minorHAnsi" w:cstheme="minorHAnsi"/>
          <w:szCs w:val="24"/>
        </w:rPr>
        <w:t>, jednatelem dále jen „Poradce”</w:t>
      </w:r>
    </w:p>
    <w:p w:rsidR="00216F21" w:rsidRDefault="00216F21">
      <w:pPr>
        <w:spacing w:after="0" w:line="216" w:lineRule="auto"/>
        <w:ind w:left="57" w:right="1939" w:firstLine="0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 xml:space="preserve">Střední průmyslová škola elektrotechnická, </w:t>
      </w:r>
      <w:r w:rsidRPr="00216F21">
        <w:rPr>
          <w:rFonts w:asciiTheme="minorHAnsi" w:hAnsiTheme="minorHAnsi" w:cstheme="minorHAnsi"/>
          <w:szCs w:val="24"/>
        </w:rPr>
        <w:t xml:space="preserve">Praha 10, V Úžlabině 320 </w:t>
      </w:r>
    </w:p>
    <w:p w:rsidR="00A04BC7" w:rsidRPr="00216F21" w:rsidRDefault="00216F21">
      <w:pPr>
        <w:spacing w:after="0" w:line="216" w:lineRule="auto"/>
        <w:ind w:left="57" w:right="1939" w:firstLine="0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>se sídlem V Úžlabině 320/23, 100 OO Praha 10 IC: 61385409</w:t>
      </w:r>
    </w:p>
    <w:p w:rsidR="00A04BC7" w:rsidRPr="00216F21" w:rsidRDefault="00216F21">
      <w:pPr>
        <w:spacing w:after="293" w:line="216" w:lineRule="auto"/>
        <w:ind w:left="57" w:right="23" w:firstLine="0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>Zastoupena: PhDr. Romana Bukovská, ředitelka školy</w:t>
      </w:r>
    </w:p>
    <w:p w:rsidR="00A04BC7" w:rsidRPr="00216F21" w:rsidRDefault="00216F21">
      <w:pPr>
        <w:spacing w:after="545" w:line="216" w:lineRule="auto"/>
        <w:ind w:left="57" w:right="23" w:firstLine="0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>dále jen „</w:t>
      </w:r>
      <w:proofErr w:type="spellStart"/>
      <w:r w:rsidRPr="00216F21">
        <w:rPr>
          <w:rFonts w:asciiTheme="minorHAnsi" w:hAnsiTheme="minorHAnsi" w:cstheme="minorHAnsi"/>
          <w:szCs w:val="24"/>
        </w:rPr>
        <w:t>Klienť</w:t>
      </w:r>
      <w:proofErr w:type="spellEnd"/>
    </w:p>
    <w:p w:rsidR="00A04BC7" w:rsidRPr="00216F21" w:rsidRDefault="00216F21">
      <w:pPr>
        <w:spacing w:after="346" w:line="216" w:lineRule="auto"/>
        <w:ind w:left="57" w:right="23" w:firstLine="0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 xml:space="preserve">Poradce a Klient (dále společně jen "Smluvní strany") uzavírají tuto Smlouvu o poradenské činnosti (dále </w:t>
      </w:r>
      <w:r w:rsidRPr="00216F21">
        <w:rPr>
          <w:rFonts w:asciiTheme="minorHAnsi" w:hAnsiTheme="minorHAnsi" w:cstheme="minorHAnsi"/>
          <w:szCs w:val="24"/>
        </w:rPr>
        <w:t xml:space="preserve">jen "Smlouva") ve smyslu ustanovení S 1 746 odst. 2. zákona č. 89/2012 Sb., občanský zákoník, ve znění </w:t>
      </w:r>
      <w:proofErr w:type="spellStart"/>
      <w:r w:rsidRPr="00216F21">
        <w:rPr>
          <w:rFonts w:asciiTheme="minorHAnsi" w:hAnsiTheme="minorHAnsi" w:cstheme="minorHAnsi"/>
          <w:szCs w:val="24"/>
        </w:rPr>
        <w:t>pozdejsłch</w:t>
      </w:r>
      <w:proofErr w:type="spellEnd"/>
      <w:r w:rsidRPr="00216F21">
        <w:rPr>
          <w:rFonts w:asciiTheme="minorHAnsi" w:hAnsiTheme="minorHAnsi" w:cstheme="minorHAnsi"/>
          <w:szCs w:val="24"/>
        </w:rPr>
        <w:t xml:space="preserve"> předpisů (dále jen "Občanský zákoník”)</w:t>
      </w:r>
    </w:p>
    <w:p w:rsidR="00A04BC7" w:rsidRPr="00216F21" w:rsidRDefault="00216F21">
      <w:pPr>
        <w:spacing w:after="0" w:line="259" w:lineRule="auto"/>
        <w:ind w:left="92" w:right="115" w:hanging="10"/>
        <w:jc w:val="center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>Článek l.</w:t>
      </w:r>
    </w:p>
    <w:p w:rsidR="00A04BC7" w:rsidRPr="00216F21" w:rsidRDefault="00216F21">
      <w:pPr>
        <w:pStyle w:val="Nadpis1"/>
        <w:spacing w:after="352"/>
        <w:ind w:left="77" w:right="82" w:hanging="10"/>
        <w:jc w:val="center"/>
        <w:rPr>
          <w:rFonts w:asciiTheme="minorHAnsi" w:hAnsiTheme="minorHAnsi" w:cstheme="minorHAnsi"/>
          <w:sz w:val="24"/>
          <w:szCs w:val="24"/>
        </w:rPr>
      </w:pPr>
      <w:r w:rsidRPr="00216F21">
        <w:rPr>
          <w:rFonts w:asciiTheme="minorHAnsi" w:hAnsiTheme="minorHAnsi" w:cstheme="minorHAnsi"/>
          <w:sz w:val="24"/>
          <w:szCs w:val="24"/>
        </w:rPr>
        <w:t>Předmět Smlouvy</w:t>
      </w:r>
    </w:p>
    <w:p w:rsidR="00A04BC7" w:rsidRPr="00216F21" w:rsidRDefault="00216F21">
      <w:pPr>
        <w:ind w:left="547" w:right="9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 xml:space="preserve">1 </w:t>
      </w:r>
      <w:r w:rsidRPr="00216F21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216F21">
        <w:rPr>
          <w:rFonts w:asciiTheme="minorHAnsi" w:hAnsiTheme="minorHAnsi" w:cstheme="minorHAnsi"/>
          <w:szCs w:val="24"/>
        </w:rPr>
        <w:t>Il</w:t>
      </w:r>
      <w:proofErr w:type="spellEnd"/>
      <w:r w:rsidRPr="00216F21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A04BC7" w:rsidRPr="00216F21" w:rsidRDefault="00216F21">
      <w:pPr>
        <w:numPr>
          <w:ilvl w:val="0"/>
          <w:numId w:val="1"/>
        </w:numPr>
        <w:spacing w:after="73"/>
        <w:ind w:right="9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>Klient se zavazuje zaplatit Poradci za jím proveden</w:t>
      </w:r>
      <w:r w:rsidRPr="00216F21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smlouvy.</w:t>
      </w:r>
    </w:p>
    <w:p w:rsidR="00A04BC7" w:rsidRPr="00216F21" w:rsidRDefault="00216F21">
      <w:pPr>
        <w:numPr>
          <w:ilvl w:val="0"/>
          <w:numId w:val="1"/>
        </w:numPr>
        <w:spacing w:after="343"/>
        <w:ind w:right="9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>Poradce prohlašuje, že je odborně způsobilou osobou k výkonu sjednaných činností</w:t>
      </w:r>
      <w:r w:rsidRPr="00216F21">
        <w:rPr>
          <w:rFonts w:asciiTheme="minorHAnsi" w:hAnsiTheme="minorHAnsi" w:cstheme="minorHAnsi"/>
          <w:szCs w:val="24"/>
        </w:rPr>
        <w:t xml:space="preserve"> podle této smlouvy, má odborné znalosti práva a praxi v oblasti ochrany osobních údajů a je schopen zajistit plnění úkolů konkrétně jmenovaného Pověřence pro ochranu osobních údajů.</w:t>
      </w:r>
    </w:p>
    <w:p w:rsidR="00A04BC7" w:rsidRPr="00216F21" w:rsidRDefault="00216F21">
      <w:pPr>
        <w:spacing w:after="0" w:line="259" w:lineRule="auto"/>
        <w:ind w:left="92" w:right="178" w:hanging="10"/>
        <w:jc w:val="center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216F21">
        <w:rPr>
          <w:rFonts w:asciiTheme="minorHAnsi" w:hAnsiTheme="minorHAnsi" w:cstheme="minorHAnsi"/>
          <w:szCs w:val="24"/>
        </w:rPr>
        <w:t>Il</w:t>
      </w:r>
      <w:proofErr w:type="spellEnd"/>
      <w:r w:rsidRPr="00216F21">
        <w:rPr>
          <w:rFonts w:asciiTheme="minorHAnsi" w:hAnsiTheme="minorHAnsi" w:cstheme="minorHAnsi"/>
          <w:szCs w:val="24"/>
        </w:rPr>
        <w:t>.</w:t>
      </w:r>
    </w:p>
    <w:p w:rsidR="00A04BC7" w:rsidRPr="00216F21" w:rsidRDefault="00216F21">
      <w:pPr>
        <w:spacing w:after="347" w:line="259" w:lineRule="auto"/>
        <w:ind w:left="92" w:right="163" w:hanging="10"/>
        <w:jc w:val="center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>Poskytované služby</w:t>
      </w:r>
    </w:p>
    <w:p w:rsidR="00A04BC7" w:rsidRPr="00216F21" w:rsidRDefault="00216F21">
      <w:pPr>
        <w:spacing w:after="42" w:line="216" w:lineRule="auto"/>
        <w:ind w:left="580" w:right="23" w:hanging="523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 xml:space="preserve">1 </w:t>
      </w:r>
      <w:r w:rsidRPr="00216F21">
        <w:rPr>
          <w:rFonts w:asciiTheme="minorHAnsi" w:hAnsiTheme="minorHAnsi" w:cstheme="minorHAnsi"/>
          <w:szCs w:val="24"/>
        </w:rPr>
        <w:t>Poradce se zavazuje, dle této Smlouvy, Kl</w:t>
      </w:r>
      <w:r w:rsidRPr="00216F21">
        <w:rPr>
          <w:rFonts w:asciiTheme="minorHAnsi" w:hAnsiTheme="minorHAnsi" w:cstheme="minorHAnsi"/>
          <w:szCs w:val="24"/>
        </w:rPr>
        <w:t>ientovi poskytnout e-learningové školení zaměstnanců v oblasti GDPR.</w:t>
      </w:r>
    </w:p>
    <w:p w:rsidR="00A04BC7" w:rsidRPr="00216F21" w:rsidRDefault="00216F21">
      <w:pPr>
        <w:numPr>
          <w:ilvl w:val="0"/>
          <w:numId w:val="2"/>
        </w:numPr>
        <w:ind w:right="53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>Smluvní strany se dohodly, že jakékoli rozšíření služeb poskytovaných Poradcem dle této Smlouvy nad rámec stanovený v odst. 1. tohoto článku, bude sjednáno písemným dodatkem k této Smlouv</w:t>
      </w:r>
      <w:r w:rsidRPr="00216F21">
        <w:rPr>
          <w:rFonts w:asciiTheme="minorHAnsi" w:hAnsiTheme="minorHAnsi" w:cstheme="minorHAnsi"/>
          <w:szCs w:val="24"/>
        </w:rPr>
        <w:t>ě, v němž bude stanovena další poradenská činnost a odměna, kterou bude Klient hradit.</w:t>
      </w:r>
    </w:p>
    <w:p w:rsidR="00A04BC7" w:rsidRPr="00216F21" w:rsidRDefault="00216F21">
      <w:pPr>
        <w:numPr>
          <w:ilvl w:val="0"/>
          <w:numId w:val="2"/>
        </w:numPr>
        <w:spacing w:after="655"/>
        <w:ind w:right="53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>Za rozšíření služeb podle této smlouvy se nepovažuje posouzení shody činností klienta s doposud platnými právními předpisy nebo v budoucnu přijatými vnitrostátními právn</w:t>
      </w:r>
      <w:r w:rsidRPr="00216F21">
        <w:rPr>
          <w:rFonts w:asciiTheme="minorHAnsi" w:hAnsiTheme="minorHAnsi" w:cstheme="minorHAnsi"/>
          <w:szCs w:val="24"/>
        </w:rPr>
        <w:t>ími předpisy nebo předpisy EU upravujícími ochranu osobních údajů a případně schválenými a závaznými kodexy chování dle článku 40 obecného nařízení o ochraně osobních údajů.</w:t>
      </w:r>
    </w:p>
    <w:p w:rsidR="00A04BC7" w:rsidRPr="00216F21" w:rsidRDefault="00216F21">
      <w:pPr>
        <w:spacing w:after="0" w:line="259" w:lineRule="auto"/>
        <w:ind w:left="92" w:hanging="10"/>
        <w:jc w:val="center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lastRenderedPageBreak/>
        <w:t xml:space="preserve">Článek </w:t>
      </w:r>
      <w:proofErr w:type="spellStart"/>
      <w:r w:rsidRPr="00216F21">
        <w:rPr>
          <w:rFonts w:asciiTheme="minorHAnsi" w:hAnsiTheme="minorHAnsi" w:cstheme="minorHAnsi"/>
          <w:szCs w:val="24"/>
        </w:rPr>
        <w:t>Ill</w:t>
      </w:r>
      <w:proofErr w:type="spellEnd"/>
      <w:r w:rsidRPr="00216F21">
        <w:rPr>
          <w:rFonts w:asciiTheme="minorHAnsi" w:hAnsiTheme="minorHAnsi" w:cstheme="minorHAnsi"/>
          <w:szCs w:val="24"/>
        </w:rPr>
        <w:t>.</w:t>
      </w:r>
    </w:p>
    <w:p w:rsidR="00A04BC7" w:rsidRPr="00216F21" w:rsidRDefault="00216F21">
      <w:pPr>
        <w:spacing w:after="321" w:line="259" w:lineRule="auto"/>
        <w:ind w:left="92" w:right="0" w:hanging="10"/>
        <w:jc w:val="center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>Práva a povinnosti Smluvních stran</w:t>
      </w:r>
    </w:p>
    <w:p w:rsidR="00A04BC7" w:rsidRPr="00216F21" w:rsidRDefault="00216F21">
      <w:pPr>
        <w:spacing w:after="69"/>
        <w:ind w:left="643" w:right="9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 xml:space="preserve">1 </w:t>
      </w:r>
      <w:r w:rsidRPr="00216F21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Klienta průběžně o plnění předmětu této Smlouvy.</w:t>
      </w:r>
    </w:p>
    <w:p w:rsidR="00A04BC7" w:rsidRPr="00216F21" w:rsidRDefault="00216F21">
      <w:pPr>
        <w:numPr>
          <w:ilvl w:val="0"/>
          <w:numId w:val="3"/>
        </w:numPr>
        <w:ind w:right="9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>Klient je povinen poskytovat Poradci veškerou potřebnou sou</w:t>
      </w:r>
      <w:r w:rsidRPr="00216F21">
        <w:rPr>
          <w:rFonts w:asciiTheme="minorHAnsi" w:hAnsiTheme="minorHAnsi" w:cstheme="minorHAnsi"/>
          <w:szCs w:val="24"/>
        </w:rPr>
        <w:t>činnost a veškeré informace a podklady potřebné k plnění činností Poradce.</w:t>
      </w:r>
    </w:p>
    <w:p w:rsidR="00A04BC7" w:rsidRPr="00216F21" w:rsidRDefault="00216F21">
      <w:pPr>
        <w:numPr>
          <w:ilvl w:val="0"/>
          <w:numId w:val="3"/>
        </w:numPr>
        <w:spacing w:after="36"/>
        <w:ind w:right="9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oblastí činností poskytovaných dle této Smlouvy.</w:t>
      </w:r>
    </w:p>
    <w:p w:rsidR="00A04BC7" w:rsidRPr="00216F21" w:rsidRDefault="00216F21">
      <w:pPr>
        <w:numPr>
          <w:ilvl w:val="0"/>
          <w:numId w:val="3"/>
        </w:numPr>
        <w:spacing w:after="97"/>
        <w:ind w:right="9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>Poradce je povinen vykonávat či</w:t>
      </w:r>
      <w:r w:rsidRPr="00216F21">
        <w:rPr>
          <w:rFonts w:asciiTheme="minorHAnsi" w:hAnsiTheme="minorHAnsi" w:cstheme="minorHAnsi"/>
          <w:szCs w:val="24"/>
        </w:rPr>
        <w:t>nnosti dle této Smlouvy v dohodnutých nebo právními předpisy stanovených termínech.</w:t>
      </w:r>
    </w:p>
    <w:p w:rsidR="00A04BC7" w:rsidRPr="00216F21" w:rsidRDefault="00216F21">
      <w:pPr>
        <w:numPr>
          <w:ilvl w:val="0"/>
          <w:numId w:val="3"/>
        </w:numPr>
        <w:spacing w:after="37"/>
        <w:ind w:right="9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A04BC7" w:rsidRPr="00216F21" w:rsidRDefault="00216F21">
      <w:pPr>
        <w:numPr>
          <w:ilvl w:val="0"/>
          <w:numId w:val="3"/>
        </w:numPr>
        <w:spacing w:after="355"/>
        <w:ind w:right="9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 xml:space="preserve">Každá ze Smluvních stran určuje kontaktní osobu/osoby, které budou </w:t>
      </w:r>
      <w:r w:rsidRPr="00216F21">
        <w:rPr>
          <w:rFonts w:asciiTheme="minorHAnsi" w:hAnsiTheme="minorHAnsi" w:cstheme="minorHAnsi"/>
          <w:szCs w:val="24"/>
        </w:rPr>
        <w:t>zabezpečovat vzájemné předávání informací a spolupráci, předávání potřebných dokumentů, podkladů a výsledků činnosti dle této Smlouvy. Dojde-li ke změně v osobách pověřených k výkonu komunikace dle tohoto odstavce, je kterákoli ze Smluvních stran oprávněna</w:t>
      </w:r>
      <w:r w:rsidRPr="00216F21">
        <w:rPr>
          <w:rFonts w:asciiTheme="minorHAnsi" w:hAnsiTheme="minorHAnsi" w:cstheme="minorHAnsi"/>
          <w:szCs w:val="24"/>
        </w:rPr>
        <w:t xml:space="preserve"> pouze písemným oznámením, předaným druhé Smluvní straně, provést změnu či doplnění. Smluvní strany sjednaly, že takové změny a doplnění nejsou považovány za změny této Smlouvy a nebudou prováděny formou dodatku k této Smlouvě.</w:t>
      </w:r>
    </w:p>
    <w:p w:rsidR="00A04BC7" w:rsidRPr="00216F21" w:rsidRDefault="00216F21">
      <w:pPr>
        <w:spacing w:after="42"/>
        <w:ind w:left="614" w:right="9" w:firstLine="0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>Kontaktní osobou na straně P</w:t>
      </w:r>
      <w:r w:rsidRPr="00216F21">
        <w:rPr>
          <w:rFonts w:asciiTheme="minorHAnsi" w:hAnsiTheme="minorHAnsi" w:cstheme="minorHAnsi"/>
          <w:szCs w:val="24"/>
        </w:rPr>
        <w:t>oradce je:</w:t>
      </w:r>
    </w:p>
    <w:p w:rsidR="00A04BC7" w:rsidRPr="00216F21" w:rsidRDefault="00216F21">
      <w:pPr>
        <w:spacing w:after="360" w:line="259" w:lineRule="auto"/>
        <w:ind w:left="494" w:right="0" w:firstLine="0"/>
        <w:jc w:val="left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938658" cy="627918"/>
            <wp:effectExtent l="0" t="0" r="0" b="0"/>
            <wp:docPr id="10810" name="Picture 10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0" name="Picture 108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8658" cy="62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BC7" w:rsidRPr="00216F21" w:rsidRDefault="00216F21">
      <w:pPr>
        <w:spacing w:after="42" w:line="216" w:lineRule="auto"/>
        <w:ind w:left="610" w:right="23" w:firstLine="0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>Pověřenec:</w:t>
      </w:r>
    </w:p>
    <w:p w:rsidR="00A04BC7" w:rsidRPr="00216F21" w:rsidRDefault="00216F21">
      <w:pPr>
        <w:spacing w:after="86" w:line="259" w:lineRule="auto"/>
        <w:ind w:left="547" w:right="0" w:firstLine="0"/>
        <w:jc w:val="left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207089" cy="390163"/>
            <wp:effectExtent l="0" t="0" r="0" b="0"/>
            <wp:docPr id="23554" name="Picture 23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Picture 2355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7089" cy="390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BC7" w:rsidRPr="00216F21" w:rsidRDefault="00216F21">
      <w:pPr>
        <w:pStyle w:val="Nadpis1"/>
        <w:rPr>
          <w:rFonts w:asciiTheme="minorHAnsi" w:hAnsiTheme="minorHAnsi" w:cstheme="minorHAnsi"/>
          <w:sz w:val="24"/>
          <w:szCs w:val="24"/>
        </w:rPr>
      </w:pPr>
      <w:r w:rsidRPr="00216F21">
        <w:rPr>
          <w:rFonts w:asciiTheme="minorHAnsi" w:hAnsiTheme="minorHAnsi" w:cstheme="minorHAnsi"/>
          <w:sz w:val="24"/>
          <w:szCs w:val="24"/>
        </w:rPr>
        <w:t>E-mail•</w:t>
      </w:r>
      <w:r w:rsidRPr="00216F21">
        <w:rPr>
          <w:rFonts w:asciiTheme="minorHAnsi" w:hAnsiTheme="minorHAnsi" w:cstheme="minorHAnsi"/>
          <w:sz w:val="24"/>
          <w:szCs w:val="24"/>
          <w:u w:val="single" w:color="000000"/>
        </w:rPr>
        <w:t>—</w:t>
      </w:r>
    </w:p>
    <w:p w:rsidR="00A04BC7" w:rsidRPr="00216F21" w:rsidRDefault="00216F21">
      <w:pPr>
        <w:spacing w:after="42"/>
        <w:ind w:left="600" w:right="9" w:firstLine="0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>Kontaktní osobou na straně Klienta je:</w:t>
      </w:r>
    </w:p>
    <w:p w:rsidR="00A04BC7" w:rsidRPr="00216F21" w:rsidRDefault="00216F21">
      <w:pPr>
        <w:spacing w:after="0" w:line="259" w:lineRule="auto"/>
        <w:ind w:left="461" w:right="0" w:firstLine="0"/>
        <w:jc w:val="left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167274" cy="618773"/>
            <wp:effectExtent l="0" t="0" r="0" b="0"/>
            <wp:docPr id="23556" name="Picture 23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6" name="Picture 235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7274" cy="61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BC7" w:rsidRPr="00216F21" w:rsidRDefault="00216F21">
      <w:pPr>
        <w:spacing w:after="0" w:line="259" w:lineRule="auto"/>
        <w:ind w:left="92" w:right="19" w:hanging="10"/>
        <w:jc w:val="center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>Článek IV.</w:t>
      </w:r>
    </w:p>
    <w:p w:rsidR="00A04BC7" w:rsidRPr="00216F21" w:rsidRDefault="00216F21">
      <w:pPr>
        <w:pStyle w:val="Nadpis2"/>
        <w:ind w:left="77" w:right="0"/>
        <w:rPr>
          <w:rFonts w:asciiTheme="minorHAnsi" w:hAnsiTheme="minorHAnsi" w:cstheme="minorHAnsi"/>
          <w:sz w:val="24"/>
          <w:szCs w:val="24"/>
        </w:rPr>
      </w:pPr>
      <w:r w:rsidRPr="00216F21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A04BC7" w:rsidRPr="00216F21" w:rsidRDefault="00216F21">
      <w:pPr>
        <w:spacing w:after="340"/>
        <w:ind w:left="653" w:right="9"/>
        <w:rPr>
          <w:rFonts w:asciiTheme="minorHAnsi" w:hAnsiTheme="minorHAnsi" w:cstheme="minorHAnsi"/>
          <w:szCs w:val="24"/>
        </w:rPr>
      </w:pPr>
      <w:proofErr w:type="gramStart"/>
      <w:r w:rsidRPr="00216F21">
        <w:rPr>
          <w:rFonts w:asciiTheme="minorHAnsi" w:hAnsiTheme="minorHAnsi" w:cstheme="minorHAnsi"/>
          <w:szCs w:val="24"/>
        </w:rPr>
        <w:t>1 .</w:t>
      </w:r>
      <w:proofErr w:type="gramEnd"/>
      <w:r w:rsidRPr="00216F21">
        <w:rPr>
          <w:rFonts w:asciiTheme="minorHAnsi" w:hAnsiTheme="minorHAnsi" w:cstheme="minorHAnsi"/>
          <w:szCs w:val="24"/>
        </w:rPr>
        <w:t xml:space="preserve"> </w:t>
      </w:r>
      <w:r w:rsidRPr="00216F21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216F21">
        <w:rPr>
          <w:rFonts w:asciiTheme="minorHAnsi" w:hAnsiTheme="minorHAnsi" w:cstheme="minorHAnsi"/>
          <w:szCs w:val="24"/>
        </w:rPr>
        <w:t>Il</w:t>
      </w:r>
      <w:proofErr w:type="spellEnd"/>
      <w:r w:rsidRPr="00216F21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A04BC7" w:rsidRPr="00216F21" w:rsidRDefault="00216F21">
      <w:pPr>
        <w:spacing w:after="368" w:line="216" w:lineRule="auto"/>
        <w:ind w:left="1503" w:right="23" w:hanging="413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 xml:space="preserve">i. Za služby provedené dle čl. II., odst. 1. této Smlouvy jednorázovou odměnu v celkové výši 1 400,- Kč (bez DPH v zákonné výši) pro všechny zaměstnance Klienta přihlášené do e-learningového kurzu. Výše uvedené bude Klientem proplaceno na základě Poradcem </w:t>
      </w:r>
      <w:r w:rsidRPr="00216F21">
        <w:rPr>
          <w:rFonts w:asciiTheme="minorHAnsi" w:hAnsiTheme="minorHAnsi" w:cstheme="minorHAnsi"/>
          <w:szCs w:val="24"/>
        </w:rPr>
        <w:t xml:space="preserve">vystavené faktury se splatností 21 </w:t>
      </w:r>
      <w:r w:rsidRPr="00216F21">
        <w:rPr>
          <w:rFonts w:asciiTheme="minorHAnsi" w:hAnsiTheme="minorHAnsi" w:cstheme="minorHAnsi"/>
          <w:szCs w:val="24"/>
        </w:rPr>
        <w:lastRenderedPageBreak/>
        <w:t>kalendářních dní ode dne doručení. E-learningové školení je možné využívat neomezeně po dobu devíti měsíců od podpisu této Smlouvy.</w:t>
      </w:r>
    </w:p>
    <w:p w:rsidR="00A04BC7" w:rsidRPr="00216F21" w:rsidRDefault="00216F21">
      <w:pPr>
        <w:numPr>
          <w:ilvl w:val="0"/>
          <w:numId w:val="4"/>
        </w:numPr>
        <w:ind w:left="619" w:right="9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>Odměna stanovená v odst. 1. tohoto článku zahrnuje veškeré náklady Poradce na činnosti vy</w:t>
      </w:r>
      <w:r w:rsidRPr="00216F21">
        <w:rPr>
          <w:rFonts w:asciiTheme="minorHAnsi" w:hAnsiTheme="minorHAnsi" w:cstheme="minorHAnsi"/>
          <w:szCs w:val="24"/>
        </w:rPr>
        <w:t xml:space="preserve">konávané dle této Smlouvy, a to zejména cestovní náhrady, běžné náklady spojené s poskytnutím služeb dle této Smlouvy (tj. tel. hovorné, </w:t>
      </w:r>
      <w:proofErr w:type="spellStart"/>
      <w:r w:rsidRPr="00216F21">
        <w:rPr>
          <w:rFonts w:asciiTheme="minorHAnsi" w:hAnsiTheme="minorHAnsi" w:cstheme="minorHAnsi"/>
          <w:szCs w:val="24"/>
        </w:rPr>
        <w:t>faxovné</w:t>
      </w:r>
      <w:proofErr w:type="spellEnd"/>
      <w:r w:rsidRPr="00216F21">
        <w:rPr>
          <w:rFonts w:asciiTheme="minorHAnsi" w:hAnsiTheme="minorHAnsi" w:cstheme="minorHAnsi"/>
          <w:szCs w:val="24"/>
        </w:rPr>
        <w:t xml:space="preserve">, poštovné včetně kurýrních poplatků, jazykové překlady, notářské a jiné úřední poplatky, náklady na </w:t>
      </w:r>
      <w:proofErr w:type="spellStart"/>
      <w:r w:rsidRPr="00216F21">
        <w:rPr>
          <w:rFonts w:asciiTheme="minorHAnsi" w:hAnsiTheme="minorHAnsi" w:cstheme="minorHAnsi"/>
          <w:szCs w:val="24"/>
        </w:rPr>
        <w:t>fotokopírov</w:t>
      </w:r>
      <w:r w:rsidRPr="00216F21">
        <w:rPr>
          <w:rFonts w:asciiTheme="minorHAnsi" w:hAnsiTheme="minorHAnsi" w:cstheme="minorHAnsi"/>
          <w:szCs w:val="24"/>
        </w:rPr>
        <w:t>ání</w:t>
      </w:r>
      <w:proofErr w:type="spellEnd"/>
      <w:r w:rsidRPr="00216F21">
        <w:rPr>
          <w:rFonts w:asciiTheme="minorHAnsi" w:hAnsiTheme="minorHAnsi" w:cstheme="minorHAnsi"/>
          <w:szCs w:val="24"/>
        </w:rPr>
        <w:t>, technické nosiče, a kancelářské potřeby).</w:t>
      </w:r>
    </w:p>
    <w:p w:rsidR="00A04BC7" w:rsidRPr="00216F21" w:rsidRDefault="00216F21">
      <w:pPr>
        <w:numPr>
          <w:ilvl w:val="0"/>
          <w:numId w:val="4"/>
        </w:numPr>
        <w:ind w:left="619" w:right="9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>Bude-li Klient v prodlení s placením odměny v termínech a výších dle tohoto článku, je povinen uhradit Poradci úroky z prodlení ve výši 0,05 % z dlužné částky za každý den prodlení. Nebude-li Poradce řádně pln</w:t>
      </w:r>
      <w:r w:rsidRPr="00216F21">
        <w:rPr>
          <w:rFonts w:asciiTheme="minorHAnsi" w:hAnsiTheme="minorHAnsi" w:cstheme="minorHAnsi"/>
          <w:szCs w:val="24"/>
        </w:rPr>
        <w:t>it předmět této smlouvy, je povinen uhradit Klientovi 1.000,-Kč denně za každý den prodlení s plněním.</w:t>
      </w:r>
    </w:p>
    <w:p w:rsidR="00A04BC7" w:rsidRPr="00216F21" w:rsidRDefault="00216F21">
      <w:pPr>
        <w:numPr>
          <w:ilvl w:val="0"/>
          <w:numId w:val="4"/>
        </w:numPr>
        <w:spacing w:after="655"/>
        <w:ind w:left="619" w:right="9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pozdějších předpisů stanovené náležitosti nebo bude obsahova</w:t>
      </w:r>
      <w:r w:rsidRPr="00216F21">
        <w:rPr>
          <w:rFonts w:asciiTheme="minorHAnsi" w:hAnsiTheme="minorHAnsi" w:cstheme="minorHAnsi"/>
          <w:szCs w:val="24"/>
        </w:rPr>
        <w:t>t chybné údaje, je Klient oprávněn tuto fakturu ve lhůtě její splatnosti vrátit Poradci, aniž by se tím Klient dostal do prodlení s úhradou faktury. Nová lhůta splatnosti počíná běžet dnem obdržení opravené nebo nově vystavené faktury. Důvod případného vrá</w:t>
      </w:r>
      <w:r w:rsidRPr="00216F21">
        <w:rPr>
          <w:rFonts w:asciiTheme="minorHAnsi" w:hAnsiTheme="minorHAnsi" w:cstheme="minorHAnsi"/>
          <w:szCs w:val="24"/>
        </w:rPr>
        <w:t>cení faktury musí být Klientem jednoznačně vymezen.</w:t>
      </w:r>
    </w:p>
    <w:p w:rsidR="00A04BC7" w:rsidRPr="00216F21" w:rsidRDefault="00216F21">
      <w:pPr>
        <w:spacing w:after="0" w:line="259" w:lineRule="auto"/>
        <w:ind w:left="92" w:right="91" w:hanging="10"/>
        <w:jc w:val="center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>Článek V.</w:t>
      </w:r>
    </w:p>
    <w:p w:rsidR="00A04BC7" w:rsidRPr="00216F21" w:rsidRDefault="00216F21">
      <w:pPr>
        <w:pStyle w:val="Nadpis2"/>
        <w:spacing w:after="337"/>
        <w:ind w:left="77" w:right="53"/>
        <w:rPr>
          <w:rFonts w:asciiTheme="minorHAnsi" w:hAnsiTheme="minorHAnsi" w:cstheme="minorHAnsi"/>
          <w:sz w:val="24"/>
          <w:szCs w:val="24"/>
        </w:rPr>
      </w:pPr>
      <w:r w:rsidRPr="00216F21">
        <w:rPr>
          <w:rFonts w:asciiTheme="minorHAnsi" w:hAnsiTheme="minorHAnsi" w:cstheme="minorHAnsi"/>
          <w:sz w:val="24"/>
          <w:szCs w:val="24"/>
        </w:rPr>
        <w:t>Chráněné Informace</w:t>
      </w:r>
    </w:p>
    <w:p w:rsidR="00A04BC7" w:rsidRPr="00216F21" w:rsidRDefault="00216F21">
      <w:pPr>
        <w:spacing w:after="73"/>
        <w:ind w:left="547" w:right="86"/>
        <w:rPr>
          <w:rFonts w:asciiTheme="minorHAnsi" w:hAnsiTheme="minorHAnsi" w:cstheme="minorHAnsi"/>
          <w:szCs w:val="24"/>
        </w:rPr>
      </w:pPr>
      <w:proofErr w:type="gramStart"/>
      <w:r w:rsidRPr="00216F21">
        <w:rPr>
          <w:rFonts w:asciiTheme="minorHAnsi" w:hAnsiTheme="minorHAnsi" w:cstheme="minorHAnsi"/>
          <w:szCs w:val="24"/>
        </w:rPr>
        <w:t>1 .</w:t>
      </w:r>
      <w:proofErr w:type="gramEnd"/>
      <w:r w:rsidRPr="00216F21">
        <w:rPr>
          <w:rFonts w:asciiTheme="minorHAnsi" w:hAnsiTheme="minorHAnsi" w:cstheme="minorHAnsi"/>
          <w:szCs w:val="24"/>
        </w:rPr>
        <w:t xml:space="preserve"> </w:t>
      </w:r>
      <w:r w:rsidRPr="00216F21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 důvěrné a nesmí být zpřístupněny či jakýmkoliv jiným způsobem sděleny třetí osobě, s výjimkou informací, které byly v okamžiku sdělen</w:t>
      </w:r>
      <w:r w:rsidRPr="00216F21">
        <w:rPr>
          <w:rFonts w:asciiTheme="minorHAnsi" w:hAnsiTheme="minorHAnsi" w:cstheme="minorHAnsi"/>
          <w:szCs w:val="24"/>
        </w:rPr>
        <w:t>í veřejně známé nebo informací, které Smluvní strany získaly od třetích osob nebo jejich poskytnutí upravuje platný právní předpis,</w:t>
      </w:r>
    </w:p>
    <w:p w:rsidR="00A04BC7" w:rsidRPr="00216F21" w:rsidRDefault="00216F21">
      <w:pPr>
        <w:spacing w:after="634"/>
        <w:ind w:left="547" w:right="96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 xml:space="preserve">2. </w:t>
      </w:r>
      <w:r w:rsidRPr="00216F21">
        <w:rPr>
          <w:rFonts w:asciiTheme="minorHAnsi" w:hAnsiTheme="minorHAnsi" w:cstheme="minorHAnsi"/>
          <w:szCs w:val="24"/>
        </w:rPr>
        <w:t xml:space="preserve">Poradce je oprávněn poskytovat při nabídce poradenských služeb jako reference údaje o realizovaném projektu, týkající se </w:t>
      </w:r>
      <w:r w:rsidRPr="00216F21">
        <w:rPr>
          <w:rFonts w:asciiTheme="minorHAnsi" w:hAnsiTheme="minorHAnsi" w:cstheme="minorHAnsi"/>
          <w:szCs w:val="24"/>
        </w:rPr>
        <w:t>názvu projektu, názvu a identifikace Klienta, stručného popisu vykonané práce v rozsahu poskytované poradenské činnosti.</w:t>
      </w:r>
    </w:p>
    <w:p w:rsidR="00A04BC7" w:rsidRPr="00216F21" w:rsidRDefault="00216F21">
      <w:pPr>
        <w:spacing w:after="0" w:line="259" w:lineRule="auto"/>
        <w:ind w:left="92" w:right="139" w:hanging="10"/>
        <w:jc w:val="center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216F21">
        <w:rPr>
          <w:rFonts w:asciiTheme="minorHAnsi" w:hAnsiTheme="minorHAnsi" w:cstheme="minorHAnsi"/>
          <w:szCs w:val="24"/>
        </w:rPr>
        <w:t>Vl</w:t>
      </w:r>
      <w:proofErr w:type="spellEnd"/>
      <w:r w:rsidRPr="00216F21">
        <w:rPr>
          <w:rFonts w:asciiTheme="minorHAnsi" w:hAnsiTheme="minorHAnsi" w:cstheme="minorHAnsi"/>
          <w:szCs w:val="24"/>
        </w:rPr>
        <w:t>.</w:t>
      </w:r>
    </w:p>
    <w:p w:rsidR="00A04BC7" w:rsidRPr="00216F21" w:rsidRDefault="00216F21">
      <w:pPr>
        <w:pStyle w:val="Nadpis2"/>
        <w:spacing w:after="376"/>
        <w:ind w:left="77" w:right="120"/>
        <w:rPr>
          <w:rFonts w:asciiTheme="minorHAnsi" w:hAnsiTheme="minorHAnsi" w:cstheme="minorHAnsi"/>
          <w:sz w:val="24"/>
          <w:szCs w:val="24"/>
        </w:rPr>
      </w:pPr>
      <w:r w:rsidRPr="00216F21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A04BC7" w:rsidRPr="00216F21" w:rsidRDefault="00216F21">
      <w:pPr>
        <w:ind w:left="547" w:right="115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 xml:space="preserve">1 </w:t>
      </w:r>
      <w:r w:rsidRPr="00216F21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 z</w:t>
      </w:r>
      <w:r w:rsidRPr="00216F21">
        <w:rPr>
          <w:rFonts w:asciiTheme="minorHAnsi" w:hAnsiTheme="minorHAnsi" w:cstheme="minorHAnsi"/>
          <w:szCs w:val="24"/>
        </w:rPr>
        <w:t>nění a platnými právními předpisy upravujícími ochranu osobních údajů.</w:t>
      </w:r>
    </w:p>
    <w:p w:rsidR="00A04BC7" w:rsidRPr="00216F21" w:rsidRDefault="00A04BC7">
      <w:pPr>
        <w:rPr>
          <w:rFonts w:asciiTheme="minorHAnsi" w:hAnsiTheme="minorHAnsi" w:cstheme="minorHAnsi"/>
          <w:szCs w:val="24"/>
        </w:rPr>
        <w:sectPr w:rsidR="00A04BC7" w:rsidRPr="00216F21">
          <w:footerReference w:type="even" r:id="rId10"/>
          <w:footerReference w:type="default" r:id="rId11"/>
          <w:footerReference w:type="first" r:id="rId12"/>
          <w:pgSz w:w="11900" w:h="16820"/>
          <w:pgMar w:top="1419" w:right="1358" w:bottom="1546" w:left="1344" w:header="708" w:footer="811" w:gutter="0"/>
          <w:cols w:space="708"/>
        </w:sectPr>
      </w:pPr>
    </w:p>
    <w:p w:rsidR="00A04BC7" w:rsidRPr="00216F21" w:rsidRDefault="00216F21">
      <w:pPr>
        <w:numPr>
          <w:ilvl w:val="0"/>
          <w:numId w:val="5"/>
        </w:numPr>
        <w:spacing w:after="43"/>
        <w:ind w:right="9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lastRenderedPageBreak/>
        <w:t>Tato Smlouva nabývá platnosti dnem jejího podpisu oběma Smluvními stranami a účinnosti dnem jejího řádného zveřejnění v registru smluv, které zajistí Poradce.</w:t>
      </w:r>
    </w:p>
    <w:p w:rsidR="00A04BC7" w:rsidRPr="00216F21" w:rsidRDefault="00216F21">
      <w:pPr>
        <w:numPr>
          <w:ilvl w:val="0"/>
          <w:numId w:val="5"/>
        </w:numPr>
        <w:spacing w:after="28"/>
        <w:ind w:right="9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>Poradce je pojištěn na škody v oblasti GDPR do výše 150 mil. Kč. Při podpisu smlouvy předloží kli</w:t>
      </w:r>
      <w:r w:rsidRPr="00216F21">
        <w:rPr>
          <w:rFonts w:asciiTheme="minorHAnsi" w:hAnsiTheme="minorHAnsi" w:cstheme="minorHAnsi"/>
          <w:szCs w:val="24"/>
        </w:rPr>
        <w:t>entovi kopii této smlouvy nebo potvrzení pojišťovny o sjednaném pojištění. Poradce je povinen být v uvedeném rozsahu pojištěn po celou dobu trvání této smlouvy a na základě výzvy klienta je povinen předložit potvrzení o trvání pojištění.</w:t>
      </w:r>
    </w:p>
    <w:p w:rsidR="00A04BC7" w:rsidRPr="00216F21" w:rsidRDefault="00216F21">
      <w:pPr>
        <w:numPr>
          <w:ilvl w:val="0"/>
          <w:numId w:val="5"/>
        </w:numPr>
        <w:ind w:right="9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>Poradce odpovídá k</w:t>
      </w:r>
      <w:r w:rsidRPr="00216F21">
        <w:rPr>
          <w:rFonts w:asciiTheme="minorHAnsi" w:hAnsiTheme="minorHAnsi" w:cstheme="minorHAnsi"/>
          <w:szCs w:val="24"/>
        </w:rPr>
        <w:t xml:space="preserve">lientovi za škodu, která mu vznikne v důsledku jeho pochybení, nečinnosti nebo jiného vadného </w:t>
      </w:r>
      <w:proofErr w:type="gramStart"/>
      <w:r w:rsidRPr="00216F21">
        <w:rPr>
          <w:rFonts w:asciiTheme="minorHAnsi" w:hAnsiTheme="minorHAnsi" w:cstheme="minorHAnsi"/>
          <w:szCs w:val="24"/>
        </w:rPr>
        <w:t>plnění</w:t>
      </w:r>
      <w:proofErr w:type="gramEnd"/>
      <w:r w:rsidRPr="00216F21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A04BC7" w:rsidRPr="00216F21" w:rsidRDefault="00216F21">
      <w:pPr>
        <w:numPr>
          <w:ilvl w:val="0"/>
          <w:numId w:val="5"/>
        </w:numPr>
        <w:ind w:right="9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>Tato Smlouva je uzavírána na dobu neurčitou. Každá Smluvní strana může Smlouvu i před jejím skončením jednostranně v</w:t>
      </w:r>
      <w:r w:rsidRPr="00216F21">
        <w:rPr>
          <w:rFonts w:asciiTheme="minorHAnsi" w:hAnsiTheme="minorHAnsi" w:cstheme="minorHAnsi"/>
          <w:szCs w:val="24"/>
        </w:rPr>
        <w:t>ypovědět i bez udání důvodů. Výpovědní doba činí jeden měsíc. Závazek chránit informace dle čl. V. trvá i po skončení účinnosti Smlouvy, stejně tak jako odpovědnost Poradce za jím doposud poskytnutou činnost.</w:t>
      </w:r>
    </w:p>
    <w:p w:rsidR="00A04BC7" w:rsidRPr="00216F21" w:rsidRDefault="00216F21">
      <w:pPr>
        <w:numPr>
          <w:ilvl w:val="0"/>
          <w:numId w:val="5"/>
        </w:numPr>
        <w:spacing w:after="76"/>
        <w:ind w:right="9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>Ustanovení této Smlouvy lze měnit a doplňovat p</w:t>
      </w:r>
      <w:r w:rsidRPr="00216F21">
        <w:rPr>
          <w:rFonts w:asciiTheme="minorHAnsi" w:hAnsiTheme="minorHAnsi" w:cstheme="minorHAnsi"/>
          <w:szCs w:val="24"/>
        </w:rPr>
        <w:t>ouze formou písemných dodatků podepsaných oběma Smluvními stranami.</w:t>
      </w:r>
    </w:p>
    <w:p w:rsidR="00A04BC7" w:rsidRPr="00216F21" w:rsidRDefault="00216F21">
      <w:pPr>
        <w:numPr>
          <w:ilvl w:val="0"/>
          <w:numId w:val="5"/>
        </w:numPr>
        <w:ind w:right="9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obdrží po (1) jednom vyhotovení Smlouvy.</w:t>
      </w:r>
    </w:p>
    <w:p w:rsidR="00A04BC7" w:rsidRPr="00216F21" w:rsidRDefault="00216F21">
      <w:pPr>
        <w:numPr>
          <w:ilvl w:val="0"/>
          <w:numId w:val="5"/>
        </w:numPr>
        <w:spacing w:after="71"/>
        <w:ind w:right="9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>Pokud by tato Smlouva trpěla právními vad</w:t>
      </w:r>
      <w:r w:rsidRPr="00216F21">
        <w:rPr>
          <w:rFonts w:asciiTheme="minorHAnsi" w:hAnsiTheme="minorHAnsi" w:cstheme="minorHAnsi"/>
          <w:szCs w:val="24"/>
        </w:rPr>
        <w:t>ami, zejména pokud by některé z jejích ustanovení bylo v rozporu s českým právním řádem, v důsledku čehož by mohla být posuzována jako neplatná, považuje se toto ustanovení za samostatné a Smlouva se posuzuje, jako by takové ustanovení nikdy neobsahovala.</w:t>
      </w:r>
    </w:p>
    <w:p w:rsidR="00A04BC7" w:rsidRPr="00216F21" w:rsidRDefault="00216F21">
      <w:pPr>
        <w:numPr>
          <w:ilvl w:val="0"/>
          <w:numId w:val="5"/>
        </w:numPr>
        <w:spacing w:after="51"/>
        <w:ind w:right="9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szCs w:val="24"/>
        </w:rPr>
        <w:t>Smluvní strany této Smlouvy se zavazují, že v případě sporů o obsah a plnění této Smlouvy vynaloží veškeré úsilí, které lze spravedlivě požadovat k tomu, aby byly tyto spory vyřešeny smírnou cestou, zejména aby byly odstraněny okolnosti vedoucí ke vzniku p</w:t>
      </w:r>
      <w:r w:rsidRPr="00216F21">
        <w:rPr>
          <w:rFonts w:asciiTheme="minorHAnsi" w:hAnsiTheme="minorHAnsi" w:cstheme="minorHAnsi"/>
          <w:szCs w:val="24"/>
        </w:rPr>
        <w:t>ráva od Smlouvy odstoupit, nebo způsobují neplatnost.</w:t>
      </w:r>
    </w:p>
    <w:tbl>
      <w:tblPr>
        <w:tblStyle w:val="TableGrid"/>
        <w:tblpPr w:vertAnchor="text" w:horzAnchor="margin" w:tblpXSpec="center" w:tblpY="2136"/>
        <w:tblOverlap w:val="never"/>
        <w:tblW w:w="731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3408"/>
      </w:tblGrid>
      <w:tr w:rsidR="00216F21" w:rsidRPr="00216F21" w:rsidTr="00216F21">
        <w:trPr>
          <w:trHeight w:val="399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</w:tcPr>
          <w:p w:rsidR="00216F21" w:rsidRPr="00216F21" w:rsidRDefault="00216F21" w:rsidP="00216F21">
            <w:pPr>
              <w:spacing w:after="0" w:line="259" w:lineRule="auto"/>
              <w:ind w:left="566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216F21">
              <w:rPr>
                <w:rFonts w:asciiTheme="minorHAnsi" w:hAnsiTheme="minorHAnsi" w:cstheme="minorHAnsi"/>
                <w:szCs w:val="24"/>
              </w:rPr>
              <w:t>vlastnor</w:t>
            </w:r>
            <w:r>
              <w:rPr>
                <w:rFonts w:asciiTheme="minorHAnsi" w:hAnsiTheme="minorHAnsi" w:cstheme="minorHAnsi"/>
                <w:szCs w:val="24"/>
              </w:rPr>
              <w:t>u</w:t>
            </w:r>
            <w:r w:rsidRPr="00216F21">
              <w:rPr>
                <w:rFonts w:asciiTheme="minorHAnsi" w:hAnsiTheme="minorHAnsi" w:cstheme="minorHAnsi"/>
                <w:szCs w:val="24"/>
              </w:rPr>
              <w:t>ční podpis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:rsidR="00216F21" w:rsidRPr="00216F21" w:rsidRDefault="00216F21" w:rsidP="00216F21">
            <w:pPr>
              <w:spacing w:after="0" w:line="259" w:lineRule="auto"/>
              <w:ind w:left="0" w:right="226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216F21">
              <w:rPr>
                <w:rFonts w:asciiTheme="minorHAnsi" w:hAnsiTheme="minorHAnsi" w:cstheme="minorHAnsi"/>
                <w:szCs w:val="24"/>
              </w:rPr>
              <w:t>vlastnoruční podpis</w:t>
            </w:r>
          </w:p>
        </w:tc>
      </w:tr>
      <w:tr w:rsidR="00216F21" w:rsidRPr="00216F21" w:rsidTr="00216F21">
        <w:trPr>
          <w:trHeight w:val="702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</w:tcPr>
          <w:p w:rsidR="00216F21" w:rsidRPr="00216F21" w:rsidRDefault="00216F21" w:rsidP="00216F21">
            <w:pPr>
              <w:tabs>
                <w:tab w:val="center" w:pos="1068"/>
                <w:tab w:val="center" w:pos="2105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:rsidR="00216F21" w:rsidRPr="00216F21" w:rsidRDefault="00216F21" w:rsidP="00216F21">
            <w:pPr>
              <w:spacing w:after="0" w:line="259" w:lineRule="auto"/>
              <w:ind w:left="0" w:right="134" w:firstLine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A04BC7" w:rsidRPr="00216F21" w:rsidRDefault="00216F21">
      <w:pPr>
        <w:numPr>
          <w:ilvl w:val="0"/>
          <w:numId w:val="5"/>
        </w:numPr>
        <w:spacing w:after="1959"/>
        <w:ind w:right="9"/>
        <w:rPr>
          <w:rFonts w:asciiTheme="minorHAnsi" w:hAnsiTheme="minorHAnsi" w:cstheme="minorHAnsi"/>
          <w:szCs w:val="24"/>
        </w:rPr>
      </w:pPr>
      <w:r w:rsidRPr="00216F21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-6095</wp:posOffset>
            </wp:positionH>
            <wp:positionV relativeFrom="paragraph">
              <wp:posOffset>2901997</wp:posOffset>
            </wp:positionV>
            <wp:extent cx="5694047" cy="905299"/>
            <wp:effectExtent l="0" t="0" r="0" b="0"/>
            <wp:wrapSquare wrapText="bothSides"/>
            <wp:docPr id="23558" name="Picture 23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8" name="Picture 2355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94047" cy="905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F21">
        <w:rPr>
          <w:rFonts w:asciiTheme="minorHAnsi" w:hAnsiTheme="minorHAnsi" w:cstheme="minorHAnsi"/>
          <w:szCs w:val="24"/>
        </w:rPr>
        <w:t>Tato smlouva bude zveřejněna v registru smluv dle zákona č. 340/2015 Sb., o zvláštních podmínkách účinnosti některých smluv, uveřejňování těchto smluv a o registru smluv (zákon o registru smluv) a to bez uvedení citlivých údajů (obcho</w:t>
      </w:r>
      <w:r w:rsidRPr="00216F21">
        <w:rPr>
          <w:rFonts w:asciiTheme="minorHAnsi" w:hAnsiTheme="minorHAnsi" w:cstheme="minorHAnsi"/>
          <w:szCs w:val="24"/>
        </w:rPr>
        <w:t xml:space="preserve">dní tajemství, osobní údaje). </w:t>
      </w:r>
      <w:r w:rsidRPr="00216F21">
        <w:rPr>
          <w:rFonts w:asciiTheme="minorHAnsi" w:hAnsiTheme="minorHAnsi" w:cstheme="minorHAnsi"/>
          <w:szCs w:val="24"/>
        </w:rPr>
        <w:t>Z</w:t>
      </w:r>
      <w:r w:rsidRPr="00216F21">
        <w:rPr>
          <w:rFonts w:asciiTheme="minorHAnsi" w:hAnsiTheme="minorHAnsi" w:cstheme="minorHAnsi"/>
          <w:szCs w:val="24"/>
        </w:rPr>
        <w:t>veřejnění smlouvy zajistí Poradce.</w:t>
      </w:r>
    </w:p>
    <w:tbl>
      <w:tblPr>
        <w:tblStyle w:val="TableGrid"/>
        <w:tblW w:w="7090" w:type="dxa"/>
        <w:tblInd w:w="-38" w:type="dxa"/>
        <w:tblCellMar>
          <w:top w:w="15" w:type="dxa"/>
          <w:left w:w="0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2477"/>
      </w:tblGrid>
      <w:tr w:rsidR="00A04BC7" w:rsidRPr="00216F21">
        <w:trPr>
          <w:trHeight w:val="400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A04BC7" w:rsidRPr="00216F21" w:rsidRDefault="00216F21">
            <w:pPr>
              <w:spacing w:after="0" w:line="259" w:lineRule="auto"/>
              <w:ind w:left="1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216F21">
              <w:rPr>
                <w:rFonts w:asciiTheme="minorHAnsi" w:hAnsiTheme="minorHAnsi" w:cstheme="minorHAnsi"/>
                <w:szCs w:val="24"/>
              </w:rPr>
              <w:t xml:space="preserve">V Praze, dne 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A04BC7" w:rsidRPr="00216F21" w:rsidRDefault="00216F21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216F21">
              <w:rPr>
                <w:rFonts w:asciiTheme="minorHAnsi" w:hAnsiTheme="minorHAnsi" w:cstheme="minorHAnsi"/>
                <w:szCs w:val="24"/>
              </w:rPr>
              <w:t>V Praze, dne</w:t>
            </w:r>
          </w:p>
        </w:tc>
      </w:tr>
      <w:tr w:rsidR="00A04BC7" w:rsidRPr="00216F21">
        <w:trPr>
          <w:trHeight w:val="373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BC7" w:rsidRPr="00216F21" w:rsidRDefault="00216F21">
            <w:pPr>
              <w:spacing w:after="0" w:line="259" w:lineRule="auto"/>
              <w:ind w:left="24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216F21">
              <w:rPr>
                <w:rFonts w:asciiTheme="minorHAnsi" w:hAnsiTheme="minorHAnsi" w:cstheme="minorHAnsi"/>
                <w:szCs w:val="24"/>
              </w:rPr>
              <w:t>Ing. Radovan Hauk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BC7" w:rsidRPr="00216F21" w:rsidRDefault="00216F21">
            <w:pPr>
              <w:spacing w:after="0" w:line="259" w:lineRule="auto"/>
              <w:ind w:left="10" w:right="0" w:firstLine="0"/>
              <w:rPr>
                <w:rFonts w:asciiTheme="minorHAnsi" w:hAnsiTheme="minorHAnsi" w:cstheme="minorHAnsi"/>
                <w:szCs w:val="24"/>
              </w:rPr>
            </w:pPr>
            <w:r w:rsidRPr="00216F21">
              <w:rPr>
                <w:rFonts w:asciiTheme="minorHAnsi" w:hAnsiTheme="minorHAnsi" w:cstheme="minorHAnsi"/>
                <w:szCs w:val="24"/>
              </w:rPr>
              <w:t>PhDr. Romana Bukovská</w:t>
            </w:r>
          </w:p>
        </w:tc>
      </w:tr>
      <w:tr w:rsidR="00A04BC7" w:rsidRPr="00216F21">
        <w:trPr>
          <w:trHeight w:val="250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A04BC7" w:rsidRPr="00216F21" w:rsidRDefault="00216F21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216F21">
              <w:rPr>
                <w:rFonts w:asciiTheme="minorHAnsi" w:hAnsiTheme="minorHAnsi" w:cstheme="minorHAnsi"/>
                <w:szCs w:val="24"/>
              </w:rPr>
              <w:t>jednatel BDO Advisory s.r.o.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A04BC7" w:rsidRPr="00216F21" w:rsidRDefault="00216F21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216F21">
              <w:rPr>
                <w:rFonts w:asciiTheme="minorHAnsi" w:hAnsiTheme="minorHAnsi" w:cstheme="minorHAnsi"/>
                <w:szCs w:val="24"/>
              </w:rPr>
              <w:t>ředitelka školy</w:t>
            </w:r>
          </w:p>
        </w:tc>
      </w:tr>
    </w:tbl>
    <w:p w:rsidR="00A04BC7" w:rsidRPr="00216F21" w:rsidRDefault="00A04BC7">
      <w:pPr>
        <w:spacing w:after="0" w:line="259" w:lineRule="auto"/>
        <w:ind w:left="0" w:right="91" w:firstLine="0"/>
        <w:jc w:val="right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sectPr w:rsidR="00A04BC7" w:rsidRPr="00216F21">
      <w:footerReference w:type="even" r:id="rId14"/>
      <w:footerReference w:type="default" r:id="rId15"/>
      <w:footerReference w:type="first" r:id="rId16"/>
      <w:pgSz w:w="11900" w:h="16820"/>
      <w:pgMar w:top="1440" w:right="1344" w:bottom="830" w:left="14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16F21">
      <w:pPr>
        <w:spacing w:after="0" w:line="240" w:lineRule="auto"/>
      </w:pPr>
      <w:r>
        <w:separator/>
      </w:r>
    </w:p>
  </w:endnote>
  <w:endnote w:type="continuationSeparator" w:id="0">
    <w:p w:rsidR="00000000" w:rsidRDefault="00216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BC7" w:rsidRDefault="00216F21">
    <w:pPr>
      <w:spacing w:after="0" w:line="259" w:lineRule="auto"/>
      <w:ind w:left="0" w:right="13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BC7" w:rsidRDefault="00216F21">
    <w:pPr>
      <w:spacing w:after="0" w:line="259" w:lineRule="auto"/>
      <w:ind w:left="0" w:right="13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BC7" w:rsidRDefault="00216F21">
    <w:pPr>
      <w:spacing w:after="0" w:line="259" w:lineRule="auto"/>
      <w:ind w:left="0" w:right="13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BC7" w:rsidRDefault="00A04BC7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BC7" w:rsidRDefault="00A04BC7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BC7" w:rsidRDefault="00A04BC7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16F21">
      <w:pPr>
        <w:spacing w:after="0" w:line="240" w:lineRule="auto"/>
      </w:pPr>
      <w:r>
        <w:separator/>
      </w:r>
    </w:p>
  </w:footnote>
  <w:footnote w:type="continuationSeparator" w:id="0">
    <w:p w:rsidR="00000000" w:rsidRDefault="00216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96496"/>
    <w:multiLevelType w:val="hybridMultilevel"/>
    <w:tmpl w:val="370AD440"/>
    <w:lvl w:ilvl="0" w:tplc="18AE3B80">
      <w:start w:val="2"/>
      <w:numFmt w:val="decimal"/>
      <w:lvlText w:val="%1."/>
      <w:lvlJc w:val="left"/>
      <w:pPr>
        <w:ind w:left="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EEAAB8">
      <w:start w:val="1"/>
      <w:numFmt w:val="lowerLetter"/>
      <w:lvlText w:val="%2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BCAB0C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38315A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A2F5B0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F0188E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43A60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2E22A6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58E9A8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C47C11"/>
    <w:multiLevelType w:val="hybridMultilevel"/>
    <w:tmpl w:val="D9506750"/>
    <w:lvl w:ilvl="0" w:tplc="FF26DA42">
      <w:start w:val="2"/>
      <w:numFmt w:val="decimal"/>
      <w:lvlText w:val="%1.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7C669C">
      <w:start w:val="1"/>
      <w:numFmt w:val="lowerLetter"/>
      <w:lvlText w:val="%2"/>
      <w:lvlJc w:val="left"/>
      <w:pPr>
        <w:ind w:left="1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06655C">
      <w:start w:val="1"/>
      <w:numFmt w:val="lowerRoman"/>
      <w:lvlText w:val="%3"/>
      <w:lvlJc w:val="left"/>
      <w:pPr>
        <w:ind w:left="1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3AF0BA">
      <w:start w:val="1"/>
      <w:numFmt w:val="decimal"/>
      <w:lvlText w:val="%4"/>
      <w:lvlJc w:val="left"/>
      <w:pPr>
        <w:ind w:left="2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6A71A4">
      <w:start w:val="1"/>
      <w:numFmt w:val="lowerLetter"/>
      <w:lvlText w:val="%5"/>
      <w:lvlJc w:val="left"/>
      <w:pPr>
        <w:ind w:left="3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9E4472">
      <w:start w:val="1"/>
      <w:numFmt w:val="lowerRoman"/>
      <w:lvlText w:val="%6"/>
      <w:lvlJc w:val="left"/>
      <w:pPr>
        <w:ind w:left="4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B287D2">
      <w:start w:val="1"/>
      <w:numFmt w:val="decimal"/>
      <w:lvlText w:val="%7"/>
      <w:lvlJc w:val="left"/>
      <w:pPr>
        <w:ind w:left="4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9A30E6">
      <w:start w:val="1"/>
      <w:numFmt w:val="lowerLetter"/>
      <w:lvlText w:val="%8"/>
      <w:lvlJc w:val="left"/>
      <w:pPr>
        <w:ind w:left="5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703DB4">
      <w:start w:val="1"/>
      <w:numFmt w:val="lowerRoman"/>
      <w:lvlText w:val="%9"/>
      <w:lvlJc w:val="left"/>
      <w:pPr>
        <w:ind w:left="6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E1518A"/>
    <w:multiLevelType w:val="hybridMultilevel"/>
    <w:tmpl w:val="9DF653C4"/>
    <w:lvl w:ilvl="0" w:tplc="FF785B7C">
      <w:start w:val="2"/>
      <w:numFmt w:val="decimal"/>
      <w:lvlText w:val="%1."/>
      <w:lvlJc w:val="left"/>
      <w:pPr>
        <w:ind w:left="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88ECB2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C228C4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C2FE5A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66DEAE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AEF42C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5E13F4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2C000E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D270B4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921CD1"/>
    <w:multiLevelType w:val="hybridMultilevel"/>
    <w:tmpl w:val="70A877FC"/>
    <w:lvl w:ilvl="0" w:tplc="8B62DAB2">
      <w:start w:val="2"/>
      <w:numFmt w:val="decimal"/>
      <w:lvlText w:val="%1."/>
      <w:lvlJc w:val="left"/>
      <w:pPr>
        <w:ind w:left="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109FA2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0ABE0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0E9B82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380ED6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7801CC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F0B0CC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B075FA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4CE17E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8518AE"/>
    <w:multiLevelType w:val="hybridMultilevel"/>
    <w:tmpl w:val="E37CC630"/>
    <w:lvl w:ilvl="0" w:tplc="D75C68D2">
      <w:start w:val="2"/>
      <w:numFmt w:val="decimal"/>
      <w:lvlText w:val="%1.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C67BA0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900D8A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0FE06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4228E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1C2DAC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32B402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3C1F7A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8F24A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BC7"/>
    <w:rsid w:val="00216F21"/>
    <w:rsid w:val="00A0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486E"/>
  <w15:docId w15:val="{19B8788D-4AC9-4241-9FF8-08F4BC81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17" w:lineRule="auto"/>
      <w:ind w:left="605" w:right="14" w:hanging="533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605"/>
      <w:outlineLvl w:val="0"/>
    </w:pPr>
    <w:rPr>
      <w:rFonts w:ascii="Calibri" w:eastAsia="Calibri" w:hAnsi="Calibri" w:cs="Calibri"/>
      <w:color w:val="000000"/>
      <w:sz w:val="6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86"/>
      <w:ind w:left="82" w:right="1939" w:hanging="10"/>
      <w:jc w:val="center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60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1236</Words>
  <Characters>7295</Characters>
  <Application>Microsoft Office Word</Application>
  <DocSecurity>0</DocSecurity>
  <Lines>60</Lines>
  <Paragraphs>17</Paragraphs>
  <ScaleCrop>false</ScaleCrop>
  <Company/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KM_C558-20180522123237</dc:title>
  <dc:subject/>
  <dc:creator>Petr Gabriel</dc:creator>
  <cp:keywords/>
  <cp:lastModifiedBy>Petr Gabriel</cp:lastModifiedBy>
  <cp:revision>2</cp:revision>
  <dcterms:created xsi:type="dcterms:W3CDTF">2018-05-24T10:40:00Z</dcterms:created>
  <dcterms:modified xsi:type="dcterms:W3CDTF">2018-05-24T10:40:00Z</dcterms:modified>
</cp:coreProperties>
</file>