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B3E" w:rsidRPr="00800437" w:rsidRDefault="00800437">
      <w:pPr>
        <w:spacing w:after="75" w:line="259" w:lineRule="auto"/>
        <w:ind w:left="0" w:right="24" w:firstLine="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Smlouva o poskytování poradenských služeb</w:t>
      </w:r>
    </w:p>
    <w:p w:rsidR="00A65B3E" w:rsidRPr="00800437" w:rsidRDefault="00800437">
      <w:pPr>
        <w:spacing w:after="0" w:line="259" w:lineRule="auto"/>
        <w:ind w:left="34" w:right="0" w:firstLine="0"/>
        <w:jc w:val="left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BDO Advisory s.r.o.</w:t>
      </w:r>
    </w:p>
    <w:p w:rsidR="00800437" w:rsidRDefault="00800437">
      <w:pPr>
        <w:ind w:left="47" w:right="9" w:firstLine="10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Se sídlem Karolinská 661/4, 186 00 Praha 8 </w:t>
      </w:r>
      <w:proofErr w:type="spellStart"/>
      <w:r w:rsidRPr="00800437"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č</w:t>
      </w:r>
      <w:proofErr w:type="spellEnd"/>
      <w:r w:rsidRPr="00800437">
        <w:rPr>
          <w:rFonts w:asciiTheme="minorHAnsi" w:hAnsiTheme="minorHAnsi" w:cstheme="minorHAnsi"/>
          <w:szCs w:val="24"/>
        </w:rPr>
        <w:t xml:space="preserve">: 272 44 784 zapsaná do obchodního rejstříku vedeného Městským soudem v Praze, spisová značka C 107235, jednající panem Radovanem </w:t>
      </w:r>
      <w:proofErr w:type="spellStart"/>
      <w:r w:rsidRPr="00800437">
        <w:rPr>
          <w:rFonts w:asciiTheme="minorHAnsi" w:hAnsiTheme="minorHAnsi" w:cstheme="minorHAnsi"/>
          <w:szCs w:val="24"/>
        </w:rPr>
        <w:t>Haukem</w:t>
      </w:r>
      <w:proofErr w:type="spellEnd"/>
      <w:r w:rsidRPr="00800437">
        <w:rPr>
          <w:rFonts w:asciiTheme="minorHAnsi" w:hAnsiTheme="minorHAnsi" w:cstheme="minorHAnsi"/>
          <w:szCs w:val="24"/>
        </w:rPr>
        <w:t xml:space="preserve">, jednatelem dále jen „Poradce” </w:t>
      </w:r>
    </w:p>
    <w:p w:rsidR="00800437" w:rsidRDefault="00800437">
      <w:pPr>
        <w:ind w:left="47" w:right="9" w:firstLine="10"/>
        <w:rPr>
          <w:rFonts w:asciiTheme="minorHAnsi" w:hAnsiTheme="minorHAnsi" w:cstheme="minorHAnsi"/>
          <w:szCs w:val="24"/>
        </w:rPr>
      </w:pPr>
    </w:p>
    <w:p w:rsidR="00A65B3E" w:rsidRDefault="00800437">
      <w:pPr>
        <w:ind w:left="47" w:right="9" w:firstLine="10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A</w:t>
      </w:r>
    </w:p>
    <w:p w:rsidR="00800437" w:rsidRPr="00800437" w:rsidRDefault="00800437">
      <w:pPr>
        <w:ind w:left="47" w:right="9" w:firstLine="10"/>
        <w:rPr>
          <w:rFonts w:asciiTheme="minorHAnsi" w:hAnsiTheme="minorHAnsi" w:cstheme="minorHAnsi"/>
          <w:szCs w:val="24"/>
        </w:rPr>
      </w:pPr>
    </w:p>
    <w:p w:rsidR="00A65B3E" w:rsidRPr="00800437" w:rsidRDefault="00800437">
      <w:pPr>
        <w:spacing w:after="47" w:line="216" w:lineRule="auto"/>
        <w:ind w:left="9" w:right="76" w:hanging="10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Střední </w:t>
      </w:r>
      <w:proofErr w:type="gramStart"/>
      <w:r w:rsidRPr="00800437">
        <w:rPr>
          <w:rFonts w:asciiTheme="minorHAnsi" w:hAnsiTheme="minorHAnsi" w:cstheme="minorHAnsi"/>
          <w:szCs w:val="24"/>
        </w:rPr>
        <w:t>škola - Waldorfské</w:t>
      </w:r>
      <w:proofErr w:type="gramEnd"/>
      <w:r w:rsidRPr="00800437">
        <w:rPr>
          <w:rFonts w:asciiTheme="minorHAnsi" w:hAnsiTheme="minorHAnsi" w:cstheme="minorHAnsi"/>
          <w:szCs w:val="24"/>
        </w:rPr>
        <w:t xml:space="preserve"> lyceum</w:t>
      </w:r>
    </w:p>
    <w:p w:rsidR="00800437" w:rsidRDefault="00800437">
      <w:pPr>
        <w:spacing w:after="0"/>
        <w:ind w:left="52" w:right="3581" w:hanging="5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Se sídl</w:t>
      </w:r>
      <w:r w:rsidRPr="00800437">
        <w:rPr>
          <w:rFonts w:asciiTheme="minorHAnsi" w:hAnsiTheme="minorHAnsi" w:cstheme="minorHAnsi"/>
          <w:szCs w:val="24"/>
        </w:rPr>
        <w:t>em Křejpského 1501/12, Chodov, 149 OO Praha</w:t>
      </w:r>
    </w:p>
    <w:p w:rsidR="00A65B3E" w:rsidRPr="00800437" w:rsidRDefault="00800437">
      <w:pPr>
        <w:spacing w:after="0"/>
        <w:ind w:left="52" w:right="3581" w:hanging="5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ič</w:t>
      </w:r>
      <w:proofErr w:type="spellEnd"/>
      <w:r w:rsidRPr="00800437">
        <w:rPr>
          <w:rFonts w:asciiTheme="minorHAnsi" w:hAnsiTheme="minorHAnsi" w:cstheme="minorHAnsi"/>
          <w:szCs w:val="24"/>
        </w:rPr>
        <w:t>: 71219293</w:t>
      </w:r>
    </w:p>
    <w:p w:rsidR="00A65B3E" w:rsidRPr="00800437" w:rsidRDefault="00800437">
      <w:pPr>
        <w:spacing w:after="216" w:line="355" w:lineRule="auto"/>
        <w:ind w:left="52" w:right="5098" w:hanging="5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Zastoupena: Ing. Ivan Smolka, ředitel dále jen „</w:t>
      </w:r>
      <w:proofErr w:type="spellStart"/>
      <w:r w:rsidRPr="00800437">
        <w:rPr>
          <w:rFonts w:asciiTheme="minorHAnsi" w:hAnsiTheme="minorHAnsi" w:cstheme="minorHAnsi"/>
          <w:szCs w:val="24"/>
        </w:rPr>
        <w:t>Klienť</w:t>
      </w:r>
      <w:proofErr w:type="spellEnd"/>
    </w:p>
    <w:p w:rsidR="00A65B3E" w:rsidRPr="00800437" w:rsidRDefault="00800437">
      <w:pPr>
        <w:spacing w:after="452"/>
        <w:ind w:left="47" w:right="9" w:firstLine="5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Poradce a Klient (dále společně jen "</w:t>
      </w:r>
      <w:proofErr w:type="spellStart"/>
      <w:r w:rsidRPr="00800437">
        <w:rPr>
          <w:rFonts w:asciiTheme="minorHAnsi" w:hAnsiTheme="minorHAnsi" w:cstheme="minorHAnsi"/>
          <w:szCs w:val="24"/>
        </w:rPr>
        <w:t>SmIuvní</w:t>
      </w:r>
      <w:proofErr w:type="spellEnd"/>
      <w:r w:rsidRPr="00800437">
        <w:rPr>
          <w:rFonts w:asciiTheme="minorHAnsi" w:hAnsiTheme="minorHAnsi" w:cstheme="minorHAnsi"/>
          <w:szCs w:val="24"/>
        </w:rPr>
        <w:t xml:space="preserve"> strany”) uzavírají tuto Smlouvu o poradenské činnosti (dále jen "Smlouva”) ve smyslu ustanovení S 1</w:t>
      </w:r>
      <w:r w:rsidRPr="00800437">
        <w:rPr>
          <w:rFonts w:asciiTheme="minorHAnsi" w:hAnsiTheme="minorHAnsi" w:cstheme="minorHAnsi"/>
          <w:szCs w:val="24"/>
        </w:rPr>
        <w:t xml:space="preserve"> 746 odst. 2. zákona č. 89/2012 Sb., občanský zákoník, ve znění pozdějších předpisů (dále jen "Občanský zákoník”)</w:t>
      </w:r>
    </w:p>
    <w:p w:rsidR="00A65B3E" w:rsidRPr="00800437" w:rsidRDefault="00800437">
      <w:pPr>
        <w:spacing w:after="3" w:line="259" w:lineRule="auto"/>
        <w:ind w:left="34" w:right="101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Článek l.</w:t>
      </w:r>
    </w:p>
    <w:p w:rsidR="00A65B3E" w:rsidRPr="00800437" w:rsidRDefault="00800437">
      <w:pPr>
        <w:pStyle w:val="Nadpis1"/>
        <w:spacing w:after="34"/>
        <w:ind w:left="10" w:right="67"/>
        <w:rPr>
          <w:rFonts w:asciiTheme="minorHAnsi" w:hAnsiTheme="minorHAnsi" w:cstheme="minorHAnsi"/>
          <w:sz w:val="24"/>
          <w:szCs w:val="24"/>
        </w:rPr>
      </w:pPr>
      <w:r w:rsidRPr="00800437">
        <w:rPr>
          <w:rFonts w:asciiTheme="minorHAnsi" w:hAnsiTheme="minorHAnsi" w:cstheme="minorHAnsi"/>
          <w:sz w:val="24"/>
          <w:szCs w:val="24"/>
        </w:rPr>
        <w:t>Předmět Smlouvy</w:t>
      </w:r>
    </w:p>
    <w:p w:rsidR="00A65B3E" w:rsidRPr="00800437" w:rsidRDefault="00800437">
      <w:pPr>
        <w:spacing w:after="100" w:line="228" w:lineRule="auto"/>
        <w:ind w:left="14" w:right="67" w:firstLine="82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1 Poradce se zavazuje za podmínek stanovených touto Smlouvou zajistit pro Klienta činnosti v oblastech specifikovaných dále v čl. II. této Smlouvy v rozsahu smluveném s Klientem dle jeho konkrétních potřeb.</w:t>
      </w:r>
    </w:p>
    <w:p w:rsidR="00A65B3E" w:rsidRPr="00800437" w:rsidRDefault="00800437">
      <w:pPr>
        <w:numPr>
          <w:ilvl w:val="0"/>
          <w:numId w:val="1"/>
        </w:numPr>
        <w:spacing w:after="77"/>
        <w:ind w:right="82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Klient se zavazuje zaplatit Poradci za jím proved</w:t>
      </w:r>
      <w:r w:rsidRPr="00800437">
        <w:rPr>
          <w:rFonts w:asciiTheme="minorHAnsi" w:hAnsiTheme="minorHAnsi" w:cstheme="minorHAnsi"/>
          <w:szCs w:val="24"/>
        </w:rPr>
        <w:t>ené činnosti podle této Smlouvy, odměnu stanovenou dále v čl. IV. této Smlouvy a poskytovat Poradci veškerou součinnost potřebnou pro výkon sjednané činnosti podle této smlouvy.</w:t>
      </w:r>
    </w:p>
    <w:p w:rsidR="00A65B3E" w:rsidRPr="00800437" w:rsidRDefault="00800437">
      <w:pPr>
        <w:numPr>
          <w:ilvl w:val="0"/>
          <w:numId w:val="1"/>
        </w:numPr>
        <w:spacing w:after="464"/>
        <w:ind w:right="82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Poradce prohlašuje, že je odborně způsobilou osobou k výkonu sjednaných činnos</w:t>
      </w:r>
      <w:r w:rsidRPr="00800437">
        <w:rPr>
          <w:rFonts w:asciiTheme="minorHAnsi" w:hAnsiTheme="minorHAnsi" w:cstheme="minorHAnsi"/>
          <w:szCs w:val="24"/>
        </w:rPr>
        <w:t>tí podle této smlouvy, má odborné znalosti práva a praxi v oblasti ochrany osobních údajů a je schopen zajistit plnění úkolů konkrétně jmenovaného Pověřence pro ochranu osobních údajů.</w:t>
      </w:r>
    </w:p>
    <w:p w:rsidR="00A65B3E" w:rsidRPr="00800437" w:rsidRDefault="00800437">
      <w:pPr>
        <w:spacing w:after="3" w:line="259" w:lineRule="auto"/>
        <w:ind w:left="34" w:right="110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00437">
        <w:rPr>
          <w:rFonts w:asciiTheme="minorHAnsi" w:hAnsiTheme="minorHAnsi" w:cstheme="minorHAnsi"/>
          <w:szCs w:val="24"/>
        </w:rPr>
        <w:t>Il</w:t>
      </w:r>
      <w:proofErr w:type="spellEnd"/>
      <w:r w:rsidRPr="00800437">
        <w:rPr>
          <w:rFonts w:asciiTheme="minorHAnsi" w:hAnsiTheme="minorHAnsi" w:cstheme="minorHAnsi"/>
          <w:szCs w:val="24"/>
        </w:rPr>
        <w:t>.</w:t>
      </w:r>
    </w:p>
    <w:p w:rsidR="00A65B3E" w:rsidRPr="00800437" w:rsidRDefault="00800437">
      <w:pPr>
        <w:spacing w:after="3" w:line="259" w:lineRule="auto"/>
        <w:ind w:left="34" w:right="96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Poskytované služby</w:t>
      </w:r>
    </w:p>
    <w:p w:rsidR="00A65B3E" w:rsidRPr="00800437" w:rsidRDefault="00800437">
      <w:pPr>
        <w:spacing w:after="47" w:line="216" w:lineRule="auto"/>
        <w:ind w:left="715" w:right="76" w:hanging="336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1. </w:t>
      </w:r>
      <w:r w:rsidRPr="00800437">
        <w:rPr>
          <w:rFonts w:asciiTheme="minorHAnsi" w:hAnsiTheme="minorHAnsi" w:cstheme="minorHAnsi"/>
          <w:szCs w:val="24"/>
        </w:rPr>
        <w:t>Poradce se zavazuje poskytovat, dle té</w:t>
      </w:r>
      <w:r w:rsidRPr="00800437">
        <w:rPr>
          <w:rFonts w:asciiTheme="minorHAnsi" w:hAnsiTheme="minorHAnsi" w:cstheme="minorHAnsi"/>
          <w:szCs w:val="24"/>
        </w:rPr>
        <w:t>to Smlouvy, Klientovi poradenskou činnost a služby související s implementací a dodržováním nařízením Evropského parlamentu a Rady EU (2016/679) ze dne 27. dubna 2016 0 ochraně fyzických osob v souvislosti se zpracováním osobních údajů a o volném pohybu tě</w:t>
      </w:r>
      <w:r w:rsidRPr="00800437">
        <w:rPr>
          <w:rFonts w:asciiTheme="minorHAnsi" w:hAnsiTheme="minorHAnsi" w:cstheme="minorHAnsi"/>
          <w:szCs w:val="24"/>
        </w:rPr>
        <w:t>chto údajů a o zrušení směrnice 95/46/ES (dále také „GDPR"), spočívající zejména v poskytnutí:</w:t>
      </w:r>
    </w:p>
    <w:p w:rsidR="00A65B3E" w:rsidRPr="00800437" w:rsidRDefault="00800437">
      <w:pPr>
        <w:spacing w:after="61"/>
        <w:ind w:left="1411" w:right="9" w:hanging="422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22319" name="Picture 22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9" name="Picture 223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437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A65B3E" w:rsidRPr="00800437" w:rsidRDefault="00800437">
      <w:pPr>
        <w:spacing w:after="47" w:line="216" w:lineRule="auto"/>
        <w:ind w:left="1412" w:right="76" w:hanging="418"/>
        <w:rPr>
          <w:rFonts w:asciiTheme="minorHAnsi" w:hAnsiTheme="minorHAnsi" w:cstheme="minorHAnsi"/>
          <w:szCs w:val="24"/>
        </w:rPr>
      </w:pPr>
      <w:proofErr w:type="spellStart"/>
      <w:r w:rsidRPr="00800437">
        <w:rPr>
          <w:rFonts w:asciiTheme="minorHAnsi" w:hAnsiTheme="minorHAnsi" w:cstheme="minorHAnsi"/>
          <w:szCs w:val="24"/>
        </w:rPr>
        <w:t>ii</w:t>
      </w:r>
      <w:proofErr w:type="spellEnd"/>
      <w:r w:rsidRPr="00800437">
        <w:rPr>
          <w:rFonts w:asciiTheme="minorHAnsi" w:hAnsiTheme="minorHAnsi" w:cstheme="minorHAnsi"/>
          <w:szCs w:val="24"/>
        </w:rPr>
        <w:t>. nezbytné součinnosti při odstraňování ná</w:t>
      </w:r>
      <w:r w:rsidRPr="00800437">
        <w:rPr>
          <w:rFonts w:asciiTheme="minorHAnsi" w:hAnsiTheme="minorHAnsi" w:cstheme="minorHAnsi"/>
          <w:szCs w:val="24"/>
        </w:rPr>
        <w:t>lezů popsaných ve zprávě Zpráva nezávislého auditora o ověření shody s požadavky GDPR;</w:t>
      </w:r>
    </w:p>
    <w:p w:rsidR="00A65B3E" w:rsidRPr="00800437" w:rsidRDefault="00800437">
      <w:pPr>
        <w:numPr>
          <w:ilvl w:val="0"/>
          <w:numId w:val="2"/>
        </w:numPr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lastRenderedPageBreak/>
        <w:t>Poradce se zavazuje, dle této Smlouvy, Klientovi poskytnout e-learningové školení zaměstnanců v oblasti GDPR.</w:t>
      </w:r>
    </w:p>
    <w:p w:rsidR="00A65B3E" w:rsidRPr="00800437" w:rsidRDefault="00800437">
      <w:pPr>
        <w:numPr>
          <w:ilvl w:val="0"/>
          <w:numId w:val="2"/>
        </w:numPr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Smluvní strany se dohodly, že jakékoli rozšíření služeb pos</w:t>
      </w:r>
      <w:r w:rsidRPr="00800437">
        <w:rPr>
          <w:rFonts w:asciiTheme="minorHAnsi" w:hAnsiTheme="minorHAnsi" w:cstheme="minorHAnsi"/>
          <w:szCs w:val="24"/>
        </w:rPr>
        <w:t>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A65B3E" w:rsidRPr="00800437" w:rsidRDefault="00800437">
      <w:pPr>
        <w:numPr>
          <w:ilvl w:val="0"/>
          <w:numId w:val="2"/>
        </w:numPr>
        <w:spacing w:after="457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Za rozšíření služeb podle této smlouvy se</w:t>
      </w:r>
      <w:r w:rsidRPr="00800437">
        <w:rPr>
          <w:rFonts w:asciiTheme="minorHAnsi" w:hAnsiTheme="minorHAnsi" w:cstheme="minorHAnsi"/>
          <w:szCs w:val="24"/>
        </w:rPr>
        <w:t xml:space="preserve"> nepovažuje posouzení shody činností klienta s doposud platnými právními předpisy nebo v budoucnu přijatými vnitrostátními právními předpisy nebo předpisy EU upravujícími ochranu osobních údajů a případně schválenými a závaznými kodexy chování dle článku 4</w:t>
      </w:r>
      <w:r w:rsidRPr="00800437">
        <w:rPr>
          <w:rFonts w:asciiTheme="minorHAnsi" w:hAnsiTheme="minorHAnsi" w:cstheme="minorHAnsi"/>
          <w:szCs w:val="24"/>
        </w:rPr>
        <w:t>0 obecného nařízení o ochraně osobních údajů.</w:t>
      </w:r>
    </w:p>
    <w:p w:rsidR="00A65B3E" w:rsidRPr="00800437" w:rsidRDefault="00800437">
      <w:pPr>
        <w:spacing w:after="3" w:line="259" w:lineRule="auto"/>
        <w:ind w:left="34" w:right="0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00437">
        <w:rPr>
          <w:rFonts w:asciiTheme="minorHAnsi" w:hAnsiTheme="minorHAnsi" w:cstheme="minorHAnsi"/>
          <w:szCs w:val="24"/>
        </w:rPr>
        <w:t>Ill</w:t>
      </w:r>
      <w:proofErr w:type="spellEnd"/>
      <w:r w:rsidRPr="00800437">
        <w:rPr>
          <w:rFonts w:asciiTheme="minorHAnsi" w:hAnsiTheme="minorHAnsi" w:cstheme="minorHAnsi"/>
          <w:szCs w:val="24"/>
        </w:rPr>
        <w:t>.</w:t>
      </w:r>
    </w:p>
    <w:p w:rsidR="00A65B3E" w:rsidRPr="00800437" w:rsidRDefault="00800437">
      <w:pPr>
        <w:spacing w:after="3" w:line="259" w:lineRule="auto"/>
        <w:ind w:left="34" w:right="0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Práva a povinnosti Smluvních stran</w:t>
      </w:r>
    </w:p>
    <w:p w:rsidR="00A65B3E" w:rsidRPr="00800437" w:rsidRDefault="00800437">
      <w:pPr>
        <w:ind w:left="585"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6685"/>
            <wp:effectExtent l="0" t="0" r="0" b="0"/>
            <wp:docPr id="22322" name="Picture 22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2" name="Picture 223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437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A65B3E" w:rsidRPr="00800437" w:rsidRDefault="00800437">
      <w:pPr>
        <w:numPr>
          <w:ilvl w:val="0"/>
          <w:numId w:val="3"/>
        </w:numPr>
        <w:spacing w:after="43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800437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A65B3E" w:rsidRPr="00800437" w:rsidRDefault="00800437">
      <w:pPr>
        <w:numPr>
          <w:ilvl w:val="0"/>
          <w:numId w:val="3"/>
        </w:numPr>
        <w:spacing w:after="65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A65B3E" w:rsidRPr="00800437" w:rsidRDefault="00800437">
      <w:pPr>
        <w:numPr>
          <w:ilvl w:val="0"/>
          <w:numId w:val="3"/>
        </w:numPr>
        <w:spacing w:after="139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Poradce je povinen vykonávat či</w:t>
      </w:r>
      <w:r w:rsidRPr="00800437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A65B3E" w:rsidRPr="00800437" w:rsidRDefault="00800437">
      <w:pPr>
        <w:numPr>
          <w:ilvl w:val="0"/>
          <w:numId w:val="3"/>
        </w:numPr>
        <w:spacing w:after="82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A65B3E" w:rsidRPr="00800437" w:rsidRDefault="00800437">
      <w:pPr>
        <w:numPr>
          <w:ilvl w:val="0"/>
          <w:numId w:val="3"/>
        </w:numPr>
        <w:spacing w:after="480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800437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800437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A65B3E" w:rsidRPr="00800437" w:rsidRDefault="00800437">
      <w:pPr>
        <w:spacing w:after="32"/>
        <w:ind w:left="595" w:right="9" w:firstLine="0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Kontaktní osobou na straně P</w:t>
      </w:r>
      <w:r w:rsidRPr="00800437">
        <w:rPr>
          <w:rFonts w:asciiTheme="minorHAnsi" w:hAnsiTheme="minorHAnsi" w:cstheme="minorHAnsi"/>
          <w:szCs w:val="24"/>
        </w:rPr>
        <w:t>oradce je:</w:t>
      </w:r>
    </w:p>
    <w:p w:rsidR="00A65B3E" w:rsidRPr="00800437" w:rsidRDefault="00800437">
      <w:pPr>
        <w:spacing w:after="491" w:line="259" w:lineRule="auto"/>
        <w:ind w:left="571" w:right="0" w:firstLine="0"/>
        <w:jc w:val="left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48394" cy="707170"/>
            <wp:effectExtent l="0" t="0" r="0" b="0"/>
            <wp:docPr id="22324" name="Picture 22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4" name="Picture 223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8394" cy="7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3E" w:rsidRPr="00800437" w:rsidRDefault="00800437">
      <w:pPr>
        <w:spacing w:after="32"/>
        <w:ind w:left="600" w:right="9" w:firstLine="0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Kontaktní osobou na straně Klienta je:</w:t>
      </w:r>
    </w:p>
    <w:p w:rsidR="00A65B3E" w:rsidRPr="00800437" w:rsidRDefault="00800437">
      <w:pPr>
        <w:spacing w:after="0" w:line="259" w:lineRule="auto"/>
        <w:ind w:left="528" w:right="0" w:firstLine="0"/>
        <w:jc w:val="left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52033" cy="688880"/>
            <wp:effectExtent l="0" t="0" r="0" b="0"/>
            <wp:docPr id="22326" name="Picture 22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6" name="Picture 223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033" cy="6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3E" w:rsidRPr="00800437" w:rsidRDefault="00800437">
      <w:pPr>
        <w:spacing w:after="3" w:line="259" w:lineRule="auto"/>
        <w:ind w:left="34" w:right="125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Článek IV.</w:t>
      </w:r>
    </w:p>
    <w:p w:rsidR="00A65B3E" w:rsidRPr="00800437" w:rsidRDefault="00800437">
      <w:pPr>
        <w:pStyle w:val="Nadpis1"/>
        <w:ind w:left="10" w:right="91"/>
        <w:rPr>
          <w:rFonts w:asciiTheme="minorHAnsi" w:hAnsiTheme="minorHAnsi" w:cstheme="minorHAnsi"/>
          <w:sz w:val="24"/>
          <w:szCs w:val="24"/>
        </w:rPr>
      </w:pPr>
      <w:r w:rsidRPr="00800437">
        <w:rPr>
          <w:rFonts w:asciiTheme="minorHAnsi" w:hAnsiTheme="minorHAnsi" w:cstheme="minorHAnsi"/>
          <w:sz w:val="24"/>
          <w:szCs w:val="24"/>
        </w:rPr>
        <w:lastRenderedPageBreak/>
        <w:t>Odměna a náhrada nákladů</w:t>
      </w:r>
    </w:p>
    <w:p w:rsidR="00A65B3E" w:rsidRPr="00800437" w:rsidRDefault="00800437">
      <w:pPr>
        <w:ind w:left="585"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3637"/>
            <wp:effectExtent l="0" t="0" r="0" b="0"/>
            <wp:docPr id="22330" name="Picture 2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0" name="Picture 223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437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00437">
        <w:rPr>
          <w:rFonts w:asciiTheme="minorHAnsi" w:hAnsiTheme="minorHAnsi" w:cstheme="minorHAnsi"/>
          <w:szCs w:val="24"/>
        </w:rPr>
        <w:t>Il</w:t>
      </w:r>
      <w:proofErr w:type="spellEnd"/>
      <w:r w:rsidRPr="00800437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A65B3E" w:rsidRPr="00800437" w:rsidRDefault="00800437">
      <w:pPr>
        <w:ind w:left="1421" w:right="9" w:hanging="418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22332" name="Picture 22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2" name="Picture 223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437">
        <w:rPr>
          <w:rFonts w:asciiTheme="minorHAnsi" w:hAnsiTheme="minorHAnsi" w:cstheme="minorHAnsi"/>
          <w:szCs w:val="24"/>
        </w:rPr>
        <w:t>za služby provedené dle čl. II., odst. 1. této Smlouvy jednorázovou odměnu v celkové výši 14 000,- Kč (bez DPH v zákonné výši) na základě faktury vystavené Poradcem se splatností 21 kalendářních dní ode dne doručení.</w:t>
      </w:r>
    </w:p>
    <w:p w:rsidR="00A65B3E" w:rsidRPr="00800437" w:rsidRDefault="00800437">
      <w:pPr>
        <w:ind w:left="1421" w:right="9" w:hanging="413"/>
        <w:rPr>
          <w:rFonts w:asciiTheme="minorHAnsi" w:hAnsiTheme="minorHAnsi" w:cstheme="minorHAnsi"/>
          <w:szCs w:val="24"/>
        </w:rPr>
      </w:pPr>
      <w:proofErr w:type="spellStart"/>
      <w:r w:rsidRPr="00800437">
        <w:rPr>
          <w:rFonts w:asciiTheme="minorHAnsi" w:hAnsiTheme="minorHAnsi" w:cstheme="minorHAnsi"/>
          <w:szCs w:val="24"/>
        </w:rPr>
        <w:t>ii</w:t>
      </w:r>
      <w:proofErr w:type="spellEnd"/>
      <w:r w:rsidRPr="00800437">
        <w:rPr>
          <w:rFonts w:asciiTheme="minorHAnsi" w:hAnsiTheme="minorHAnsi" w:cstheme="minorHAnsi"/>
          <w:szCs w:val="24"/>
        </w:rPr>
        <w:t>. Za služby provedené dle čl. II., od</w:t>
      </w:r>
      <w:r w:rsidRPr="00800437">
        <w:rPr>
          <w:rFonts w:asciiTheme="minorHAnsi" w:hAnsiTheme="minorHAnsi" w:cstheme="minorHAnsi"/>
          <w:szCs w:val="24"/>
        </w:rPr>
        <w:t>st. 2. této Smlouvy jednorázovou odměnu v celkové výši 1 400,- Kč (bez DPH v zákonné výši) pro všechny zaměstnance Klienta přihlášené do e-learningového kurzu. Výše uvedené bude Klientem proplaceno na základě Poradcem vystavené faktury se splatností 21 kal</w:t>
      </w:r>
      <w:r w:rsidRPr="00800437">
        <w:rPr>
          <w:rFonts w:asciiTheme="minorHAnsi" w:hAnsiTheme="minorHAnsi" w:cstheme="minorHAnsi"/>
          <w:szCs w:val="24"/>
        </w:rPr>
        <w:t>endářních dní ode dne doručení. E-learningové školení je možné využívat neomezeně po dobu devíti měsíců od podpisu této Smlouvy.</w:t>
      </w:r>
    </w:p>
    <w:p w:rsidR="00A65B3E" w:rsidRPr="00800437" w:rsidRDefault="00800437">
      <w:pPr>
        <w:numPr>
          <w:ilvl w:val="0"/>
          <w:numId w:val="4"/>
        </w:numPr>
        <w:spacing w:after="47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</w:t>
      </w:r>
      <w:r w:rsidRPr="00800437">
        <w:rPr>
          <w:rFonts w:asciiTheme="minorHAnsi" w:hAnsiTheme="minorHAnsi" w:cstheme="minorHAnsi"/>
          <w:szCs w:val="24"/>
        </w:rPr>
        <w:t xml:space="preserve">a cestovní náhrady, běžné náklady spojené s poskytnutím služeb dle této Smlouvy (tj. tel. hovorné, </w:t>
      </w:r>
      <w:proofErr w:type="spellStart"/>
      <w:r w:rsidRPr="00800437">
        <w:rPr>
          <w:rFonts w:asciiTheme="minorHAnsi" w:hAnsiTheme="minorHAnsi" w:cstheme="minorHAnsi"/>
          <w:szCs w:val="24"/>
        </w:rPr>
        <w:t>faxovné</w:t>
      </w:r>
      <w:proofErr w:type="spellEnd"/>
      <w:r w:rsidRPr="00800437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800437">
        <w:rPr>
          <w:rFonts w:asciiTheme="minorHAnsi" w:hAnsiTheme="minorHAnsi" w:cstheme="minorHAnsi"/>
          <w:szCs w:val="24"/>
        </w:rPr>
        <w:t>fotokopírování</w:t>
      </w:r>
      <w:proofErr w:type="spellEnd"/>
      <w:r w:rsidRPr="00800437">
        <w:rPr>
          <w:rFonts w:asciiTheme="minorHAnsi" w:hAnsiTheme="minorHAnsi" w:cstheme="minorHAnsi"/>
          <w:szCs w:val="24"/>
        </w:rPr>
        <w:t>, technické nosiče, a kancelářské p</w:t>
      </w:r>
      <w:r w:rsidRPr="00800437">
        <w:rPr>
          <w:rFonts w:asciiTheme="minorHAnsi" w:hAnsiTheme="minorHAnsi" w:cstheme="minorHAnsi"/>
          <w:szCs w:val="24"/>
        </w:rPr>
        <w:t>otřeby).</w:t>
      </w:r>
    </w:p>
    <w:p w:rsidR="00A65B3E" w:rsidRPr="00800437" w:rsidRDefault="00800437">
      <w:pPr>
        <w:numPr>
          <w:ilvl w:val="0"/>
          <w:numId w:val="4"/>
        </w:numPr>
        <w:spacing w:after="14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Nebude-li Poradce řádně plnit předmět této smlouvy, je povinen uh</w:t>
      </w:r>
      <w:r w:rsidRPr="00800437">
        <w:rPr>
          <w:rFonts w:asciiTheme="minorHAnsi" w:hAnsiTheme="minorHAnsi" w:cstheme="minorHAnsi"/>
          <w:szCs w:val="24"/>
        </w:rPr>
        <w:t>radit Klientovi 1.000,-Kč denně za každý den prodlení s plněním.</w:t>
      </w:r>
    </w:p>
    <w:p w:rsidR="00A65B3E" w:rsidRPr="00800437" w:rsidRDefault="00800437">
      <w:pPr>
        <w:spacing w:after="415"/>
        <w:ind w:left="585"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4 </w:t>
      </w:r>
      <w:r w:rsidRPr="00800437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Poradci, aniž by se tím</w:t>
      </w:r>
      <w:r w:rsidRPr="00800437">
        <w:rPr>
          <w:rFonts w:asciiTheme="minorHAnsi" w:hAnsiTheme="minorHAnsi" w:cstheme="minorHAnsi"/>
          <w:szCs w:val="24"/>
        </w:rPr>
        <w:t xml:space="preserve"> Klient dostal do prodlení s úhradou faktury. Nová lhůta splatnosti počíná běžet dnem obdržení opravené nebo nově vystavené faktury. Důvod případného vrácení faktury musí být Klientem jednoznačně vymezen.</w:t>
      </w:r>
    </w:p>
    <w:p w:rsidR="00A65B3E" w:rsidRPr="00800437" w:rsidRDefault="00800437">
      <w:pPr>
        <w:spacing w:after="3" w:line="259" w:lineRule="auto"/>
        <w:ind w:left="34" w:right="67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Článek V.</w:t>
      </w:r>
    </w:p>
    <w:p w:rsidR="00A65B3E" w:rsidRPr="00800437" w:rsidRDefault="00800437">
      <w:pPr>
        <w:pStyle w:val="Nadpis1"/>
        <w:spacing w:after="50"/>
        <w:ind w:left="10" w:right="34"/>
        <w:rPr>
          <w:rFonts w:asciiTheme="minorHAnsi" w:hAnsiTheme="minorHAnsi" w:cstheme="minorHAnsi"/>
          <w:sz w:val="24"/>
          <w:szCs w:val="24"/>
        </w:rPr>
      </w:pPr>
      <w:r w:rsidRPr="00800437">
        <w:rPr>
          <w:rFonts w:asciiTheme="minorHAnsi" w:hAnsiTheme="minorHAnsi" w:cstheme="minorHAnsi"/>
          <w:sz w:val="24"/>
          <w:szCs w:val="24"/>
        </w:rPr>
        <w:t>Chráněné informace</w:t>
      </w:r>
    </w:p>
    <w:p w:rsidR="00A65B3E" w:rsidRPr="00800437" w:rsidRDefault="00800437">
      <w:pPr>
        <w:ind w:left="585"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1 </w:t>
      </w:r>
      <w:r w:rsidRPr="00800437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800437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A65B3E" w:rsidRPr="00800437" w:rsidRDefault="00800437">
      <w:pPr>
        <w:spacing w:after="465"/>
        <w:ind w:left="585"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2. </w:t>
      </w:r>
      <w:r w:rsidRPr="00800437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800437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A65B3E" w:rsidRPr="00800437" w:rsidRDefault="00800437">
      <w:pPr>
        <w:spacing w:after="3" w:line="259" w:lineRule="auto"/>
        <w:ind w:left="34" w:right="43" w:hanging="10"/>
        <w:jc w:val="center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00437">
        <w:rPr>
          <w:rFonts w:asciiTheme="minorHAnsi" w:hAnsiTheme="minorHAnsi" w:cstheme="minorHAnsi"/>
          <w:szCs w:val="24"/>
        </w:rPr>
        <w:t>Vl</w:t>
      </w:r>
      <w:proofErr w:type="spellEnd"/>
      <w:r w:rsidRPr="00800437">
        <w:rPr>
          <w:rFonts w:asciiTheme="minorHAnsi" w:hAnsiTheme="minorHAnsi" w:cstheme="minorHAnsi"/>
          <w:szCs w:val="24"/>
        </w:rPr>
        <w:t>.</w:t>
      </w:r>
    </w:p>
    <w:p w:rsidR="00A65B3E" w:rsidRPr="00800437" w:rsidRDefault="00800437">
      <w:pPr>
        <w:pStyle w:val="Nadpis1"/>
        <w:spacing w:after="95"/>
        <w:ind w:left="10" w:right="14"/>
        <w:rPr>
          <w:rFonts w:asciiTheme="minorHAnsi" w:hAnsiTheme="minorHAnsi" w:cstheme="minorHAnsi"/>
          <w:sz w:val="24"/>
          <w:szCs w:val="24"/>
        </w:rPr>
      </w:pPr>
      <w:r w:rsidRPr="00800437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A65B3E" w:rsidRPr="00800437" w:rsidRDefault="00800437">
      <w:pPr>
        <w:ind w:left="585" w:right="9"/>
        <w:rPr>
          <w:rFonts w:asciiTheme="minorHAnsi" w:hAnsiTheme="minorHAnsi" w:cstheme="minorHAnsi"/>
          <w:szCs w:val="24"/>
        </w:rPr>
      </w:pPr>
      <w:proofErr w:type="gramStart"/>
      <w:r w:rsidRPr="00800437">
        <w:rPr>
          <w:rFonts w:asciiTheme="minorHAnsi" w:hAnsiTheme="minorHAnsi" w:cstheme="minorHAnsi"/>
          <w:szCs w:val="24"/>
        </w:rPr>
        <w:t>1 .</w:t>
      </w:r>
      <w:proofErr w:type="gramEnd"/>
      <w:r w:rsidRPr="00800437">
        <w:rPr>
          <w:rFonts w:asciiTheme="minorHAnsi" w:hAnsiTheme="minorHAnsi" w:cstheme="minorHAnsi"/>
          <w:szCs w:val="24"/>
        </w:rPr>
        <w:t xml:space="preserve"> </w:t>
      </w:r>
      <w:r w:rsidRPr="00800437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800437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A65B3E" w:rsidRPr="00800437" w:rsidRDefault="00800437">
      <w:pPr>
        <w:numPr>
          <w:ilvl w:val="0"/>
          <w:numId w:val="5"/>
        </w:numPr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lastRenderedPageBreak/>
        <w:t>Tato Smlouva nabývá platnosti dnem jejího podpisu oběma Smluvními stranami a účinnosti dnem jejího řádného zveřejnění v registru smluv, které zajistí Poradce.</w:t>
      </w:r>
    </w:p>
    <w:p w:rsidR="00A65B3E" w:rsidRPr="00800437" w:rsidRDefault="00800437">
      <w:pPr>
        <w:numPr>
          <w:ilvl w:val="0"/>
          <w:numId w:val="5"/>
        </w:numPr>
        <w:spacing w:after="34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Poradce je pojištěn na š</w:t>
      </w:r>
      <w:r w:rsidRPr="00800437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800437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A65B3E" w:rsidRPr="00800437" w:rsidRDefault="00800437">
      <w:pPr>
        <w:numPr>
          <w:ilvl w:val="0"/>
          <w:numId w:val="5"/>
        </w:numPr>
        <w:spacing w:after="38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800437">
        <w:rPr>
          <w:rFonts w:asciiTheme="minorHAnsi" w:hAnsiTheme="minorHAnsi" w:cstheme="minorHAnsi"/>
          <w:szCs w:val="24"/>
        </w:rPr>
        <w:t>plnění</w:t>
      </w:r>
      <w:proofErr w:type="gramEnd"/>
      <w:r w:rsidRPr="00800437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A65B3E" w:rsidRPr="00800437" w:rsidRDefault="00800437">
      <w:pPr>
        <w:numPr>
          <w:ilvl w:val="0"/>
          <w:numId w:val="5"/>
        </w:numPr>
        <w:spacing w:after="59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Tato Smlouva je uzavírána na dobu neurčitou</w:t>
      </w:r>
      <w:r w:rsidRPr="00800437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800437">
        <w:rPr>
          <w:rFonts w:asciiTheme="minorHAnsi" w:hAnsiTheme="minorHAnsi" w:cstheme="minorHAnsi"/>
          <w:szCs w:val="24"/>
        </w:rPr>
        <w:t>osud poskytnutou činnost.</w:t>
      </w:r>
    </w:p>
    <w:p w:rsidR="00A65B3E" w:rsidRPr="00800437" w:rsidRDefault="00800437">
      <w:pPr>
        <w:numPr>
          <w:ilvl w:val="0"/>
          <w:numId w:val="5"/>
        </w:numPr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A65B3E" w:rsidRPr="00800437" w:rsidRDefault="00800437">
      <w:pPr>
        <w:numPr>
          <w:ilvl w:val="0"/>
          <w:numId w:val="5"/>
        </w:numPr>
        <w:spacing w:after="76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</w:t>
      </w:r>
      <w:r w:rsidRPr="00800437">
        <w:rPr>
          <w:rFonts w:asciiTheme="minorHAnsi" w:hAnsiTheme="minorHAnsi" w:cstheme="minorHAnsi"/>
          <w:szCs w:val="24"/>
        </w:rPr>
        <w:t xml:space="preserve"> (1) jednom vyhotovení Smlouvy.</w:t>
      </w:r>
    </w:p>
    <w:p w:rsidR="00A65B3E" w:rsidRPr="00800437" w:rsidRDefault="00800437">
      <w:pPr>
        <w:numPr>
          <w:ilvl w:val="0"/>
          <w:numId w:val="5"/>
        </w:numPr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</w:t>
      </w:r>
      <w:r w:rsidRPr="00800437">
        <w:rPr>
          <w:rFonts w:asciiTheme="minorHAnsi" w:hAnsiTheme="minorHAnsi" w:cstheme="minorHAnsi"/>
          <w:szCs w:val="24"/>
        </w:rPr>
        <w:t>tné a Smlouva se posuzuje, jako by takové ustanovení nikdy neobsahovala.</w:t>
      </w:r>
    </w:p>
    <w:p w:rsidR="00A65B3E" w:rsidRPr="00800437" w:rsidRDefault="00800437">
      <w:pPr>
        <w:numPr>
          <w:ilvl w:val="0"/>
          <w:numId w:val="5"/>
        </w:numPr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Smluvní strany této Smlouvy se zavazují, že v případě sporů o obsah a plnění této Smlouvy vynaloží veškeré úsilí, které lze spravedlivě požadovat k tomu, aby byly tyto spory vyřešeny </w:t>
      </w:r>
      <w:r w:rsidRPr="00800437">
        <w:rPr>
          <w:rFonts w:asciiTheme="minorHAnsi" w:hAnsiTheme="minorHAnsi" w:cstheme="minorHAnsi"/>
          <w:szCs w:val="24"/>
        </w:rPr>
        <w:t>smírnou cestou, zejména aby byly odstraněny okolnosti vedoucí ke vzniku práva od Smlouvy odstoupit, nebo způsobují neplatnost.</w:t>
      </w:r>
    </w:p>
    <w:p w:rsidR="00A65B3E" w:rsidRPr="00800437" w:rsidRDefault="00800437">
      <w:pPr>
        <w:numPr>
          <w:ilvl w:val="0"/>
          <w:numId w:val="5"/>
        </w:numPr>
        <w:spacing w:after="738"/>
        <w:ind w:right="9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 xml:space="preserve">Tato smlouva bude zveřejněna v registru smluv dle zákona ö. 340/2015 Sb., o zvláštních podmínkách účinnosti některých smluv, uveřejňování těchto smluv a o registru smluv (zákon o registru smluv) a to bez uvedení citlivých údajů (obchodní tajemství, osobní </w:t>
      </w:r>
      <w:r w:rsidRPr="00800437">
        <w:rPr>
          <w:rFonts w:asciiTheme="minorHAnsi" w:hAnsiTheme="minorHAnsi" w:cstheme="minorHAnsi"/>
          <w:szCs w:val="24"/>
        </w:rPr>
        <w:t>údaje). Zveřejnění smlouvy zajistí Poradce.</w:t>
      </w:r>
    </w:p>
    <w:tbl>
      <w:tblPr>
        <w:tblStyle w:val="TableGrid"/>
        <w:tblW w:w="7508" w:type="dxa"/>
        <w:tblInd w:w="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4614"/>
        <w:gridCol w:w="619"/>
      </w:tblGrid>
      <w:tr w:rsidR="00A65B3E" w:rsidRPr="00800437">
        <w:trPr>
          <w:trHeight w:val="419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A65B3E" w:rsidRPr="00800437" w:rsidRDefault="0080043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0437">
              <w:rPr>
                <w:rFonts w:asciiTheme="minorHAnsi" w:hAnsiTheme="minorHAnsi" w:cstheme="minorHAnsi"/>
                <w:szCs w:val="24"/>
              </w:rPr>
              <w:t xml:space="preserve">V Praze, dne </w:t>
            </w:r>
            <w:bookmarkStart w:id="0" w:name="_GoBack"/>
            <w:bookmarkEnd w:id="0"/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A65B3E" w:rsidRPr="00800437" w:rsidRDefault="00800437">
            <w:pPr>
              <w:spacing w:after="0" w:line="259" w:lineRule="auto"/>
              <w:ind w:left="2328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0437">
              <w:rPr>
                <w:rFonts w:asciiTheme="minorHAnsi" w:hAnsiTheme="minorHAnsi" w:cstheme="minorHAnsi"/>
                <w:szCs w:val="24"/>
              </w:rPr>
              <w:t xml:space="preserve">V Praze, dne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A65B3E" w:rsidRPr="00800437" w:rsidRDefault="00A65B3E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65B3E" w:rsidRPr="00800437">
        <w:trPr>
          <w:trHeight w:val="36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B3E" w:rsidRPr="00800437" w:rsidRDefault="00800437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0437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B3E" w:rsidRPr="00800437" w:rsidRDefault="00800437">
            <w:pPr>
              <w:spacing w:after="0" w:line="259" w:lineRule="auto"/>
              <w:ind w:left="234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0437">
              <w:rPr>
                <w:rFonts w:asciiTheme="minorHAnsi" w:hAnsiTheme="minorHAnsi" w:cstheme="minorHAnsi"/>
                <w:szCs w:val="24"/>
              </w:rPr>
              <w:t>Ing. Ivan Smolka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A65B3E" w:rsidRPr="00800437" w:rsidRDefault="00A65B3E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65B3E" w:rsidRPr="00800437" w:rsidRDefault="00800437">
      <w:pPr>
        <w:tabs>
          <w:tab w:val="center" w:pos="4976"/>
        </w:tabs>
        <w:spacing w:after="47" w:line="216" w:lineRule="auto"/>
        <w:ind w:left="-1" w:right="0" w:firstLine="0"/>
        <w:jc w:val="left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>jednatel BDO Advisory s.r.o.</w:t>
      </w:r>
      <w:r w:rsidRPr="00800437">
        <w:rPr>
          <w:rFonts w:asciiTheme="minorHAnsi" w:hAnsiTheme="minorHAnsi" w:cstheme="minorHAnsi"/>
          <w:szCs w:val="24"/>
        </w:rPr>
        <w:tab/>
      </w:r>
      <w:r w:rsidRPr="00800437">
        <w:rPr>
          <w:rFonts w:asciiTheme="minorHAnsi" w:hAnsiTheme="minorHAnsi" w:cstheme="minorHAnsi"/>
          <w:szCs w:val="24"/>
        </w:rPr>
        <w:t>ředitel</w:t>
      </w:r>
    </w:p>
    <w:p w:rsidR="00A65B3E" w:rsidRPr="00800437" w:rsidRDefault="00800437">
      <w:pPr>
        <w:spacing w:after="70" w:line="259" w:lineRule="auto"/>
        <w:ind w:left="106" w:right="0" w:firstLine="0"/>
        <w:jc w:val="left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48324" cy="966262"/>
            <wp:effectExtent l="0" t="0" r="0" b="0"/>
            <wp:docPr id="22334" name="Picture 22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4" name="Picture 223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8324" cy="96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3E" w:rsidRPr="00800437" w:rsidRDefault="00800437">
      <w:pPr>
        <w:tabs>
          <w:tab w:val="center" w:pos="2297"/>
          <w:tab w:val="center" w:pos="6908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00437">
        <w:rPr>
          <w:rFonts w:asciiTheme="minorHAnsi" w:hAnsiTheme="minorHAnsi" w:cstheme="minorHAnsi"/>
          <w:szCs w:val="24"/>
        </w:rPr>
        <w:tab/>
        <w:t>vlastnoruční podpis</w:t>
      </w:r>
      <w:r w:rsidRPr="00800437">
        <w:rPr>
          <w:rFonts w:asciiTheme="minorHAnsi" w:hAnsiTheme="minorHAnsi" w:cstheme="minorHAnsi"/>
          <w:szCs w:val="24"/>
        </w:rPr>
        <w:tab/>
        <w:t>vlastnoruční podpis</w:t>
      </w:r>
    </w:p>
    <w:sectPr w:rsidR="00A65B3E" w:rsidRPr="00800437">
      <w:footerReference w:type="even" r:id="rId14"/>
      <w:footerReference w:type="default" r:id="rId15"/>
      <w:footerReference w:type="first" r:id="rId16"/>
      <w:pgSz w:w="11900" w:h="16820"/>
      <w:pgMar w:top="1551" w:right="1454" w:bottom="1388" w:left="1301" w:header="708" w:footer="6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00437">
      <w:pPr>
        <w:spacing w:after="0" w:line="240" w:lineRule="auto"/>
      </w:pPr>
      <w:r>
        <w:separator/>
      </w:r>
    </w:p>
  </w:endnote>
  <w:endnote w:type="continuationSeparator" w:id="0">
    <w:p w:rsidR="00000000" w:rsidRDefault="0080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3E" w:rsidRDefault="00800437">
    <w:pPr>
      <w:spacing w:after="0" w:line="259" w:lineRule="auto"/>
      <w:ind w:left="0" w:right="1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3E" w:rsidRDefault="00800437">
    <w:pPr>
      <w:spacing w:after="0" w:line="259" w:lineRule="auto"/>
      <w:ind w:left="0" w:right="1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B3E" w:rsidRDefault="00800437">
    <w:pPr>
      <w:spacing w:after="0" w:line="259" w:lineRule="auto"/>
      <w:ind w:left="0" w:right="13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00437">
      <w:pPr>
        <w:spacing w:after="0" w:line="240" w:lineRule="auto"/>
      </w:pPr>
      <w:r>
        <w:separator/>
      </w:r>
    </w:p>
  </w:footnote>
  <w:footnote w:type="continuationSeparator" w:id="0">
    <w:p w:rsidR="00000000" w:rsidRDefault="0080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5C2E"/>
    <w:multiLevelType w:val="hybridMultilevel"/>
    <w:tmpl w:val="1F6E17A4"/>
    <w:lvl w:ilvl="0" w:tplc="69A68C6C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AFEA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E4EC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390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6AA3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ED4E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A033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E369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84A0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A92942"/>
    <w:multiLevelType w:val="hybridMultilevel"/>
    <w:tmpl w:val="E56AABE2"/>
    <w:lvl w:ilvl="0" w:tplc="9BAA3F84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E4CC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A328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E56A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6B30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2BCB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F20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01B4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A212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F17BDB"/>
    <w:multiLevelType w:val="hybridMultilevel"/>
    <w:tmpl w:val="C01A2B6C"/>
    <w:lvl w:ilvl="0" w:tplc="2CC4E7C6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89272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A4D96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8952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2AFFA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E9148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068E2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0ECFC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68720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5231F2"/>
    <w:multiLevelType w:val="hybridMultilevel"/>
    <w:tmpl w:val="BC30F744"/>
    <w:lvl w:ilvl="0" w:tplc="9FB8D8CE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0012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54A8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CCEB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66BC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F013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0C01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5C41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0E62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ED737F"/>
    <w:multiLevelType w:val="hybridMultilevel"/>
    <w:tmpl w:val="2A80D642"/>
    <w:lvl w:ilvl="0" w:tplc="1E8E99D8">
      <w:start w:val="2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4D5A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E69A0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4099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AA70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090E8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46FB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43C0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CE01E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3E"/>
    <w:rsid w:val="00800437"/>
    <w:rsid w:val="00A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DD77"/>
  <w15:docId w15:val="{8F0C7D09-17DA-4809-A49D-FECF1CB1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05" w:line="227" w:lineRule="auto"/>
      <w:ind w:left="552" w:right="58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KM_C558-20180507094326</vt:lpstr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KM_C558-20180507094326</dc:title>
  <dc:subject/>
  <dc:creator>Petr Gabriel</dc:creator>
  <cp:keywords/>
  <cp:lastModifiedBy>Petr Gabriel</cp:lastModifiedBy>
  <cp:revision>2</cp:revision>
  <dcterms:created xsi:type="dcterms:W3CDTF">2018-05-24T10:42:00Z</dcterms:created>
  <dcterms:modified xsi:type="dcterms:W3CDTF">2018-05-24T10:42:00Z</dcterms:modified>
</cp:coreProperties>
</file>