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C3" w:rsidRPr="00393B70" w:rsidRDefault="00393B70">
      <w:pPr>
        <w:spacing w:after="379" w:line="259" w:lineRule="auto"/>
        <w:ind w:left="19" w:right="0" w:firstLine="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Smlouva o poskytování poradenských služeb</w:t>
      </w:r>
    </w:p>
    <w:p w:rsidR="002B2BC3" w:rsidRPr="00393B70" w:rsidRDefault="00393B70">
      <w:pPr>
        <w:spacing w:after="31" w:line="233" w:lineRule="auto"/>
        <w:ind w:left="62" w:right="0" w:hanging="1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BDO Advisory s.r.o.</w:t>
      </w:r>
    </w:p>
    <w:p w:rsidR="002B2BC3" w:rsidRPr="00393B70" w:rsidRDefault="00393B70">
      <w:pPr>
        <w:spacing w:after="184" w:line="276" w:lineRule="auto"/>
        <w:ind w:left="33" w:right="86" w:firstLine="14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393B70">
        <w:rPr>
          <w:rFonts w:asciiTheme="minorHAnsi" w:hAnsiTheme="minorHAnsi" w:cstheme="minorHAnsi"/>
          <w:szCs w:val="24"/>
        </w:rPr>
        <w:t>Haukem</w:t>
      </w:r>
      <w:proofErr w:type="spellEnd"/>
      <w:r w:rsidRPr="00393B70">
        <w:rPr>
          <w:rFonts w:asciiTheme="minorHAnsi" w:hAnsiTheme="minorHAnsi" w:cstheme="minorHAnsi"/>
          <w:szCs w:val="24"/>
        </w:rPr>
        <w:t>, jednatelem dále jen „Poradce”</w:t>
      </w:r>
    </w:p>
    <w:p w:rsidR="002B2BC3" w:rsidRPr="00393B70" w:rsidRDefault="00393B70">
      <w:pPr>
        <w:spacing w:after="215" w:line="259" w:lineRule="auto"/>
        <w:ind w:left="43" w:right="0" w:firstLine="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a</w:t>
      </w:r>
    </w:p>
    <w:p w:rsidR="002B2BC3" w:rsidRPr="00393B70" w:rsidRDefault="00393B70">
      <w:pPr>
        <w:spacing w:after="0" w:line="233" w:lineRule="auto"/>
        <w:ind w:left="62" w:right="0" w:hanging="1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Vyšší odborná škola zdravotnická a Středn</w:t>
      </w:r>
      <w:r w:rsidRPr="00393B70">
        <w:rPr>
          <w:rFonts w:asciiTheme="minorHAnsi" w:hAnsiTheme="minorHAnsi" w:cstheme="minorHAnsi"/>
          <w:szCs w:val="24"/>
        </w:rPr>
        <w:t>í zdravotnická škola, Praha 1, Alšovo nábřeží 6</w:t>
      </w:r>
    </w:p>
    <w:p w:rsidR="002B2BC3" w:rsidRPr="00393B70" w:rsidRDefault="00393B70">
      <w:pPr>
        <w:spacing w:after="2"/>
        <w:ind w:left="43" w:right="3173" w:hanging="10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Se sídlem Alšovo nábřeží 82/6, Staré Město, 110 OO Praha IC: 00638749</w:t>
      </w:r>
    </w:p>
    <w:p w:rsidR="002B2BC3" w:rsidRPr="00393B70" w:rsidRDefault="00393B70">
      <w:pPr>
        <w:spacing w:after="286" w:line="216" w:lineRule="auto"/>
        <w:ind w:left="19" w:right="62" w:firstLine="4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Zastoupena: Mgr. Miloš Tichý, ředitel</w:t>
      </w:r>
    </w:p>
    <w:p w:rsidR="002B2BC3" w:rsidRPr="00393B70" w:rsidRDefault="00393B70">
      <w:pPr>
        <w:spacing w:after="562"/>
        <w:ind w:left="33" w:right="86" w:firstLine="0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dále jen „Klient”</w:t>
      </w:r>
    </w:p>
    <w:p w:rsidR="002B2BC3" w:rsidRPr="00393B70" w:rsidRDefault="00393B70">
      <w:pPr>
        <w:spacing w:after="465" w:line="216" w:lineRule="auto"/>
        <w:ind w:left="19" w:right="62" w:firstLine="4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'Smlouva”) ve smyslu ustanovení S 1 746 odst. 2. zákona č. 89/2012 Sb., občanský zákoník, ve znění pozdějších předpisů (dále jen "Občanský zákoník”</w:t>
      </w:r>
      <w:r w:rsidRPr="00393B70">
        <w:rPr>
          <w:rFonts w:asciiTheme="minorHAnsi" w:hAnsiTheme="minorHAnsi" w:cstheme="minorHAnsi"/>
          <w:szCs w:val="24"/>
        </w:rPr>
        <w:t>)</w:t>
      </w:r>
    </w:p>
    <w:p w:rsidR="002B2BC3" w:rsidRPr="00393B70" w:rsidRDefault="00393B70">
      <w:pPr>
        <w:spacing w:after="3" w:line="259" w:lineRule="auto"/>
        <w:ind w:left="15" w:right="62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Článek l.</w:t>
      </w:r>
    </w:p>
    <w:p w:rsidR="002B2BC3" w:rsidRPr="00393B70" w:rsidRDefault="00393B70">
      <w:pPr>
        <w:pStyle w:val="Nadpis1"/>
        <w:ind w:left="20" w:right="53"/>
        <w:rPr>
          <w:rFonts w:asciiTheme="minorHAnsi" w:hAnsiTheme="minorHAnsi" w:cstheme="minorHAnsi"/>
          <w:sz w:val="24"/>
          <w:szCs w:val="24"/>
        </w:rPr>
      </w:pPr>
      <w:r w:rsidRPr="00393B70">
        <w:rPr>
          <w:rFonts w:asciiTheme="minorHAnsi" w:hAnsiTheme="minorHAnsi" w:cstheme="minorHAnsi"/>
          <w:sz w:val="24"/>
          <w:szCs w:val="24"/>
        </w:rPr>
        <w:t>Předmět Smlouvy</w:t>
      </w:r>
    </w:p>
    <w:p w:rsidR="002B2BC3" w:rsidRPr="00393B70" w:rsidRDefault="00393B70">
      <w:pPr>
        <w:spacing w:after="61"/>
        <w:ind w:left="571" w:right="86"/>
        <w:rPr>
          <w:rFonts w:asciiTheme="minorHAnsi" w:hAnsiTheme="minorHAnsi" w:cstheme="minorHAnsi"/>
          <w:szCs w:val="24"/>
        </w:rPr>
      </w:pPr>
      <w:proofErr w:type="gramStart"/>
      <w:r w:rsidRPr="00393B70">
        <w:rPr>
          <w:rFonts w:asciiTheme="minorHAnsi" w:hAnsiTheme="minorHAnsi" w:cstheme="minorHAnsi"/>
          <w:szCs w:val="24"/>
        </w:rPr>
        <w:t>1 .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</w:t>
      </w:r>
      <w:r w:rsidRPr="00393B70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393B70">
        <w:rPr>
          <w:rFonts w:asciiTheme="minorHAnsi" w:hAnsiTheme="minorHAnsi" w:cstheme="minorHAnsi"/>
          <w:szCs w:val="24"/>
        </w:rPr>
        <w:t>Il</w:t>
      </w:r>
      <w:proofErr w:type="spellEnd"/>
      <w:r w:rsidRPr="00393B70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B2BC3" w:rsidRPr="00393B70" w:rsidRDefault="00393B70">
      <w:pPr>
        <w:numPr>
          <w:ilvl w:val="0"/>
          <w:numId w:val="1"/>
        </w:numPr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Klient se zavazuje </w:t>
      </w:r>
      <w:r w:rsidRPr="00393B70">
        <w:rPr>
          <w:rFonts w:asciiTheme="minorHAnsi" w:hAnsiTheme="minorHAnsi" w:cstheme="minorHAnsi"/>
          <w:szCs w:val="24"/>
        </w:rPr>
        <w:t>zaplatit Poradci za jím provedené činnosti podle této Smlouvy, odměnu stanovenou dále v čl. IV. této Smlouvy a poskytovat Poradci veškerou součinnost potřebnou pro výkon sjednané činnosti podle této smlouvy.</w:t>
      </w:r>
    </w:p>
    <w:p w:rsidR="002B2BC3" w:rsidRPr="00393B70" w:rsidRDefault="00393B70">
      <w:pPr>
        <w:numPr>
          <w:ilvl w:val="0"/>
          <w:numId w:val="1"/>
        </w:numPr>
        <w:spacing w:after="469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prohlašuje, že je odborně způsobilou oso</w:t>
      </w:r>
      <w:r w:rsidRPr="00393B70">
        <w:rPr>
          <w:rFonts w:asciiTheme="minorHAnsi" w:hAnsiTheme="minorHAnsi" w:cstheme="minorHAnsi"/>
          <w:szCs w:val="24"/>
        </w:rPr>
        <w:t>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2B2BC3" w:rsidRPr="00393B70" w:rsidRDefault="00393B70">
      <w:pPr>
        <w:spacing w:after="3" w:line="259" w:lineRule="auto"/>
        <w:ind w:left="15" w:right="77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Článek II.</w:t>
      </w:r>
    </w:p>
    <w:p w:rsidR="002B2BC3" w:rsidRPr="00393B70" w:rsidRDefault="00393B70">
      <w:pPr>
        <w:spacing w:after="338" w:line="259" w:lineRule="auto"/>
        <w:ind w:left="15" w:right="72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Poskytované služby</w:t>
      </w:r>
    </w:p>
    <w:p w:rsidR="002B2BC3" w:rsidRPr="00393B70" w:rsidRDefault="00393B70">
      <w:pPr>
        <w:ind w:left="740" w:right="86" w:hanging="34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1 </w:t>
      </w:r>
      <w:r w:rsidRPr="00393B70">
        <w:rPr>
          <w:rFonts w:asciiTheme="minorHAnsi" w:hAnsiTheme="minorHAnsi" w:cstheme="minorHAnsi"/>
          <w:szCs w:val="24"/>
        </w:rPr>
        <w:t>Poradce s</w:t>
      </w:r>
      <w:r w:rsidRPr="00393B70">
        <w:rPr>
          <w:rFonts w:asciiTheme="minorHAnsi" w:hAnsiTheme="minorHAnsi" w:cstheme="minorHAnsi"/>
          <w:szCs w:val="24"/>
        </w:rPr>
        <w:t>e zavazuje poskytovat, dle této Smlouvy, Klientovi poradenskou činnost a služby související s implementací a dodržováním nařízením Evropského parlamentu</w:t>
      </w:r>
    </w:p>
    <w:p w:rsidR="002B2BC3" w:rsidRPr="00393B70" w:rsidRDefault="00393B70">
      <w:pPr>
        <w:spacing w:after="393"/>
        <w:ind w:left="763" w:right="86" w:firstLine="0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a Rady EU (2016/679) ze dne 27. dubna 2016 0 ochraně fyzických osob v souvislosti se zpracováním osobní</w:t>
      </w:r>
      <w:r w:rsidRPr="00393B70">
        <w:rPr>
          <w:rFonts w:asciiTheme="minorHAnsi" w:hAnsiTheme="minorHAnsi" w:cstheme="minorHAnsi"/>
          <w:szCs w:val="24"/>
        </w:rPr>
        <w:t>ch údajů a o volném pohybu těchto údajů a o zrušení směrnice 95/46/ES (dále také „GDPR"), spočívající zejména v poskytnutí:</w:t>
      </w:r>
    </w:p>
    <w:p w:rsidR="002B2BC3" w:rsidRPr="00393B70" w:rsidRDefault="00393B70">
      <w:pPr>
        <w:spacing w:after="78"/>
        <w:ind w:left="1459" w:right="86" w:hanging="422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961" name="Picture 3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1" name="Picture 319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B70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2B2BC3" w:rsidRPr="00393B70" w:rsidRDefault="00393B70">
      <w:pPr>
        <w:spacing w:after="22" w:line="216" w:lineRule="auto"/>
        <w:ind w:left="1459" w:right="62" w:hanging="422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lastRenderedPageBreak/>
        <w:t xml:space="preserve">i </w:t>
      </w:r>
      <w:proofErr w:type="spellStart"/>
      <w:proofErr w:type="gramStart"/>
      <w:r w:rsidRPr="00393B70">
        <w:rPr>
          <w:rFonts w:asciiTheme="minorHAnsi" w:hAnsiTheme="minorHAnsi" w:cstheme="minorHAnsi"/>
          <w:szCs w:val="24"/>
        </w:rPr>
        <w:t>i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</w:t>
      </w:r>
      <w:r w:rsidRPr="00393B70">
        <w:rPr>
          <w:rFonts w:asciiTheme="minorHAnsi" w:hAnsiTheme="minorHAnsi" w:cstheme="minorHAnsi"/>
          <w:szCs w:val="24"/>
        </w:rPr>
        <w:t>nezbytné součinnosti při odstraňování nálezů popsaných ve zprávě Zpráva nezávislého auditora o ověření shody s požadavky GDPR;</w:t>
      </w:r>
    </w:p>
    <w:p w:rsidR="002B2BC3" w:rsidRPr="00393B70" w:rsidRDefault="00393B70">
      <w:pPr>
        <w:numPr>
          <w:ilvl w:val="0"/>
          <w:numId w:val="2"/>
        </w:numPr>
        <w:spacing w:after="63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</w:t>
      </w:r>
      <w:r w:rsidRPr="00393B70">
        <w:rPr>
          <w:rFonts w:asciiTheme="minorHAnsi" w:hAnsiTheme="minorHAnsi" w:cstheme="minorHAnsi"/>
          <w:szCs w:val="24"/>
        </w:rPr>
        <w:t xml:space="preserve"> údajů (dále také „GDPR"), které vstoupilo v platnost dne 24. května 2016 a vnitrostátních právních předpisů na ochranu osobních údajů, a to zejména činností „Pověřence na ochranu osobních údajů” s cílem monitorování souladu s Obecným nařízením o ochraně o</w:t>
      </w:r>
      <w:r w:rsidRPr="00393B70">
        <w:rPr>
          <w:rFonts w:asciiTheme="minorHAnsi" w:hAnsiTheme="minorHAnsi" w:cstheme="minorHAnsi"/>
          <w:szCs w:val="24"/>
        </w:rPr>
        <w:t>sobních údajů (GDPR), a to v rozsahu:</w:t>
      </w:r>
    </w:p>
    <w:p w:rsidR="002B2BC3" w:rsidRPr="00393B70" w:rsidRDefault="00393B70">
      <w:pPr>
        <w:ind w:left="1449" w:right="86" w:hanging="427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963" name="Picture 3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3" name="Picture 319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B70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2B2BC3" w:rsidRPr="00393B70" w:rsidRDefault="00393B70">
      <w:pPr>
        <w:ind w:left="1440" w:right="86" w:hanging="418"/>
        <w:rPr>
          <w:rFonts w:asciiTheme="minorHAnsi" w:hAnsiTheme="minorHAnsi" w:cstheme="minorHAnsi"/>
          <w:szCs w:val="24"/>
        </w:rPr>
      </w:pPr>
      <w:proofErr w:type="spellStart"/>
      <w:r w:rsidRPr="00393B70">
        <w:rPr>
          <w:rFonts w:asciiTheme="minorHAnsi" w:hAnsiTheme="minorHAnsi" w:cstheme="minorHAnsi"/>
          <w:szCs w:val="24"/>
        </w:rPr>
        <w:t>ii</w:t>
      </w:r>
      <w:proofErr w:type="spellEnd"/>
      <w:r w:rsidRPr="00393B70">
        <w:rPr>
          <w:rFonts w:asciiTheme="minorHAnsi" w:hAnsiTheme="minorHAnsi" w:cstheme="minorHAnsi"/>
          <w:szCs w:val="24"/>
        </w:rPr>
        <w:t>. průběžné monitorování souladu Klienta s nařízením GDPR v oblasti ochrany osobníc</w:t>
      </w:r>
      <w:r w:rsidRPr="00393B70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393B70">
        <w:rPr>
          <w:rFonts w:asciiTheme="minorHAnsi" w:hAnsiTheme="minorHAnsi" w:cstheme="minorHAnsi"/>
          <w:szCs w:val="24"/>
        </w:rPr>
        <w:t>ání;</w:t>
      </w:r>
    </w:p>
    <w:p w:rsidR="002B2BC3" w:rsidRPr="00393B70" w:rsidRDefault="00393B70">
      <w:pPr>
        <w:spacing w:after="74"/>
        <w:ind w:left="1435" w:right="86" w:hanging="422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393B70">
        <w:rPr>
          <w:rFonts w:asciiTheme="minorHAnsi" w:hAnsiTheme="minorHAnsi" w:cstheme="minorHAnsi"/>
          <w:szCs w:val="24"/>
        </w:rPr>
        <w:t>i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393B70">
        <w:rPr>
          <w:rFonts w:asciiTheme="minorHAnsi" w:hAnsiTheme="minorHAnsi" w:cstheme="minorHAnsi"/>
          <w:szCs w:val="24"/>
        </w:rPr>
        <w:t>i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</w:t>
      </w:r>
      <w:r w:rsidRPr="00393B70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2B2BC3" w:rsidRPr="00393B70" w:rsidRDefault="00393B70">
      <w:pPr>
        <w:numPr>
          <w:ilvl w:val="1"/>
          <w:numId w:val="3"/>
        </w:numPr>
        <w:ind w:right="86" w:hanging="437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spolupráce a komunikace s dozorovým úřadem; po</w:t>
      </w:r>
      <w:r w:rsidRPr="00393B70">
        <w:rPr>
          <w:rFonts w:asciiTheme="minorHAnsi" w:hAnsiTheme="minorHAnsi" w:cstheme="minorHAnsi"/>
          <w:szCs w:val="24"/>
        </w:rPr>
        <w:t>radenská činnost při řízení před dozorovým úřadem nebo soudem;</w:t>
      </w:r>
    </w:p>
    <w:p w:rsidR="002B2BC3" w:rsidRPr="00393B70" w:rsidRDefault="00393B70">
      <w:pPr>
        <w:numPr>
          <w:ilvl w:val="1"/>
          <w:numId w:val="3"/>
        </w:numPr>
        <w:spacing w:after="148"/>
        <w:ind w:right="86" w:hanging="437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393B70">
        <w:rPr>
          <w:rFonts w:asciiTheme="minorHAnsi" w:hAnsiTheme="minorHAnsi" w:cstheme="minorHAnsi"/>
          <w:szCs w:val="24"/>
        </w:rPr>
        <w:t>se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393B70">
        <w:rPr>
          <w:rFonts w:asciiTheme="minorHAnsi" w:hAnsiTheme="minorHAnsi" w:cstheme="minorHAnsi"/>
          <w:szCs w:val="24"/>
        </w:rPr>
        <w:t>36 GDPR;</w:t>
      </w:r>
    </w:p>
    <w:p w:rsidR="002B2BC3" w:rsidRPr="00393B70" w:rsidRDefault="00393B70">
      <w:pPr>
        <w:numPr>
          <w:ilvl w:val="1"/>
          <w:numId w:val="3"/>
        </w:numPr>
        <w:spacing w:after="48"/>
        <w:ind w:right="86" w:hanging="437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působení jako kontaktní osoba </w:t>
      </w:r>
      <w:r w:rsidRPr="00393B70">
        <w:rPr>
          <w:rFonts w:asciiTheme="minorHAnsi" w:hAnsiTheme="minorHAnsi" w:cstheme="minorHAnsi"/>
          <w:szCs w:val="24"/>
        </w:rPr>
        <w:t>Klienta, resp. zaměstnavatele pro subjekty údajů ve všech záležitostech souvisejících se zpracováním jejich osobních údajů a výkonem jejich práv podle GDPR.</w:t>
      </w:r>
    </w:p>
    <w:p w:rsidR="002B2BC3" w:rsidRPr="00393B70" w:rsidRDefault="00393B70">
      <w:pPr>
        <w:numPr>
          <w:ilvl w:val="1"/>
          <w:numId w:val="3"/>
        </w:numPr>
        <w:ind w:right="86" w:hanging="437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</w:t>
      </w:r>
      <w:r w:rsidRPr="00393B70">
        <w:rPr>
          <w:rFonts w:asciiTheme="minorHAnsi" w:hAnsiTheme="minorHAnsi" w:cstheme="minorHAnsi"/>
          <w:szCs w:val="24"/>
        </w:rPr>
        <w:t>bních údajů podle vlastního plánu dohledové činnosti a na základě vyhodnocení podnětů zaměstnavatele, ostatních zaměstnanců, kontrolních orgánů a subjektů údajů. Pověřenec poskytuje zaměstnavateli a ostatním zaměstnancům informace z oboru své působnosti po</w:t>
      </w:r>
      <w:r w:rsidRPr="00393B70">
        <w:rPr>
          <w:rFonts w:asciiTheme="minorHAnsi" w:hAnsiTheme="minorHAnsi" w:cstheme="minorHAnsi"/>
          <w:szCs w:val="24"/>
        </w:rPr>
        <w:t>dle aktuálních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</w:t>
      </w:r>
      <w:r w:rsidRPr="00393B70">
        <w:rPr>
          <w:rFonts w:asciiTheme="minorHAnsi" w:hAnsiTheme="minorHAnsi" w:cstheme="minorHAnsi"/>
          <w:szCs w:val="24"/>
        </w:rPr>
        <w:t>iska Úřadu pro ochranu osobních údajů a orgánů Evropské unie a rozhodovací činnost soudů v oblasti ochrany osobních údajů a přiměřeným způsobem o těchto skutečnostech informuje zaměstnavatele a ostatní zaměstnance. Pověřenec sleduje vývoj technologií souvi</w:t>
      </w:r>
      <w:r w:rsidRPr="00393B70">
        <w:rPr>
          <w:rFonts w:asciiTheme="minorHAnsi" w:hAnsiTheme="minorHAnsi" w:cstheme="minorHAnsi"/>
          <w:szCs w:val="24"/>
        </w:rPr>
        <w:t>sejících s ochranou osobních údajů a přiměřeným způsobem o něm informuje zaměstnavatele a ostatní zaměstnance. Pověřenec posuzuje návrhy významných dokumentů zaměstnavatele týkajících se ochrany osobních údajů, zejména politik ochrany osobních údajů, bezpe</w:t>
      </w:r>
      <w:r w:rsidRPr="00393B70">
        <w:rPr>
          <w:rFonts w:asciiTheme="minorHAnsi" w:hAnsiTheme="minorHAnsi" w:cstheme="minorHAnsi"/>
          <w:szCs w:val="24"/>
        </w:rPr>
        <w:t xml:space="preserve">čnostních směrnic a dalších vnitřních předpisů, </w:t>
      </w:r>
      <w:proofErr w:type="spellStart"/>
      <w:r w:rsidRPr="00393B70">
        <w:rPr>
          <w:rFonts w:asciiTheme="minorHAnsi" w:hAnsiTheme="minorHAnsi" w:cstheme="minorHAnsi"/>
          <w:szCs w:val="24"/>
        </w:rPr>
        <w:t>vzorŮ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souhlasů se zpracováním osobních údajů, návrhů smluv o zpracování osobních údajů, vzorů podání a vyřízení, pokud jde o uplatňování práv subjektů údajů. Pověřenec posuzuje soulad navrhovaných řešení v ob</w:t>
      </w:r>
      <w:r w:rsidRPr="00393B70">
        <w:rPr>
          <w:rFonts w:asciiTheme="minorHAnsi" w:hAnsiTheme="minorHAnsi" w:cstheme="minorHAnsi"/>
          <w:szCs w:val="24"/>
        </w:rPr>
        <w:t>lasti informačních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</w:t>
      </w:r>
      <w:r w:rsidRPr="00393B70">
        <w:rPr>
          <w:rFonts w:asciiTheme="minorHAnsi" w:hAnsiTheme="minorHAnsi" w:cstheme="minorHAnsi"/>
          <w:szCs w:val="24"/>
        </w:rPr>
        <w:t xml:space="preserve">e podání vyřídit sám, postupuje je v souladu s vnitřními předpisy zaměstnavatele k vyřízení příslušným útvarům, </w:t>
      </w:r>
      <w:r w:rsidRPr="00393B70">
        <w:rPr>
          <w:rFonts w:asciiTheme="minorHAnsi" w:hAnsiTheme="minorHAnsi" w:cstheme="minorHAnsi"/>
          <w:szCs w:val="24"/>
        </w:rPr>
        <w:lastRenderedPageBreak/>
        <w:t>popřípadě si vyžádá od příslušných útvarů podkladová stanoviska a následně podání vyřizuje. Pověřenec vede záznamy o činnostech zpracování podle</w:t>
      </w:r>
      <w:r w:rsidRPr="00393B70">
        <w:rPr>
          <w:rFonts w:asciiTheme="minorHAnsi" w:hAnsiTheme="minorHAnsi" w:cstheme="minorHAnsi"/>
          <w:szCs w:val="24"/>
        </w:rPr>
        <w:t xml:space="preserve"> čl. 30 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</w:t>
      </w:r>
      <w:r w:rsidRPr="00393B70">
        <w:rPr>
          <w:rFonts w:asciiTheme="minorHAnsi" w:hAnsiTheme="minorHAnsi" w:cstheme="minorHAnsi"/>
          <w:szCs w:val="24"/>
        </w:rPr>
        <w:t>ranu osobních údajů (</w:t>
      </w:r>
      <w:proofErr w:type="spellStart"/>
      <w:r w:rsidRPr="00393B70">
        <w:rPr>
          <w:rFonts w:asciiTheme="minorHAnsi" w:hAnsiTheme="minorHAnsi" w:cstheme="minorHAnsi"/>
          <w:szCs w:val="24"/>
        </w:rPr>
        <w:t>čl</w:t>
      </w:r>
      <w:proofErr w:type="spellEnd"/>
      <w:r w:rsidRPr="00393B70">
        <w:rPr>
          <w:rFonts w:asciiTheme="minorHAnsi" w:hAnsiTheme="minorHAnsi" w:cstheme="minorHAnsi"/>
          <w:szCs w:val="24"/>
        </w:rPr>
        <w:t>- 33 GDPR) a oznamovat porušení zabezpečení osobních údajů subjektům osobních údajů (čl. 34 GDPR).</w:t>
      </w:r>
    </w:p>
    <w:p w:rsidR="002B2BC3" w:rsidRPr="00393B70" w:rsidRDefault="00393B70">
      <w:pPr>
        <w:numPr>
          <w:ilvl w:val="0"/>
          <w:numId w:val="2"/>
        </w:numPr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2B2BC3" w:rsidRPr="00393B70" w:rsidRDefault="00393B70">
      <w:pPr>
        <w:numPr>
          <w:ilvl w:val="0"/>
          <w:numId w:val="2"/>
        </w:numPr>
        <w:spacing w:after="130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</w:t>
      </w:r>
      <w:r w:rsidRPr="00393B70">
        <w:rPr>
          <w:rFonts w:asciiTheme="minorHAnsi" w:hAnsiTheme="minorHAnsi" w:cstheme="minorHAnsi"/>
          <w:szCs w:val="24"/>
        </w:rPr>
        <w:t>de Klient hradit.</w:t>
      </w:r>
    </w:p>
    <w:p w:rsidR="002B2BC3" w:rsidRPr="00393B70" w:rsidRDefault="00393B70">
      <w:pPr>
        <w:numPr>
          <w:ilvl w:val="0"/>
          <w:numId w:val="2"/>
        </w:numPr>
        <w:spacing w:after="863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</w:t>
      </w:r>
      <w:r w:rsidRPr="00393B70">
        <w:rPr>
          <w:rFonts w:asciiTheme="minorHAnsi" w:hAnsiTheme="minorHAnsi" w:cstheme="minorHAnsi"/>
          <w:szCs w:val="24"/>
        </w:rPr>
        <w:t>řípadně schválenými a závaznými kodexy chování dle článku 40 obecného nařízení o ochraně osobních údajů.</w:t>
      </w:r>
    </w:p>
    <w:p w:rsidR="002B2BC3" w:rsidRPr="00393B70" w:rsidRDefault="00393B70">
      <w:pPr>
        <w:spacing w:after="3" w:line="259" w:lineRule="auto"/>
        <w:ind w:left="15" w:right="110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93B70">
        <w:rPr>
          <w:rFonts w:asciiTheme="minorHAnsi" w:hAnsiTheme="minorHAnsi" w:cstheme="minorHAnsi"/>
          <w:szCs w:val="24"/>
        </w:rPr>
        <w:t>Ill</w:t>
      </w:r>
      <w:proofErr w:type="spellEnd"/>
      <w:r w:rsidRPr="00393B70">
        <w:rPr>
          <w:rFonts w:asciiTheme="minorHAnsi" w:hAnsiTheme="minorHAnsi" w:cstheme="minorHAnsi"/>
          <w:szCs w:val="24"/>
        </w:rPr>
        <w:t>.</w:t>
      </w:r>
    </w:p>
    <w:p w:rsidR="002B2BC3" w:rsidRPr="00393B70" w:rsidRDefault="00393B70">
      <w:pPr>
        <w:spacing w:after="388" w:line="259" w:lineRule="auto"/>
        <w:ind w:left="15" w:right="120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Práva a povinnosti Smluvních stran</w:t>
      </w:r>
    </w:p>
    <w:p w:rsidR="002B2BC3" w:rsidRPr="00393B70" w:rsidRDefault="00393B70">
      <w:pPr>
        <w:ind w:left="571"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1 </w:t>
      </w:r>
      <w:r w:rsidRPr="00393B70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</w:t>
      </w:r>
      <w:r w:rsidRPr="00393B70">
        <w:rPr>
          <w:rFonts w:asciiTheme="minorHAnsi" w:hAnsiTheme="minorHAnsi" w:cstheme="minorHAnsi"/>
          <w:szCs w:val="24"/>
        </w:rPr>
        <w:t>becně a jemu známé zájmy Klienta a informovat Klienta průběžně o plnění předmětu této Smlouvy.</w:t>
      </w:r>
    </w:p>
    <w:p w:rsidR="002B2BC3" w:rsidRPr="00393B70" w:rsidRDefault="00393B70">
      <w:pPr>
        <w:numPr>
          <w:ilvl w:val="0"/>
          <w:numId w:val="4"/>
        </w:numPr>
        <w:spacing w:after="78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2B2BC3" w:rsidRPr="00393B70" w:rsidRDefault="00393B70">
      <w:pPr>
        <w:numPr>
          <w:ilvl w:val="0"/>
          <w:numId w:val="4"/>
        </w:numPr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Smluvní strany sjednaly, že</w:t>
      </w:r>
      <w:r w:rsidRPr="00393B70">
        <w:rPr>
          <w:rFonts w:asciiTheme="minorHAnsi" w:hAnsiTheme="minorHAnsi" w:cstheme="minorHAnsi"/>
          <w:szCs w:val="24"/>
        </w:rPr>
        <w:t xml:space="preserve"> budou vzájemně spolupracovat a aktivně přistupovat k řešení jednotlivých oblastí činností poskytovaných dle této Smlouvy.</w:t>
      </w:r>
    </w:p>
    <w:p w:rsidR="002B2BC3" w:rsidRPr="00393B70" w:rsidRDefault="00393B70">
      <w:pPr>
        <w:numPr>
          <w:ilvl w:val="0"/>
          <w:numId w:val="4"/>
        </w:numPr>
        <w:spacing w:after="149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2B2BC3" w:rsidRPr="00393B70" w:rsidRDefault="00393B70">
      <w:pPr>
        <w:numPr>
          <w:ilvl w:val="0"/>
          <w:numId w:val="4"/>
        </w:numPr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B2BC3" w:rsidRPr="00393B70" w:rsidRDefault="00393B70">
      <w:pPr>
        <w:numPr>
          <w:ilvl w:val="0"/>
          <w:numId w:val="4"/>
        </w:numPr>
        <w:spacing w:after="464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393B70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393B70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2B2BC3" w:rsidRPr="00393B70" w:rsidRDefault="00393B70">
      <w:pPr>
        <w:spacing w:after="42"/>
        <w:ind w:left="634" w:right="86" w:firstLine="0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Kontaktní osobou na straně Poradce je:</w:t>
      </w:r>
    </w:p>
    <w:p w:rsidR="002B2BC3" w:rsidRPr="00393B70" w:rsidRDefault="00393B70">
      <w:pPr>
        <w:spacing w:after="485" w:line="259" w:lineRule="auto"/>
        <w:ind w:left="595" w:right="0" w:firstLine="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27056" cy="691929"/>
            <wp:effectExtent l="0" t="0" r="0" b="0"/>
            <wp:docPr id="31966" name="Picture 3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6" name="Picture 319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7056" cy="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C3" w:rsidRPr="00393B70" w:rsidRDefault="00393B70">
      <w:pPr>
        <w:spacing w:after="523" w:line="259" w:lineRule="auto"/>
        <w:ind w:left="566" w:right="0" w:firstLine="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47307" cy="847384"/>
            <wp:effectExtent l="0" t="0" r="0" b="0"/>
            <wp:docPr id="31968" name="Picture 31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8" name="Picture 319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7307" cy="84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C3" w:rsidRPr="00393B70" w:rsidRDefault="00393B70">
      <w:pPr>
        <w:spacing w:after="42"/>
        <w:ind w:left="614" w:right="86" w:firstLine="0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Kontaktní osobou na straně Klienta je:</w:t>
      </w:r>
    </w:p>
    <w:p w:rsidR="002B2BC3" w:rsidRPr="00393B70" w:rsidRDefault="00393B70">
      <w:pPr>
        <w:spacing w:after="843" w:line="259" w:lineRule="auto"/>
        <w:ind w:left="514" w:right="0" w:firstLine="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14273" cy="673640"/>
            <wp:effectExtent l="0" t="0" r="0" b="0"/>
            <wp:docPr id="16902" name="Picture 16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" name="Picture 169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273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C3" w:rsidRPr="00393B70" w:rsidRDefault="00393B70">
      <w:pPr>
        <w:spacing w:after="3" w:line="259" w:lineRule="auto"/>
        <w:ind w:left="15" w:right="0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Článek IV.</w:t>
      </w:r>
    </w:p>
    <w:p w:rsidR="002B2BC3" w:rsidRPr="00393B70" w:rsidRDefault="00393B70">
      <w:pPr>
        <w:pStyle w:val="Nadpis1"/>
        <w:spacing w:after="325"/>
        <w:ind w:left="20"/>
        <w:rPr>
          <w:rFonts w:asciiTheme="minorHAnsi" w:hAnsiTheme="minorHAnsi" w:cstheme="minorHAnsi"/>
          <w:sz w:val="24"/>
          <w:szCs w:val="24"/>
        </w:rPr>
      </w:pPr>
      <w:r w:rsidRPr="00393B70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2B2BC3" w:rsidRPr="00393B70" w:rsidRDefault="00393B70">
      <w:pPr>
        <w:numPr>
          <w:ilvl w:val="0"/>
          <w:numId w:val="5"/>
        </w:numPr>
        <w:spacing w:after="469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. </w:t>
      </w:r>
      <w:r w:rsidRPr="00393B70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393B70">
        <w:rPr>
          <w:rFonts w:asciiTheme="minorHAnsi" w:hAnsiTheme="minorHAnsi" w:cstheme="minorHAnsi"/>
          <w:szCs w:val="24"/>
        </w:rPr>
        <w:t>Il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B2BC3" w:rsidRPr="00393B70" w:rsidRDefault="00393B70">
      <w:pPr>
        <w:ind w:left="1473" w:right="86" w:hanging="422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1970" name="Picture 3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0" name="Picture 319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B70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</w:t>
      </w:r>
      <w:r w:rsidRPr="00393B70">
        <w:rPr>
          <w:rFonts w:asciiTheme="minorHAnsi" w:hAnsiTheme="minorHAnsi" w:cstheme="minorHAnsi"/>
          <w:szCs w:val="24"/>
        </w:rPr>
        <w:t xml:space="preserve"> výši) na základě faktury vystavené Poradcem se splatností 21 kalendářních dní ode dne doručení.</w:t>
      </w:r>
    </w:p>
    <w:p w:rsidR="002B2BC3" w:rsidRPr="00393B70" w:rsidRDefault="00393B70">
      <w:pPr>
        <w:spacing w:after="75"/>
        <w:ind w:left="1473" w:right="86" w:hanging="427"/>
        <w:rPr>
          <w:rFonts w:asciiTheme="minorHAnsi" w:hAnsiTheme="minorHAnsi" w:cstheme="minorHAnsi"/>
          <w:szCs w:val="24"/>
        </w:rPr>
      </w:pPr>
      <w:proofErr w:type="spellStart"/>
      <w:r w:rsidRPr="00393B70">
        <w:rPr>
          <w:rFonts w:asciiTheme="minorHAnsi" w:hAnsiTheme="minorHAnsi" w:cstheme="minorHAnsi"/>
          <w:szCs w:val="24"/>
        </w:rPr>
        <w:t>ii</w:t>
      </w:r>
      <w:proofErr w:type="spellEnd"/>
      <w:r w:rsidRPr="00393B70">
        <w:rPr>
          <w:rFonts w:asciiTheme="minorHAnsi" w:hAnsiTheme="minorHAnsi" w:cstheme="minorHAnsi"/>
          <w:szCs w:val="24"/>
        </w:rPr>
        <w:t>. za služby provedené dle čl. II., odst. 2. této Smlouvy měsíční odměnu v celkové výši 2 250,- Kč (bez DPH v zákonné výši) na základě faktury vystavené Porad</w:t>
      </w:r>
      <w:r w:rsidRPr="00393B70">
        <w:rPr>
          <w:rFonts w:asciiTheme="minorHAnsi" w:hAnsiTheme="minorHAnsi" w:cstheme="minorHAnsi"/>
          <w:szCs w:val="24"/>
        </w:rPr>
        <w:t>cem se splatností 21 kalendářních dní ode dne doručení.</w:t>
      </w:r>
    </w:p>
    <w:p w:rsidR="002B2BC3" w:rsidRPr="00393B70" w:rsidRDefault="00393B70">
      <w:pPr>
        <w:spacing w:after="591"/>
        <w:ind w:left="1468" w:right="86" w:hanging="422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393B70">
        <w:rPr>
          <w:rFonts w:asciiTheme="minorHAnsi" w:hAnsiTheme="minorHAnsi" w:cstheme="minorHAnsi"/>
          <w:szCs w:val="24"/>
        </w:rPr>
        <w:t>i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393B70">
        <w:rPr>
          <w:rFonts w:asciiTheme="minorHAnsi" w:hAnsiTheme="minorHAnsi" w:cstheme="minorHAnsi"/>
          <w:szCs w:val="24"/>
        </w:rPr>
        <w:t>i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</w:t>
      </w:r>
      <w:r w:rsidRPr="00393B70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proplaceno na základě Poradcem vys</w:t>
      </w:r>
      <w:r w:rsidRPr="00393B70">
        <w:rPr>
          <w:rFonts w:asciiTheme="minorHAnsi" w:hAnsiTheme="minorHAnsi" w:cstheme="minorHAnsi"/>
          <w:szCs w:val="24"/>
        </w:rPr>
        <w:t>tavené faktury se splatností 21 kalendářních dní ode dne doručení. E-learningové školení je možné využívat neomezeně po dobu devíti měsíců od podpisu této Smlouvy.</w:t>
      </w:r>
    </w:p>
    <w:p w:rsidR="002B2BC3" w:rsidRPr="00393B70" w:rsidRDefault="00393B70">
      <w:pPr>
        <w:numPr>
          <w:ilvl w:val="0"/>
          <w:numId w:val="5"/>
        </w:numPr>
        <w:spacing w:after="57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Odměna stanovená v odst. 1. tohoto článku zahrnuje veškeré náklady Poradce na činnosti vykon</w:t>
      </w:r>
      <w:r w:rsidRPr="00393B70">
        <w:rPr>
          <w:rFonts w:asciiTheme="minorHAnsi" w:hAnsiTheme="minorHAnsi" w:cstheme="minorHAnsi"/>
          <w:szCs w:val="24"/>
        </w:rPr>
        <w:t xml:space="preserve">ávané dle této Smlouvy, a to zejména cestovní náhrady, běžné náklady spojené s poskytnutím služeb dle této Smlouvy (tj. tel. hovorné, </w:t>
      </w:r>
      <w:proofErr w:type="spellStart"/>
      <w:r w:rsidRPr="00393B70">
        <w:rPr>
          <w:rFonts w:asciiTheme="minorHAnsi" w:hAnsiTheme="minorHAnsi" w:cstheme="minorHAnsi"/>
          <w:szCs w:val="24"/>
        </w:rPr>
        <w:t>faxovné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393B70">
        <w:rPr>
          <w:rFonts w:asciiTheme="minorHAnsi" w:hAnsiTheme="minorHAnsi" w:cstheme="minorHAnsi"/>
          <w:szCs w:val="24"/>
        </w:rPr>
        <w:t>fotokopírování</w:t>
      </w:r>
      <w:proofErr w:type="spellEnd"/>
      <w:r w:rsidRPr="00393B70">
        <w:rPr>
          <w:rFonts w:asciiTheme="minorHAnsi" w:hAnsiTheme="minorHAnsi" w:cstheme="minorHAnsi"/>
          <w:szCs w:val="24"/>
        </w:rPr>
        <w:t>, technické nosiče, a kancelářské potřeby).</w:t>
      </w:r>
    </w:p>
    <w:p w:rsidR="002B2BC3" w:rsidRPr="00393B70" w:rsidRDefault="00393B70">
      <w:pPr>
        <w:numPr>
          <w:ilvl w:val="0"/>
          <w:numId w:val="6"/>
        </w:numPr>
        <w:spacing w:after="0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dlužné částky za každý den prodlení. Nebude-li Poradce řádně plnit </w:t>
      </w:r>
      <w:r w:rsidRPr="00393B70">
        <w:rPr>
          <w:rFonts w:asciiTheme="minorHAnsi" w:hAnsiTheme="minorHAnsi" w:cstheme="minorHAnsi"/>
          <w:szCs w:val="24"/>
        </w:rPr>
        <w:t>předmět této smlouvy, je povinen uhradit Klientovi 1.000,-Kč denně za každý den prodlení s plněním.</w:t>
      </w:r>
    </w:p>
    <w:p w:rsidR="002B2BC3" w:rsidRPr="00393B70" w:rsidRDefault="00393B70">
      <w:pPr>
        <w:numPr>
          <w:ilvl w:val="0"/>
          <w:numId w:val="6"/>
        </w:numPr>
        <w:spacing w:after="807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</w:t>
      </w:r>
      <w:r w:rsidRPr="00393B70">
        <w:rPr>
          <w:rFonts w:asciiTheme="minorHAnsi" w:hAnsiTheme="minorHAnsi" w:cstheme="minorHAnsi"/>
          <w:szCs w:val="24"/>
        </w:rPr>
        <w:t xml:space="preserve">hybné údaje, je Klient oprávněn tuto fakturu ve lhůtě její splatnosti vrátit Poradci, aniž by se tím Klient dostal do prodlení s úhradou faktury. Nová lhůta splatnosti počíná běžet dnem obdržení </w:t>
      </w:r>
      <w:r w:rsidRPr="00393B70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</w:t>
      </w:r>
      <w:r w:rsidRPr="00393B70">
        <w:rPr>
          <w:rFonts w:asciiTheme="minorHAnsi" w:hAnsiTheme="minorHAnsi" w:cstheme="minorHAnsi"/>
          <w:szCs w:val="24"/>
        </w:rPr>
        <w:t>í faktury musí být Klientem jednoznačně vymezen.</w:t>
      </w:r>
    </w:p>
    <w:p w:rsidR="002B2BC3" w:rsidRPr="00393B70" w:rsidRDefault="00393B70">
      <w:pPr>
        <w:spacing w:after="3" w:line="259" w:lineRule="auto"/>
        <w:ind w:left="15" w:right="10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Článek V.</w:t>
      </w:r>
    </w:p>
    <w:p w:rsidR="002B2BC3" w:rsidRPr="00393B70" w:rsidRDefault="00393B70">
      <w:pPr>
        <w:pStyle w:val="Nadpis1"/>
        <w:ind w:left="20" w:right="19"/>
        <w:rPr>
          <w:rFonts w:asciiTheme="minorHAnsi" w:hAnsiTheme="minorHAnsi" w:cstheme="minorHAnsi"/>
          <w:sz w:val="24"/>
          <w:szCs w:val="24"/>
        </w:rPr>
      </w:pPr>
      <w:r w:rsidRPr="00393B70">
        <w:rPr>
          <w:rFonts w:asciiTheme="minorHAnsi" w:hAnsiTheme="minorHAnsi" w:cstheme="minorHAnsi"/>
          <w:sz w:val="24"/>
          <w:szCs w:val="24"/>
        </w:rPr>
        <w:t>Chráněné informace</w:t>
      </w:r>
    </w:p>
    <w:p w:rsidR="002B2BC3" w:rsidRPr="00393B70" w:rsidRDefault="00393B70">
      <w:pPr>
        <w:spacing w:after="141"/>
        <w:ind w:left="571"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1 </w:t>
      </w:r>
      <w:r w:rsidRPr="00393B70">
        <w:rPr>
          <w:rFonts w:asciiTheme="minorHAnsi" w:hAnsiTheme="minorHAnsi" w:cstheme="minorHAnsi"/>
          <w:szCs w:val="24"/>
        </w:rPr>
        <w:t xml:space="preserve">Veškeré informace sdělené kteroukoliv ze Smluvních stran při plnění povinností dle této Smlouvy, jsou považovány za přísně důvěrné a nesmí být zpřístupněny či jakýmkoliv jiným </w:t>
      </w:r>
      <w:r w:rsidRPr="00393B70">
        <w:rPr>
          <w:rFonts w:asciiTheme="minorHAnsi" w:hAnsiTheme="minorHAnsi" w:cstheme="minorHAnsi"/>
          <w:szCs w:val="24"/>
        </w:rPr>
        <w:t>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2B2BC3" w:rsidRPr="00393B70" w:rsidRDefault="00393B70">
      <w:pPr>
        <w:spacing w:after="820"/>
        <w:ind w:left="571"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2. </w:t>
      </w:r>
      <w:r w:rsidRPr="00393B70">
        <w:rPr>
          <w:rFonts w:asciiTheme="minorHAnsi" w:hAnsiTheme="minorHAnsi" w:cstheme="minorHAnsi"/>
          <w:szCs w:val="24"/>
        </w:rPr>
        <w:t>Poradce je oprávněn poskytovat při nabídc</w:t>
      </w:r>
      <w:r w:rsidRPr="00393B70">
        <w:rPr>
          <w:rFonts w:asciiTheme="minorHAnsi" w:hAnsiTheme="minorHAnsi" w:cstheme="minorHAnsi"/>
          <w:szCs w:val="24"/>
        </w:rPr>
        <w:t>e poradenských služeb jako reference údaje o realizovaném projektu, týkající se názvu projektu, názvu a identifikace Klienta, stručného popisu vykonané práce v rozsahu poskytované poradenské činnosti.</w:t>
      </w:r>
    </w:p>
    <w:p w:rsidR="002B2BC3" w:rsidRPr="00393B70" w:rsidRDefault="00393B70">
      <w:pPr>
        <w:spacing w:after="3" w:line="259" w:lineRule="auto"/>
        <w:ind w:left="15" w:right="34" w:hanging="10"/>
        <w:jc w:val="center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93B70">
        <w:rPr>
          <w:rFonts w:asciiTheme="minorHAnsi" w:hAnsiTheme="minorHAnsi" w:cstheme="minorHAnsi"/>
          <w:szCs w:val="24"/>
        </w:rPr>
        <w:t>Vl</w:t>
      </w:r>
      <w:proofErr w:type="spellEnd"/>
      <w:r w:rsidRPr="00393B70">
        <w:rPr>
          <w:rFonts w:asciiTheme="minorHAnsi" w:hAnsiTheme="minorHAnsi" w:cstheme="minorHAnsi"/>
          <w:szCs w:val="24"/>
        </w:rPr>
        <w:t>.</w:t>
      </w:r>
    </w:p>
    <w:p w:rsidR="002B2BC3" w:rsidRPr="00393B70" w:rsidRDefault="00393B70">
      <w:pPr>
        <w:pStyle w:val="Nadpis1"/>
        <w:ind w:left="20" w:right="48"/>
        <w:rPr>
          <w:rFonts w:asciiTheme="minorHAnsi" w:hAnsiTheme="minorHAnsi" w:cstheme="minorHAnsi"/>
          <w:sz w:val="24"/>
          <w:szCs w:val="24"/>
        </w:rPr>
      </w:pPr>
      <w:r w:rsidRPr="00393B70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2B2BC3" w:rsidRPr="00393B70" w:rsidRDefault="00393B70">
      <w:pPr>
        <w:spacing w:after="147"/>
        <w:ind w:left="571"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1 </w:t>
      </w:r>
      <w:r w:rsidRPr="00393B70">
        <w:rPr>
          <w:rFonts w:asciiTheme="minorHAnsi" w:hAnsiTheme="minorHAnsi" w:cstheme="minorHAnsi"/>
          <w:szCs w:val="24"/>
        </w:rPr>
        <w:t>Právní vztahy výslovn</w:t>
      </w:r>
      <w:r w:rsidRPr="00393B70">
        <w:rPr>
          <w:rFonts w:asciiTheme="minorHAnsi" w:hAnsiTheme="minorHAnsi" w:cstheme="minorHAnsi"/>
          <w:szCs w:val="24"/>
        </w:rPr>
        <w:t>ě neupravené touto Smlouvou se řídí ustanoveními Občanského zákoníku v platném znění a platnými právními předpisy upravujícími ochranu osobních údajů.</w:t>
      </w:r>
    </w:p>
    <w:p w:rsidR="002B2BC3" w:rsidRPr="00393B70" w:rsidRDefault="00393B70">
      <w:pPr>
        <w:numPr>
          <w:ilvl w:val="0"/>
          <w:numId w:val="7"/>
        </w:numPr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2B2BC3" w:rsidRPr="00393B70" w:rsidRDefault="00393B70">
      <w:pPr>
        <w:numPr>
          <w:ilvl w:val="0"/>
          <w:numId w:val="7"/>
        </w:numPr>
        <w:spacing w:after="59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</w:t>
      </w:r>
      <w:r w:rsidRPr="00393B70">
        <w:rPr>
          <w:rFonts w:asciiTheme="minorHAnsi" w:hAnsiTheme="minorHAnsi" w:cstheme="minorHAnsi"/>
          <w:szCs w:val="24"/>
        </w:rPr>
        <w:t>entovi kopii této smlouvy nebo potvrzení pojišťovny o sjednaném pojištění. Poradce je povinen být v uvedeném rozsahu pojištěn po celou dobu trvání této smlouvy a na základě výzvy klienta je povinen předložit potvrzení o trvání pojištění.</w:t>
      </w:r>
    </w:p>
    <w:p w:rsidR="002B2BC3" w:rsidRPr="00393B70" w:rsidRDefault="00393B70">
      <w:pPr>
        <w:numPr>
          <w:ilvl w:val="0"/>
          <w:numId w:val="7"/>
        </w:numPr>
        <w:spacing w:after="55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Poradce odpovídá k</w:t>
      </w:r>
      <w:r w:rsidRPr="00393B70">
        <w:rPr>
          <w:rFonts w:asciiTheme="minorHAnsi" w:hAnsiTheme="minorHAnsi" w:cstheme="minorHAnsi"/>
          <w:szCs w:val="24"/>
        </w:rPr>
        <w:t xml:space="preserve">lientovi za škodu, která mu vznikne v důsledku jeho pochybení, nečinnosti nebo jiného vadného </w:t>
      </w:r>
      <w:proofErr w:type="gramStart"/>
      <w:r w:rsidRPr="00393B70">
        <w:rPr>
          <w:rFonts w:asciiTheme="minorHAnsi" w:hAnsiTheme="minorHAnsi" w:cstheme="minorHAnsi"/>
          <w:szCs w:val="24"/>
        </w:rPr>
        <w:t>plnění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B2BC3" w:rsidRPr="00393B70" w:rsidRDefault="00393B70">
      <w:pPr>
        <w:numPr>
          <w:ilvl w:val="0"/>
          <w:numId w:val="7"/>
        </w:numPr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</w:t>
      </w:r>
      <w:r w:rsidRPr="00393B70">
        <w:rPr>
          <w:rFonts w:asciiTheme="minorHAnsi" w:hAnsiTheme="minorHAnsi" w:cstheme="minorHAnsi"/>
          <w:szCs w:val="24"/>
        </w:rPr>
        <w:t>ypovědět i bez udání důvodů. Výpovědní doba činí jeden měsíc. Závazek chránit informace dle čl. V. trvá i po skončení účinnosti Smlouvy, stejně tak jako odpovědnost Poradce za jím doposud poskytnutou činnost.</w:t>
      </w:r>
    </w:p>
    <w:p w:rsidR="002B2BC3" w:rsidRPr="00393B70" w:rsidRDefault="00393B70">
      <w:pPr>
        <w:numPr>
          <w:ilvl w:val="0"/>
          <w:numId w:val="7"/>
        </w:numPr>
        <w:spacing w:after="152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Ustanovení této Smlouvy lze měnit a doplňovat p</w:t>
      </w:r>
      <w:r w:rsidRPr="00393B70">
        <w:rPr>
          <w:rFonts w:asciiTheme="minorHAnsi" w:hAnsiTheme="minorHAnsi" w:cstheme="minorHAnsi"/>
          <w:szCs w:val="24"/>
        </w:rPr>
        <w:t>ouze formou písemných dodatků podepsaných oběma Smluvními stranami.</w:t>
      </w:r>
    </w:p>
    <w:p w:rsidR="002B2BC3" w:rsidRPr="00393B70" w:rsidRDefault="00393B70">
      <w:pPr>
        <w:numPr>
          <w:ilvl w:val="0"/>
          <w:numId w:val="7"/>
        </w:numPr>
        <w:spacing w:after="0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393B70">
        <w:rPr>
          <w:rFonts w:asciiTheme="minorHAnsi" w:hAnsiTheme="minorHAnsi" w:cstheme="minorHAnsi"/>
          <w:szCs w:val="24"/>
        </w:rPr>
        <w:t>1 )</w:t>
      </w:r>
      <w:proofErr w:type="gramEnd"/>
      <w:r w:rsidRPr="00393B70">
        <w:rPr>
          <w:rFonts w:asciiTheme="minorHAnsi" w:hAnsiTheme="minorHAnsi" w:cstheme="minorHAnsi"/>
          <w:szCs w:val="24"/>
        </w:rPr>
        <w:t xml:space="preserve"> jednom vyhotovení Smlouvy.</w:t>
      </w:r>
    </w:p>
    <w:p w:rsidR="002B2BC3" w:rsidRPr="00393B70" w:rsidRDefault="00393B70">
      <w:pPr>
        <w:numPr>
          <w:ilvl w:val="0"/>
          <w:numId w:val="7"/>
        </w:numPr>
        <w:spacing w:after="161"/>
        <w:ind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>Pokud by tato Smlouva trpěla právními va</w:t>
      </w:r>
      <w:r w:rsidRPr="00393B70">
        <w:rPr>
          <w:rFonts w:asciiTheme="minorHAnsi" w:hAnsiTheme="minorHAnsi" w:cstheme="minorHAnsi"/>
          <w:szCs w:val="24"/>
        </w:rPr>
        <w:t>dami,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2B2BC3" w:rsidRPr="00393B70" w:rsidRDefault="00393B70">
      <w:pPr>
        <w:spacing w:after="139"/>
        <w:ind w:left="571"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9 </w:t>
      </w:r>
      <w:r w:rsidRPr="00393B70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tyto spory </w:t>
      </w:r>
      <w:r w:rsidRPr="00393B70">
        <w:rPr>
          <w:rFonts w:asciiTheme="minorHAnsi" w:hAnsiTheme="minorHAnsi" w:cstheme="minorHAnsi"/>
          <w:szCs w:val="24"/>
        </w:rPr>
        <w:lastRenderedPageBreak/>
        <w:t>vyřešeny smírnou cestou, zejména aby byly odstraněny okolnosti vedoucí ke vznik</w:t>
      </w:r>
      <w:r w:rsidRPr="00393B70">
        <w:rPr>
          <w:rFonts w:asciiTheme="minorHAnsi" w:hAnsiTheme="minorHAnsi" w:cstheme="minorHAnsi"/>
          <w:szCs w:val="24"/>
        </w:rPr>
        <w:t>u práva od Smlouvy odstoupit, nebo způsobují neplatnost.</w:t>
      </w:r>
    </w:p>
    <w:p w:rsidR="002B2BC3" w:rsidRPr="00393B70" w:rsidRDefault="00393B70">
      <w:pPr>
        <w:spacing w:after="782"/>
        <w:ind w:left="571" w:right="86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 xml:space="preserve">10. </w:t>
      </w:r>
      <w:r w:rsidRPr="00393B70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</w:t>
      </w:r>
      <w:r w:rsidRPr="00393B70">
        <w:rPr>
          <w:rFonts w:asciiTheme="minorHAnsi" w:hAnsiTheme="minorHAnsi" w:cstheme="minorHAnsi"/>
          <w:szCs w:val="24"/>
        </w:rPr>
        <w:t>a to bez uvedení citlivých údajů (obchodní tajemství, osobní údaje). Zveřejnění smlouvy zajistí Poradce.</w:t>
      </w:r>
    </w:p>
    <w:tbl>
      <w:tblPr>
        <w:tblStyle w:val="TableGrid"/>
        <w:tblW w:w="6293" w:type="dxa"/>
        <w:tblInd w:w="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165"/>
      </w:tblGrid>
      <w:tr w:rsidR="002B2BC3" w:rsidRPr="00393B70">
        <w:trPr>
          <w:trHeight w:val="38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2B2BC3" w:rsidRPr="00393B70" w:rsidRDefault="00393B70">
            <w:pPr>
              <w:tabs>
                <w:tab w:val="center" w:pos="2083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93B70">
              <w:rPr>
                <w:rFonts w:asciiTheme="minorHAnsi" w:hAnsiTheme="minorHAnsi" w:cstheme="minorHAnsi"/>
                <w:szCs w:val="24"/>
              </w:rPr>
              <w:t xml:space="preserve">V Praze, dne </w:t>
            </w:r>
            <w:r w:rsidRPr="00393B7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759003" cy="182888"/>
                  <wp:effectExtent l="0" t="0" r="0" b="0"/>
                  <wp:docPr id="21244" name="Picture 2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4" name="Picture 212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003" cy="18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3B7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21337"/>
                  <wp:effectExtent l="0" t="0" r="0" b="0"/>
                  <wp:docPr id="21033" name="Picture 2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3" name="Picture 210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3B70">
              <w:rPr>
                <w:rFonts w:asciiTheme="minorHAnsi" w:hAnsiTheme="minorHAnsi" w:cstheme="minorHAnsi"/>
                <w:szCs w:val="24"/>
              </w:rPr>
              <w:tab/>
            </w:r>
            <w:r w:rsidRPr="00393B7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8289"/>
                  <wp:effectExtent l="0" t="0" r="0" b="0"/>
                  <wp:docPr id="21034" name="Picture 2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4" name="Picture 2103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B2BC3" w:rsidRPr="00393B70" w:rsidRDefault="00393B70">
            <w:pPr>
              <w:tabs>
                <w:tab w:val="center" w:pos="1142"/>
                <w:tab w:val="right" w:pos="216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93B70">
              <w:rPr>
                <w:rFonts w:asciiTheme="minorHAnsi" w:hAnsiTheme="minorHAnsi" w:cstheme="minorHAnsi"/>
                <w:szCs w:val="24"/>
              </w:rPr>
              <w:tab/>
              <w:t>V Praze, dne</w:t>
            </w:r>
            <w:r w:rsidRPr="00393B70">
              <w:rPr>
                <w:rFonts w:asciiTheme="minorHAnsi" w:hAnsiTheme="minorHAnsi" w:cstheme="minorHAnsi"/>
                <w:szCs w:val="24"/>
              </w:rPr>
              <w:tab/>
            </w:r>
            <w:r w:rsidRPr="00393B70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" cy="6096"/>
                  <wp:effectExtent l="0" t="0" r="0" b="0"/>
                  <wp:docPr id="21035" name="Picture 2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5" name="Picture 210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BC3" w:rsidRPr="00393B70">
        <w:trPr>
          <w:trHeight w:val="378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BC3" w:rsidRPr="00393B70" w:rsidRDefault="00393B70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93B70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BC3" w:rsidRPr="00393B70" w:rsidRDefault="00393B70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393B70">
              <w:rPr>
                <w:rFonts w:asciiTheme="minorHAnsi" w:hAnsiTheme="minorHAnsi" w:cstheme="minorHAnsi"/>
                <w:szCs w:val="24"/>
              </w:rPr>
              <w:t>Mgr. Miloš Tichý</w:t>
            </w:r>
          </w:p>
        </w:tc>
      </w:tr>
      <w:tr w:rsidR="002B2BC3" w:rsidRPr="00393B70">
        <w:trPr>
          <w:trHeight w:val="241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2B2BC3" w:rsidRPr="00393B70" w:rsidRDefault="00393B7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93B70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2B2BC3" w:rsidRPr="00393B70" w:rsidRDefault="00393B70">
            <w:pPr>
              <w:spacing w:after="0" w:line="259" w:lineRule="auto"/>
              <w:ind w:left="514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93B70">
              <w:rPr>
                <w:rFonts w:asciiTheme="minorHAnsi" w:hAnsiTheme="minorHAnsi" w:cstheme="minorHAnsi"/>
                <w:szCs w:val="24"/>
              </w:rPr>
              <w:t>ředitel</w:t>
            </w:r>
          </w:p>
        </w:tc>
      </w:tr>
    </w:tbl>
    <w:p w:rsidR="002B2BC3" w:rsidRPr="00393B70" w:rsidRDefault="00393B70">
      <w:pPr>
        <w:spacing w:after="15" w:line="259" w:lineRule="auto"/>
        <w:ind w:left="101" w:right="0" w:firstLine="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3565" cy="1097332"/>
            <wp:effectExtent l="0" t="0" r="0" b="0"/>
            <wp:docPr id="31972" name="Picture 3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2" name="Picture 319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109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BC3" w:rsidRPr="00393B70" w:rsidRDefault="00393B70">
      <w:pPr>
        <w:tabs>
          <w:tab w:val="center" w:pos="2273"/>
          <w:tab w:val="center" w:pos="6898"/>
        </w:tabs>
        <w:spacing w:after="47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393B70">
        <w:rPr>
          <w:rFonts w:asciiTheme="minorHAnsi" w:hAnsiTheme="minorHAnsi" w:cstheme="minorHAnsi"/>
          <w:szCs w:val="24"/>
        </w:rPr>
        <w:tab/>
        <w:t>vlastnoruční podpis</w:t>
      </w:r>
      <w:r w:rsidRPr="00393B70">
        <w:rPr>
          <w:rFonts w:asciiTheme="minorHAnsi" w:hAnsiTheme="minorHAnsi" w:cstheme="minorHAnsi"/>
          <w:szCs w:val="24"/>
        </w:rPr>
        <w:tab/>
      </w:r>
      <w:proofErr w:type="spellStart"/>
      <w:r w:rsidRPr="00393B70">
        <w:rPr>
          <w:rFonts w:asciiTheme="minorHAnsi" w:hAnsiTheme="minorHAnsi" w:cstheme="minorHAnsi"/>
          <w:szCs w:val="24"/>
        </w:rPr>
        <w:t>vlastnor</w:t>
      </w:r>
      <w:proofErr w:type="spellEnd"/>
      <w:r w:rsidRPr="00393B70">
        <w:rPr>
          <w:rFonts w:asciiTheme="minorHAnsi" w:hAnsiTheme="minorHAnsi" w:cstheme="minorHAnsi"/>
          <w:szCs w:val="24"/>
        </w:rPr>
        <w:t xml:space="preserve"> ční podpis</w:t>
      </w:r>
      <w:bookmarkStart w:id="0" w:name="_GoBack"/>
      <w:bookmarkEnd w:id="0"/>
    </w:p>
    <w:sectPr w:rsidR="002B2BC3" w:rsidRPr="00393B70">
      <w:footerReference w:type="even" r:id="rId18"/>
      <w:footerReference w:type="default" r:id="rId19"/>
      <w:footerReference w:type="first" r:id="rId20"/>
      <w:pgSz w:w="11900" w:h="16820"/>
      <w:pgMar w:top="1404" w:right="1392" w:bottom="1382" w:left="1310" w:header="708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3B70">
      <w:pPr>
        <w:spacing w:after="0" w:line="240" w:lineRule="auto"/>
      </w:pPr>
      <w:r>
        <w:separator/>
      </w:r>
    </w:p>
  </w:endnote>
  <w:endnote w:type="continuationSeparator" w:id="0">
    <w:p w:rsidR="00000000" w:rsidRDefault="0039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BC3" w:rsidRDefault="00393B70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BC3" w:rsidRDefault="00393B70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BC3" w:rsidRDefault="00393B70">
    <w:pPr>
      <w:spacing w:after="0" w:line="259" w:lineRule="auto"/>
      <w:ind w:left="0" w:right="1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3B70">
      <w:pPr>
        <w:spacing w:after="0" w:line="240" w:lineRule="auto"/>
      </w:pPr>
      <w:r>
        <w:separator/>
      </w:r>
    </w:p>
  </w:footnote>
  <w:footnote w:type="continuationSeparator" w:id="0">
    <w:p w:rsidR="00000000" w:rsidRDefault="0039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728E"/>
    <w:multiLevelType w:val="hybridMultilevel"/>
    <w:tmpl w:val="20105AA6"/>
    <w:lvl w:ilvl="0" w:tplc="07AA4464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A034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47046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0531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CD582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428B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6D13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0102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ADF42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54442"/>
    <w:multiLevelType w:val="hybridMultilevel"/>
    <w:tmpl w:val="C2303F32"/>
    <w:lvl w:ilvl="0" w:tplc="D7F20C00">
      <w:start w:val="1"/>
      <w:numFmt w:val="decimal"/>
      <w:lvlText w:val="%1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999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C372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411A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52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85F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2345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1EC2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C417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16B81"/>
    <w:multiLevelType w:val="hybridMultilevel"/>
    <w:tmpl w:val="1D7CA918"/>
    <w:lvl w:ilvl="0" w:tplc="8F04EDD6">
      <w:start w:val="3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14E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13AC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8887A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42BF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E2E46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075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4BA92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0221E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67066"/>
    <w:multiLevelType w:val="hybridMultilevel"/>
    <w:tmpl w:val="890AD842"/>
    <w:lvl w:ilvl="0" w:tplc="EA30C8BA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8D4E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8E55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E9FA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EE2F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E914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98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61F2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CC10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9766A"/>
    <w:multiLevelType w:val="hybridMultilevel"/>
    <w:tmpl w:val="40600BD8"/>
    <w:lvl w:ilvl="0" w:tplc="A37446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84366">
      <w:start w:val="4"/>
      <w:numFmt w:val="lowerRoman"/>
      <w:lvlText w:val="%2.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2873C">
      <w:start w:val="1"/>
      <w:numFmt w:val="lowerRoman"/>
      <w:lvlText w:val="%3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CD098">
      <w:start w:val="1"/>
      <w:numFmt w:val="decimal"/>
      <w:lvlText w:val="%4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69520">
      <w:start w:val="1"/>
      <w:numFmt w:val="lowerLetter"/>
      <w:lvlText w:val="%5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40D18">
      <w:start w:val="1"/>
      <w:numFmt w:val="lowerRoman"/>
      <w:lvlText w:val="%6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8915E">
      <w:start w:val="1"/>
      <w:numFmt w:val="decimal"/>
      <w:lvlText w:val="%7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C50FC">
      <w:start w:val="1"/>
      <w:numFmt w:val="lowerLetter"/>
      <w:lvlText w:val="%8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CFF6E">
      <w:start w:val="1"/>
      <w:numFmt w:val="lowerRoman"/>
      <w:lvlText w:val="%9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65475"/>
    <w:multiLevelType w:val="hybridMultilevel"/>
    <w:tmpl w:val="85B4C5F4"/>
    <w:lvl w:ilvl="0" w:tplc="A7E8E75C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8396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249D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C305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A4D4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4D69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2252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4E51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2C54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1E483A"/>
    <w:multiLevelType w:val="hybridMultilevel"/>
    <w:tmpl w:val="522E41B0"/>
    <w:lvl w:ilvl="0" w:tplc="6EA65A3C">
      <w:start w:val="2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A632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0D46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A508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EBDFE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E6C2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296F2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C946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0CE16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C3"/>
    <w:rsid w:val="002B2BC3"/>
    <w:rsid w:val="003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5344-4B88-4393-BABF-E9E5C05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8" w:line="218" w:lineRule="auto"/>
      <w:ind w:left="586" w:right="53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34" w:line="265" w:lineRule="auto"/>
      <w:ind w:left="4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679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KM_C558-20180507093938</vt:lpstr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KM_C558-20180507093938</dc:title>
  <dc:subject/>
  <dc:creator>Petr Gabriel</dc:creator>
  <cp:keywords/>
  <cp:lastModifiedBy>Petr Gabriel</cp:lastModifiedBy>
  <cp:revision>2</cp:revision>
  <dcterms:created xsi:type="dcterms:W3CDTF">2018-05-24T11:39:00Z</dcterms:created>
  <dcterms:modified xsi:type="dcterms:W3CDTF">2018-05-24T11:39:00Z</dcterms:modified>
</cp:coreProperties>
</file>