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38" w:rsidRPr="007F505B" w:rsidRDefault="007F505B">
      <w:pPr>
        <w:spacing w:after="351" w:line="259" w:lineRule="auto"/>
        <w:ind w:left="86" w:right="0" w:firstLine="0"/>
        <w:jc w:val="center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Smlouva o poskytování poradenských služeb</w:t>
      </w:r>
    </w:p>
    <w:p w:rsidR="00225C38" w:rsidRPr="007F505B" w:rsidRDefault="007F505B">
      <w:pPr>
        <w:spacing w:after="0" w:line="259" w:lineRule="auto"/>
        <w:ind w:left="91" w:right="0" w:hanging="1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BDO Advisory s.r.o.</w:t>
      </w:r>
    </w:p>
    <w:p w:rsidR="00225C38" w:rsidRPr="007F505B" w:rsidRDefault="007F505B">
      <w:pPr>
        <w:spacing w:after="251"/>
        <w:ind w:left="67" w:right="38" w:firstLine="10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7F505B">
        <w:rPr>
          <w:rFonts w:asciiTheme="minorHAnsi" w:hAnsiTheme="minorHAnsi" w:cstheme="minorHAnsi"/>
          <w:szCs w:val="24"/>
        </w:rPr>
        <w:t>Haukem</w:t>
      </w:r>
      <w:proofErr w:type="spellEnd"/>
      <w:r w:rsidRPr="007F505B">
        <w:rPr>
          <w:rFonts w:asciiTheme="minorHAnsi" w:hAnsiTheme="minorHAnsi" w:cstheme="minorHAnsi"/>
          <w:szCs w:val="24"/>
        </w:rPr>
        <w:t>, jednatelem</w:t>
      </w:r>
    </w:p>
    <w:p w:rsidR="00225C38" w:rsidRPr="007F505B" w:rsidRDefault="007F505B">
      <w:pPr>
        <w:spacing w:after="198" w:line="265" w:lineRule="auto"/>
        <w:ind w:left="77" w:right="0" w:hanging="1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dále jen „Poradce”</w:t>
      </w:r>
    </w:p>
    <w:p w:rsidR="00225C38" w:rsidRPr="007F505B" w:rsidRDefault="007F505B">
      <w:pPr>
        <w:spacing w:after="167" w:line="259" w:lineRule="auto"/>
        <w:ind w:left="82" w:right="0" w:firstLine="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a</w:t>
      </w:r>
    </w:p>
    <w:p w:rsidR="00225C38" w:rsidRPr="007F505B" w:rsidRDefault="007F505B">
      <w:pPr>
        <w:spacing w:after="0" w:line="259" w:lineRule="auto"/>
        <w:ind w:left="91" w:right="0" w:hanging="1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Základní škola a střední škola Kupeckého</w:t>
      </w:r>
    </w:p>
    <w:p w:rsidR="00225C38" w:rsidRPr="007F505B" w:rsidRDefault="007F505B">
      <w:pPr>
        <w:spacing w:after="0" w:line="265" w:lineRule="auto"/>
        <w:ind w:left="77" w:right="0" w:hanging="1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Se sídlem Kupeckého 576, 149 OO Praha</w:t>
      </w:r>
    </w:p>
    <w:p w:rsidR="00225C38" w:rsidRPr="007F505B" w:rsidRDefault="007F505B">
      <w:pPr>
        <w:spacing w:after="38"/>
        <w:ind w:left="67" w:right="38" w:firstLine="0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IC: 48135411</w:t>
      </w:r>
    </w:p>
    <w:p w:rsidR="00225C38" w:rsidRPr="007F505B" w:rsidRDefault="007F505B">
      <w:pPr>
        <w:spacing w:after="237" w:line="265" w:lineRule="auto"/>
        <w:ind w:left="77" w:right="0" w:hanging="1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Zastoupena: PhDr. Karel Kaprálek, ředitel školy</w:t>
      </w:r>
    </w:p>
    <w:p w:rsidR="00225C38" w:rsidRPr="007F505B" w:rsidRDefault="007F505B">
      <w:pPr>
        <w:spacing w:after="532" w:line="265" w:lineRule="auto"/>
        <w:ind w:left="77" w:right="0" w:hanging="1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dále jen „Klient”</w:t>
      </w:r>
    </w:p>
    <w:p w:rsidR="00225C38" w:rsidRPr="007F505B" w:rsidRDefault="007F505B">
      <w:pPr>
        <w:spacing w:after="357"/>
        <w:ind w:left="67" w:right="38" w:firstLine="10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”Smlouva") ve smyslu ustanovení S 1 746 odst. 2. zákona č. 89/2012 Sb., občanský zákoník, ve znění pozdějších předpisů (dále jen ”Občanský zákoník”</w:t>
      </w:r>
      <w:r w:rsidRPr="007F505B">
        <w:rPr>
          <w:rFonts w:asciiTheme="minorHAnsi" w:hAnsiTheme="minorHAnsi" w:cstheme="minorHAnsi"/>
          <w:szCs w:val="24"/>
        </w:rPr>
        <w:t>)</w:t>
      </w:r>
    </w:p>
    <w:p w:rsidR="00225C38" w:rsidRPr="007F505B" w:rsidRDefault="007F505B">
      <w:pPr>
        <w:spacing w:after="0" w:line="259" w:lineRule="auto"/>
        <w:ind w:left="92" w:right="53" w:hanging="10"/>
        <w:jc w:val="center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Článek l.</w:t>
      </w:r>
    </w:p>
    <w:p w:rsidR="00225C38" w:rsidRPr="007F505B" w:rsidRDefault="007F505B">
      <w:pPr>
        <w:spacing w:after="366" w:line="259" w:lineRule="auto"/>
        <w:ind w:left="92" w:right="58" w:hanging="1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t>Předmět smlouvy</w:t>
      </w:r>
    </w:p>
    <w:p w:rsidR="00225C38" w:rsidRPr="007F505B" w:rsidRDefault="007F505B">
      <w:pPr>
        <w:numPr>
          <w:ilvl w:val="0"/>
          <w:numId w:val="1"/>
        </w:numPr>
        <w:spacing w:after="88"/>
        <w:ind w:right="38" w:hanging="547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7F505B">
        <w:rPr>
          <w:rFonts w:asciiTheme="minorHAnsi" w:hAnsiTheme="minorHAnsi" w:cstheme="minorHAnsi"/>
          <w:szCs w:val="24"/>
        </w:rPr>
        <w:t>Il</w:t>
      </w:r>
      <w:proofErr w:type="spellEnd"/>
      <w:r w:rsidRPr="007F505B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225C38" w:rsidRPr="007F505B" w:rsidRDefault="007F505B">
      <w:pPr>
        <w:numPr>
          <w:ilvl w:val="0"/>
          <w:numId w:val="1"/>
        </w:numPr>
        <w:spacing w:after="81"/>
        <w:ind w:right="38" w:hanging="547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Klient se zavazuje zaplatit </w:t>
      </w:r>
      <w:r w:rsidRPr="007F505B">
        <w:rPr>
          <w:rFonts w:asciiTheme="minorHAnsi" w:hAnsiTheme="minorHAnsi" w:cstheme="minorHAnsi"/>
          <w:szCs w:val="24"/>
        </w:rPr>
        <w:t>Poradci za jím provedené činnosti podle této Smlouvy, odměnu stanovenou dále v čl. IV. této Smlouvy a poskytovat Poradci veškerou součinnost potřebnou pro výkon sjednané činnosti podle této smlouvy.</w:t>
      </w:r>
    </w:p>
    <w:p w:rsidR="00225C38" w:rsidRPr="007F505B" w:rsidRDefault="007F505B">
      <w:pPr>
        <w:spacing w:after="345"/>
        <w:ind w:left="566" w:right="38" w:hanging="499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3. </w:t>
      </w:r>
      <w:r w:rsidRPr="007F505B">
        <w:rPr>
          <w:rFonts w:asciiTheme="minorHAnsi" w:hAnsiTheme="minorHAnsi" w:cstheme="minorHAnsi"/>
          <w:szCs w:val="24"/>
        </w:rPr>
        <w:t xml:space="preserve">Poradce prohlašuje, že je odborně způsobilou osobou k </w:t>
      </w:r>
      <w:r w:rsidRPr="007F505B">
        <w:rPr>
          <w:rFonts w:asciiTheme="minorHAnsi" w:hAnsiTheme="minorHAnsi" w:cstheme="minorHAnsi"/>
          <w:szCs w:val="24"/>
        </w:rPr>
        <w:t>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225C38" w:rsidRPr="007F505B" w:rsidRDefault="007F505B">
      <w:pPr>
        <w:spacing w:after="0" w:line="259" w:lineRule="auto"/>
        <w:ind w:left="92" w:right="72" w:hanging="10"/>
        <w:jc w:val="center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F505B">
        <w:rPr>
          <w:rFonts w:asciiTheme="minorHAnsi" w:hAnsiTheme="minorHAnsi" w:cstheme="minorHAnsi"/>
          <w:szCs w:val="24"/>
        </w:rPr>
        <w:t>Il</w:t>
      </w:r>
      <w:proofErr w:type="spellEnd"/>
      <w:r w:rsidRPr="007F505B">
        <w:rPr>
          <w:rFonts w:asciiTheme="minorHAnsi" w:hAnsiTheme="minorHAnsi" w:cstheme="minorHAnsi"/>
          <w:szCs w:val="24"/>
        </w:rPr>
        <w:t>.</w:t>
      </w:r>
    </w:p>
    <w:p w:rsidR="00225C38" w:rsidRPr="007F505B" w:rsidRDefault="007F505B">
      <w:pPr>
        <w:spacing w:after="323" w:line="259" w:lineRule="auto"/>
        <w:ind w:left="92" w:right="58" w:hanging="10"/>
        <w:jc w:val="center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Poskytované služby</w:t>
      </w:r>
    </w:p>
    <w:p w:rsidR="00225C38" w:rsidRPr="007F505B" w:rsidRDefault="007F505B">
      <w:pPr>
        <w:ind w:left="773" w:right="38" w:hanging="355"/>
        <w:rPr>
          <w:rFonts w:asciiTheme="minorHAnsi" w:hAnsiTheme="minorHAnsi" w:cstheme="minorHAnsi"/>
          <w:szCs w:val="24"/>
        </w:rPr>
      </w:pPr>
      <w:proofErr w:type="gramStart"/>
      <w:r w:rsidRPr="007F505B">
        <w:rPr>
          <w:rFonts w:asciiTheme="minorHAnsi" w:hAnsiTheme="minorHAnsi" w:cstheme="minorHAnsi"/>
          <w:szCs w:val="24"/>
        </w:rPr>
        <w:t>1 .</w:t>
      </w:r>
      <w:proofErr w:type="gramEnd"/>
      <w:r w:rsidRPr="007F505B">
        <w:rPr>
          <w:rFonts w:asciiTheme="minorHAnsi" w:hAnsiTheme="minorHAnsi" w:cstheme="minorHAnsi"/>
          <w:szCs w:val="24"/>
        </w:rPr>
        <w:t xml:space="preserve"> </w:t>
      </w:r>
      <w:r w:rsidRPr="007F505B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 a Rady EU (2016/679) ze dne 27. dubna 2016 0 ochraně fyzických osob v souvislosti se zpracován</w:t>
      </w:r>
      <w:r w:rsidRPr="007F505B">
        <w:rPr>
          <w:rFonts w:asciiTheme="minorHAnsi" w:hAnsiTheme="minorHAnsi" w:cstheme="minorHAnsi"/>
          <w:szCs w:val="24"/>
        </w:rPr>
        <w:t>ím osobních údajů a o volném pohybu těchto údajů a o zrušení směrnice 95/46/ES (dále také „GDPR”), spočívající zejména v poskytnutí:</w:t>
      </w:r>
    </w:p>
    <w:p w:rsidR="00225C38" w:rsidRPr="007F505B" w:rsidRDefault="007F505B">
      <w:pPr>
        <w:ind w:left="989" w:right="125" w:hanging="5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0927" name="Picture 30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7" name="Picture 309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505B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7F505B">
        <w:rPr>
          <w:rFonts w:asciiTheme="minorHAnsi" w:hAnsiTheme="minorHAnsi" w:cstheme="minorHAnsi"/>
          <w:szCs w:val="24"/>
        </w:rPr>
        <w:t>ii</w:t>
      </w:r>
      <w:proofErr w:type="spellEnd"/>
      <w:r w:rsidRPr="007F505B">
        <w:rPr>
          <w:rFonts w:asciiTheme="minorHAnsi" w:hAnsiTheme="minorHAnsi" w:cstheme="minorHAnsi"/>
          <w:szCs w:val="24"/>
        </w:rPr>
        <w:t>. ne</w:t>
      </w:r>
      <w:r w:rsidRPr="007F505B">
        <w:rPr>
          <w:rFonts w:asciiTheme="minorHAnsi" w:hAnsiTheme="minorHAnsi" w:cstheme="minorHAnsi"/>
          <w:szCs w:val="24"/>
        </w:rPr>
        <w:t xml:space="preserve">zbytné součinnosti při </w:t>
      </w:r>
      <w:r w:rsidRPr="007F505B">
        <w:rPr>
          <w:rFonts w:asciiTheme="minorHAnsi" w:hAnsiTheme="minorHAnsi" w:cstheme="minorHAnsi"/>
          <w:szCs w:val="24"/>
        </w:rPr>
        <w:lastRenderedPageBreak/>
        <w:t>odstraňování nálezů popsaných ve zprávě Zpráva nezávislého auditora o ověření shody s požadavky GDPR;</w:t>
      </w:r>
    </w:p>
    <w:p w:rsidR="00225C38" w:rsidRPr="007F505B" w:rsidRDefault="007F505B">
      <w:pPr>
        <w:ind w:left="548" w:right="125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2. </w:t>
      </w:r>
      <w:r w:rsidRPr="007F505B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</w:t>
      </w:r>
      <w:r w:rsidRPr="007F505B">
        <w:rPr>
          <w:rFonts w:asciiTheme="minorHAnsi" w:hAnsiTheme="minorHAnsi" w:cstheme="minorHAnsi"/>
          <w:szCs w:val="24"/>
        </w:rPr>
        <w:t xml:space="preserve">h údajů (dále také „GDPR”), které vstoupilo v platnost dne 24. května 2016 a vnitrostátních právních předpisů na ochranu osobních údajů, a to zejména činností „Pověřence na ochranu osobních údajů" s cílem monitorování souladu s Obecným nařízením o ochraně </w:t>
      </w:r>
      <w:r w:rsidRPr="007F505B">
        <w:rPr>
          <w:rFonts w:asciiTheme="minorHAnsi" w:hAnsiTheme="minorHAnsi" w:cstheme="minorHAnsi"/>
          <w:szCs w:val="24"/>
        </w:rPr>
        <w:t>osobních údajů (GDPR), a to v rozsahu:</w:t>
      </w:r>
    </w:p>
    <w:p w:rsidR="00225C38" w:rsidRPr="007F505B" w:rsidRDefault="007F505B">
      <w:pPr>
        <w:spacing w:after="57"/>
        <w:ind w:left="998" w:right="110" w:firstLine="0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0929" name="Picture 30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9" name="Picture 309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505B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7F505B">
        <w:rPr>
          <w:rFonts w:asciiTheme="minorHAnsi" w:hAnsiTheme="minorHAnsi" w:cstheme="minorHAnsi"/>
          <w:szCs w:val="24"/>
        </w:rPr>
        <w:t>ii</w:t>
      </w:r>
      <w:proofErr w:type="spellEnd"/>
      <w:r w:rsidRPr="007F505B">
        <w:rPr>
          <w:rFonts w:asciiTheme="minorHAnsi" w:hAnsiTheme="minorHAnsi" w:cstheme="minorHAnsi"/>
          <w:szCs w:val="24"/>
        </w:rPr>
        <w:t>. průběžné monitorování souladu Klienta s nařízením GDPR v oblasti ochrany osobní</w:t>
      </w:r>
      <w:r w:rsidRPr="007F505B">
        <w:rPr>
          <w:rFonts w:asciiTheme="minorHAnsi" w:hAnsiTheme="minorHAnsi" w:cstheme="minorHAnsi"/>
          <w:szCs w:val="24"/>
        </w:rPr>
        <w:t>ch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</w:t>
      </w:r>
      <w:r w:rsidRPr="007F505B">
        <w:rPr>
          <w:rFonts w:asciiTheme="minorHAnsi" w:hAnsiTheme="minorHAnsi" w:cstheme="minorHAnsi"/>
          <w:szCs w:val="24"/>
        </w:rPr>
        <w:t xml:space="preserve">vání; </w:t>
      </w:r>
      <w:r w:rsidRPr="007F505B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7F505B">
        <w:rPr>
          <w:rFonts w:asciiTheme="minorHAnsi" w:hAnsiTheme="minorHAnsi" w:cstheme="minorHAnsi"/>
          <w:szCs w:val="24"/>
        </w:rPr>
        <w:t>i</w:t>
      </w:r>
      <w:proofErr w:type="spellEnd"/>
      <w:r w:rsidRPr="007F505B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F505B">
        <w:rPr>
          <w:rFonts w:asciiTheme="minorHAnsi" w:hAnsiTheme="minorHAnsi" w:cstheme="minorHAnsi"/>
          <w:szCs w:val="24"/>
        </w:rPr>
        <w:t>i</w:t>
      </w:r>
      <w:proofErr w:type="spellEnd"/>
      <w:r w:rsidRPr="007F505B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7F505B">
        <w:rPr>
          <w:rFonts w:asciiTheme="minorHAnsi" w:hAnsiTheme="minorHAnsi" w:cstheme="minorHAnsi"/>
          <w:szCs w:val="24"/>
        </w:rPr>
        <w:t xml:space="preserve"> </w:t>
      </w:r>
      <w:r w:rsidRPr="007F505B">
        <w:rPr>
          <w:rFonts w:asciiTheme="minorHAnsi" w:hAnsiTheme="minorHAnsi" w:cstheme="minorHAnsi"/>
          <w:szCs w:val="24"/>
        </w:rPr>
        <w:t xml:space="preserve">poskytování poradenství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7F505B">
        <w:rPr>
          <w:rFonts w:asciiTheme="minorHAnsi" w:hAnsiTheme="minorHAnsi" w:cstheme="minorHAnsi"/>
          <w:szCs w:val="24"/>
        </w:rPr>
        <w:t>iv</w:t>
      </w:r>
      <w:proofErr w:type="spellEnd"/>
      <w:r w:rsidRPr="007F505B">
        <w:rPr>
          <w:rFonts w:asciiTheme="minorHAnsi" w:hAnsiTheme="minorHAnsi" w:cstheme="minorHAnsi"/>
          <w:szCs w:val="24"/>
        </w:rPr>
        <w:t>. spolupráce a komunikace s dozorovým úřade</w:t>
      </w:r>
      <w:r w:rsidRPr="007F505B">
        <w:rPr>
          <w:rFonts w:asciiTheme="minorHAnsi" w:hAnsiTheme="minorHAnsi" w:cstheme="minorHAnsi"/>
          <w:szCs w:val="24"/>
        </w:rPr>
        <w:t>m; poradenská činnost při řízení před dozorovým úřadem nebo soudem;</w:t>
      </w:r>
    </w:p>
    <w:p w:rsidR="00225C38" w:rsidRPr="007F505B" w:rsidRDefault="007F505B">
      <w:pPr>
        <w:ind w:left="1008" w:right="101" w:hanging="5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v. </w:t>
      </w:r>
      <w:r w:rsidRPr="007F505B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7F505B">
        <w:rPr>
          <w:rFonts w:asciiTheme="minorHAnsi" w:hAnsiTheme="minorHAnsi" w:cstheme="minorHAnsi"/>
          <w:szCs w:val="24"/>
        </w:rPr>
        <w:t>se</w:t>
      </w:r>
      <w:proofErr w:type="gramEnd"/>
      <w:r w:rsidRPr="007F505B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7F505B">
        <w:rPr>
          <w:rFonts w:asciiTheme="minorHAnsi" w:hAnsiTheme="minorHAnsi" w:cstheme="minorHAnsi"/>
          <w:szCs w:val="24"/>
        </w:rPr>
        <w:t>vi</w:t>
      </w:r>
      <w:proofErr w:type="spellEnd"/>
      <w:r w:rsidRPr="007F505B">
        <w:rPr>
          <w:rFonts w:asciiTheme="minorHAnsi" w:hAnsiTheme="minorHAnsi" w:cstheme="minorHAnsi"/>
          <w:szCs w:val="24"/>
        </w:rPr>
        <w:t>. působení jako kont</w:t>
      </w:r>
      <w:r w:rsidRPr="007F505B">
        <w:rPr>
          <w:rFonts w:asciiTheme="minorHAnsi" w:hAnsiTheme="minorHAnsi" w:cstheme="minorHAnsi"/>
          <w:szCs w:val="24"/>
        </w:rPr>
        <w:t>aktní osoba Klienta, resp. zaměstnavatele pro subjekty údajů ve všech záležitostech souvisejících se zpracováním jejich osobních údajů a výkonem jejich práv podle GDPR.</w:t>
      </w:r>
    </w:p>
    <w:p w:rsidR="00225C38" w:rsidRPr="007F505B" w:rsidRDefault="007F505B">
      <w:pPr>
        <w:ind w:left="1440" w:right="38" w:hanging="432"/>
        <w:rPr>
          <w:rFonts w:asciiTheme="minorHAnsi" w:hAnsiTheme="minorHAnsi" w:cstheme="minorHAnsi"/>
          <w:szCs w:val="24"/>
        </w:rPr>
      </w:pPr>
      <w:proofErr w:type="spellStart"/>
      <w:r w:rsidRPr="007F505B">
        <w:rPr>
          <w:rFonts w:asciiTheme="minorHAnsi" w:hAnsiTheme="minorHAnsi" w:cstheme="minorHAnsi"/>
          <w:szCs w:val="24"/>
        </w:rPr>
        <w:t>vii</w:t>
      </w:r>
      <w:proofErr w:type="spellEnd"/>
      <w:r w:rsidRPr="007F505B">
        <w:rPr>
          <w:rFonts w:asciiTheme="minorHAnsi" w:hAnsiTheme="minorHAnsi" w:cstheme="minorHAnsi"/>
          <w:szCs w:val="24"/>
        </w:rPr>
        <w:t>. Pověřenec dohlíží na soulad činnosti zaměstnavatele s GDPR a dalšími předpisy v ob</w:t>
      </w:r>
      <w:r w:rsidRPr="007F505B">
        <w:rPr>
          <w:rFonts w:asciiTheme="minorHAnsi" w:hAnsiTheme="minorHAnsi" w:cstheme="minorHAnsi"/>
          <w:szCs w:val="24"/>
        </w:rPr>
        <w:t xml:space="preserve">lasti ochrany osobních údajů podle vlastního plánu dohledové činnosti a na základě vyhodnocení podnětů zaměstnavatele, ostatních zaměstnanců, kontrolních orgánů a subjektů údajů. Pověřenec poskytuje zaměstnavateli a ostatním zaměstnancům informace z oboru </w:t>
      </w:r>
      <w:r w:rsidRPr="007F505B">
        <w:rPr>
          <w:rFonts w:asciiTheme="minorHAnsi" w:hAnsiTheme="minorHAnsi" w:cstheme="minorHAnsi"/>
          <w:szCs w:val="24"/>
        </w:rPr>
        <w:t>své působnosti podle aktuálních potřeb, v souladu s vlastním plánem zvyšování povědomí zaměstnanců o ochraně osobních údajů a také formou vyjádření a připomínek ke konkrétním otázkám a dokumentům předloženým mu zaměstnavatelem. Pověřenec sleduje vývoj práv</w:t>
      </w:r>
      <w:r w:rsidRPr="007F505B">
        <w:rPr>
          <w:rFonts w:asciiTheme="minorHAnsi" w:hAnsiTheme="minorHAnsi" w:cstheme="minorHAnsi"/>
          <w:szCs w:val="24"/>
        </w:rPr>
        <w:t xml:space="preserve">ní úpravy, stanoviska Úřadu pro ochranu osobních údajů a orgánů Evropské unie a rozhodovací činnost </w:t>
      </w:r>
      <w:proofErr w:type="spellStart"/>
      <w:r w:rsidRPr="007F505B">
        <w:rPr>
          <w:rFonts w:asciiTheme="minorHAnsi" w:hAnsiTheme="minorHAnsi" w:cstheme="minorHAnsi"/>
          <w:szCs w:val="24"/>
        </w:rPr>
        <w:t>soudŮ</w:t>
      </w:r>
      <w:proofErr w:type="spellEnd"/>
      <w:r w:rsidRPr="007F505B">
        <w:rPr>
          <w:rFonts w:asciiTheme="minorHAnsi" w:hAnsiTheme="minorHAnsi" w:cstheme="minorHAnsi"/>
          <w:szCs w:val="24"/>
        </w:rPr>
        <w:t xml:space="preserve"> v oblasti ochrany osobních údajů a přiměřeným způsobem o těchto skutečnostech informuje zaměstnavatele a ostatní zaměstnance. Pověřenec sleduje vývoj </w:t>
      </w:r>
      <w:r w:rsidRPr="007F505B">
        <w:rPr>
          <w:rFonts w:asciiTheme="minorHAnsi" w:hAnsiTheme="minorHAnsi" w:cstheme="minorHAnsi"/>
          <w:szCs w:val="24"/>
        </w:rPr>
        <w:t>technologií souvisejících s ochranou osobních údajů a přiměřeným způsobem o něm informuje zaměstnavatele a ostatní zaměstnance. Pověřenec posuzuje návrhy významných dokumentů zaměstnavatele týkajících se ochrany osobních údajů, zejména politik ochrany osob</w:t>
      </w:r>
      <w:r w:rsidRPr="007F505B">
        <w:rPr>
          <w:rFonts w:asciiTheme="minorHAnsi" w:hAnsiTheme="minorHAnsi" w:cstheme="minorHAnsi"/>
          <w:szCs w:val="24"/>
        </w:rPr>
        <w:t>ních údajů, bezpečnostních směrnic a dalších vnitřních předpisů, vzorů souhlasů se zpracováním osobních údajů, návrhů smluv o zpracování osobních údajů, vzorů podání a vyřízení, pokud jde o uplatňování práv subjektů údajů. Pověřenec posuzuje soulad navrhov</w:t>
      </w:r>
      <w:r w:rsidRPr="007F505B">
        <w:rPr>
          <w:rFonts w:asciiTheme="minorHAnsi" w:hAnsiTheme="minorHAnsi" w:cstheme="minorHAnsi"/>
          <w:szCs w:val="24"/>
        </w:rPr>
        <w:t>aných řešení v oblasti informačních a komunikačních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225C38" w:rsidRPr="007F505B" w:rsidRDefault="007F505B">
      <w:pPr>
        <w:spacing w:after="56"/>
        <w:ind w:left="67" w:right="38" w:firstLine="1406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V </w:t>
      </w:r>
      <w:r w:rsidRPr="007F505B">
        <w:rPr>
          <w:rFonts w:asciiTheme="minorHAnsi" w:hAnsiTheme="minorHAnsi" w:cstheme="minorHAnsi"/>
          <w:szCs w:val="24"/>
        </w:rPr>
        <w:t xml:space="preserve">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</w:t>
      </w:r>
      <w:r w:rsidRPr="007F505B">
        <w:rPr>
          <w:rFonts w:asciiTheme="minorHAnsi" w:hAnsiTheme="minorHAnsi" w:cstheme="minorHAnsi"/>
          <w:szCs w:val="24"/>
        </w:rPr>
        <w:lastRenderedPageBreak/>
        <w:t>činnostech</w:t>
      </w:r>
      <w:r w:rsidRPr="007F505B">
        <w:rPr>
          <w:rFonts w:asciiTheme="minorHAnsi" w:hAnsiTheme="minorHAnsi" w:cstheme="minorHAnsi"/>
          <w:szCs w:val="24"/>
        </w:rPr>
        <w:t xml:space="preserve"> zpracování podle čl. 30 GDPR. Pověřenec navrhuje zaměstnavateli opaření k dosahování plného souladu s GDPR a dalšími předpisy v oblasti ochrany osobních údajů. Pověřenec se podílí na plnění povinností zaměstnavatele hlásit porušení zabezpečení osobních úd</w:t>
      </w:r>
      <w:r w:rsidRPr="007F505B">
        <w:rPr>
          <w:rFonts w:asciiTheme="minorHAnsi" w:hAnsiTheme="minorHAnsi" w:cstheme="minorHAnsi"/>
          <w:szCs w:val="24"/>
        </w:rPr>
        <w:t xml:space="preserve">ajů Úřadu pro ochranu osobních údajů (čl. 33 GDPR) a oznamovat porušení zabezpečení osobních údajů subjektům osobních údajů (čl. 34 GDPR). </w:t>
      </w:r>
      <w:r w:rsidRPr="007F505B">
        <w:rPr>
          <w:rFonts w:asciiTheme="minorHAnsi" w:hAnsiTheme="minorHAnsi" w:cstheme="minorHAnsi"/>
          <w:szCs w:val="24"/>
        </w:rPr>
        <w:t xml:space="preserve">3. </w:t>
      </w:r>
      <w:r w:rsidRPr="007F505B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225C38" w:rsidRPr="007F505B" w:rsidRDefault="007F505B">
      <w:pPr>
        <w:numPr>
          <w:ilvl w:val="0"/>
          <w:numId w:val="2"/>
        </w:numPr>
        <w:spacing w:after="80"/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Smlu</w:t>
      </w:r>
      <w:r w:rsidRPr="007F505B">
        <w:rPr>
          <w:rFonts w:asciiTheme="minorHAnsi" w:hAnsiTheme="minorHAnsi" w:cstheme="minorHAnsi"/>
          <w:szCs w:val="24"/>
        </w:rPr>
        <w:t>vní strany se dohodly, že jakékoli rozšíření služeb poskytovaných Poradcem dle této Smlouvy nad rámec stanovený v odst. 1. tohoto článku, bude sjednáno písemným dodatkem k této Smlouvě, v němž bude stanovena další poradenská činnost a odměna, kterou bude K</w:t>
      </w:r>
      <w:r w:rsidRPr="007F505B">
        <w:rPr>
          <w:rFonts w:asciiTheme="minorHAnsi" w:hAnsiTheme="minorHAnsi" w:cstheme="minorHAnsi"/>
          <w:szCs w:val="24"/>
        </w:rPr>
        <w:t>lient hradit.</w:t>
      </w:r>
    </w:p>
    <w:p w:rsidR="00225C38" w:rsidRPr="007F505B" w:rsidRDefault="007F505B">
      <w:pPr>
        <w:numPr>
          <w:ilvl w:val="0"/>
          <w:numId w:val="2"/>
        </w:numPr>
        <w:spacing w:after="689"/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přípa</w:t>
      </w:r>
      <w:r w:rsidRPr="007F505B">
        <w:rPr>
          <w:rFonts w:asciiTheme="minorHAnsi" w:hAnsiTheme="minorHAnsi" w:cstheme="minorHAnsi"/>
          <w:szCs w:val="24"/>
        </w:rPr>
        <w:t>dně schválenými a závaznými kodexy chování dle článku 40 obecného nařízení o ochraně osobních údajů.</w:t>
      </w:r>
    </w:p>
    <w:p w:rsidR="00225C38" w:rsidRPr="007F505B" w:rsidRDefault="007F505B">
      <w:pPr>
        <w:spacing w:after="0" w:line="259" w:lineRule="auto"/>
        <w:ind w:left="92" w:right="82" w:hanging="10"/>
        <w:jc w:val="center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F505B">
        <w:rPr>
          <w:rFonts w:asciiTheme="minorHAnsi" w:hAnsiTheme="minorHAnsi" w:cstheme="minorHAnsi"/>
          <w:szCs w:val="24"/>
        </w:rPr>
        <w:t>Ill</w:t>
      </w:r>
      <w:proofErr w:type="spellEnd"/>
      <w:r w:rsidRPr="007F505B">
        <w:rPr>
          <w:rFonts w:asciiTheme="minorHAnsi" w:hAnsiTheme="minorHAnsi" w:cstheme="minorHAnsi"/>
          <w:szCs w:val="24"/>
        </w:rPr>
        <w:t>.</w:t>
      </w:r>
    </w:p>
    <w:p w:rsidR="00225C38" w:rsidRPr="007F505B" w:rsidRDefault="007F505B">
      <w:pPr>
        <w:spacing w:after="293" w:line="259" w:lineRule="auto"/>
        <w:ind w:left="92" w:right="67" w:hanging="10"/>
        <w:jc w:val="center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Práva a povinnosti Smluvních stran</w:t>
      </w:r>
    </w:p>
    <w:p w:rsidR="00225C38" w:rsidRPr="007F505B" w:rsidRDefault="007F505B">
      <w:pPr>
        <w:spacing w:after="81"/>
        <w:ind w:left="615" w:right="38"/>
        <w:rPr>
          <w:rFonts w:asciiTheme="minorHAnsi" w:hAnsiTheme="minorHAnsi" w:cstheme="minorHAnsi"/>
          <w:szCs w:val="24"/>
        </w:rPr>
      </w:pPr>
      <w:proofErr w:type="gramStart"/>
      <w:r w:rsidRPr="007F505B">
        <w:rPr>
          <w:rFonts w:asciiTheme="minorHAnsi" w:hAnsiTheme="minorHAnsi" w:cstheme="minorHAnsi"/>
          <w:szCs w:val="24"/>
        </w:rPr>
        <w:t>1 .</w:t>
      </w:r>
      <w:proofErr w:type="gramEnd"/>
      <w:r w:rsidRPr="007F505B">
        <w:rPr>
          <w:rFonts w:asciiTheme="minorHAnsi" w:hAnsiTheme="minorHAnsi" w:cstheme="minorHAnsi"/>
          <w:szCs w:val="24"/>
        </w:rPr>
        <w:t xml:space="preserve"> </w:t>
      </w:r>
      <w:r w:rsidRPr="007F505B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225C38" w:rsidRPr="007F505B" w:rsidRDefault="007F505B">
      <w:pPr>
        <w:numPr>
          <w:ilvl w:val="0"/>
          <w:numId w:val="3"/>
        </w:numPr>
        <w:ind w:right="38" w:hanging="547"/>
        <w:rPr>
          <w:rFonts w:asciiTheme="minorHAnsi" w:hAnsiTheme="minorHAnsi" w:cstheme="minorHAnsi"/>
          <w:szCs w:val="24"/>
        </w:rPr>
      </w:pPr>
      <w:proofErr w:type="spellStart"/>
      <w:r w:rsidRPr="007F505B">
        <w:rPr>
          <w:rFonts w:asciiTheme="minorHAnsi" w:hAnsiTheme="minorHAnsi" w:cstheme="minorHAnsi"/>
          <w:szCs w:val="24"/>
        </w:rPr>
        <w:t>Kiient</w:t>
      </w:r>
      <w:proofErr w:type="spellEnd"/>
      <w:r w:rsidRPr="007F505B">
        <w:rPr>
          <w:rFonts w:asciiTheme="minorHAnsi" w:hAnsiTheme="minorHAnsi" w:cstheme="minorHAnsi"/>
          <w:szCs w:val="24"/>
        </w:rPr>
        <w:t xml:space="preserve"> je povinen poskytovat Poradci veškerou potřebnou sou</w:t>
      </w:r>
      <w:r w:rsidRPr="007F505B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225C38" w:rsidRPr="007F505B" w:rsidRDefault="007F505B">
      <w:pPr>
        <w:numPr>
          <w:ilvl w:val="0"/>
          <w:numId w:val="3"/>
        </w:numPr>
        <w:spacing w:after="55"/>
        <w:ind w:right="38" w:hanging="547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225C38" w:rsidRPr="007F505B" w:rsidRDefault="007F505B">
      <w:pPr>
        <w:numPr>
          <w:ilvl w:val="0"/>
          <w:numId w:val="3"/>
        </w:numPr>
        <w:spacing w:after="95"/>
        <w:ind w:right="38" w:hanging="547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Poradce je povinen vykonávat či</w:t>
      </w:r>
      <w:r w:rsidRPr="007F505B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225C38" w:rsidRPr="007F505B" w:rsidRDefault="007F505B">
      <w:pPr>
        <w:numPr>
          <w:ilvl w:val="0"/>
          <w:numId w:val="3"/>
        </w:numPr>
        <w:spacing w:after="55"/>
        <w:ind w:right="38" w:hanging="547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225C38" w:rsidRPr="007F505B" w:rsidRDefault="007F505B">
      <w:pPr>
        <w:numPr>
          <w:ilvl w:val="0"/>
          <w:numId w:val="3"/>
        </w:numPr>
        <w:spacing w:after="339"/>
        <w:ind w:right="38" w:hanging="547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7F505B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7F505B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225C38" w:rsidRPr="007F505B" w:rsidRDefault="007F505B">
      <w:pPr>
        <w:spacing w:after="38"/>
        <w:ind w:left="586" w:right="38" w:firstLine="0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Kontaktní osobou na straně P</w:t>
      </w:r>
      <w:r w:rsidRPr="007F505B">
        <w:rPr>
          <w:rFonts w:asciiTheme="minorHAnsi" w:hAnsiTheme="minorHAnsi" w:cstheme="minorHAnsi"/>
          <w:szCs w:val="24"/>
        </w:rPr>
        <w:t>oradce je:</w:t>
      </w:r>
    </w:p>
    <w:p w:rsidR="00225C38" w:rsidRPr="007F505B" w:rsidRDefault="007F505B">
      <w:pPr>
        <w:spacing w:after="0" w:line="259" w:lineRule="auto"/>
        <w:ind w:left="509" w:right="0" w:firstLine="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13682" cy="640111"/>
            <wp:effectExtent l="0" t="0" r="0" b="0"/>
            <wp:docPr id="9786" name="Picture 9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" name="Picture 97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3682" cy="6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38" w:rsidRPr="007F505B" w:rsidRDefault="007F505B">
      <w:pPr>
        <w:spacing w:after="38"/>
        <w:ind w:left="552" w:right="38" w:firstLine="0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Pověřenec:</w:t>
      </w:r>
    </w:p>
    <w:p w:rsidR="00225C38" w:rsidRPr="007F505B" w:rsidRDefault="007F505B">
      <w:pPr>
        <w:spacing w:after="358" w:line="259" w:lineRule="auto"/>
        <w:ind w:left="456" w:right="0" w:firstLine="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14367" cy="618773"/>
            <wp:effectExtent l="0" t="0" r="0" b="0"/>
            <wp:docPr id="30932" name="Picture 30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2" name="Picture 309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367" cy="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38" w:rsidRPr="007F505B" w:rsidRDefault="007F505B">
      <w:pPr>
        <w:spacing w:after="38"/>
        <w:ind w:left="562" w:right="38" w:firstLine="0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225C38" w:rsidRPr="007F505B" w:rsidRDefault="007F505B">
      <w:pPr>
        <w:spacing w:after="648" w:line="259" w:lineRule="auto"/>
        <w:ind w:left="485" w:right="0" w:firstLine="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511721" cy="600485"/>
            <wp:effectExtent l="0" t="0" r="0" b="0"/>
            <wp:docPr id="30934" name="Picture 30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4" name="Picture 309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1721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38" w:rsidRPr="007F505B" w:rsidRDefault="007F505B">
      <w:pPr>
        <w:spacing w:after="0" w:line="259" w:lineRule="auto"/>
        <w:ind w:left="92" w:right="168" w:hanging="10"/>
        <w:jc w:val="center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Článek IV.</w:t>
      </w:r>
    </w:p>
    <w:p w:rsidR="00225C38" w:rsidRPr="007F505B" w:rsidRDefault="007F505B">
      <w:pPr>
        <w:pStyle w:val="Nadpis1"/>
        <w:spacing w:after="279"/>
        <w:ind w:left="87" w:right="173"/>
        <w:rPr>
          <w:rFonts w:asciiTheme="minorHAnsi" w:hAnsiTheme="minorHAnsi" w:cstheme="minorHAnsi"/>
          <w:sz w:val="24"/>
          <w:szCs w:val="24"/>
        </w:rPr>
      </w:pPr>
      <w:r w:rsidRPr="007F505B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225C38" w:rsidRPr="007F505B" w:rsidRDefault="007F505B">
      <w:pPr>
        <w:spacing w:after="345"/>
        <w:ind w:left="615" w:right="38"/>
        <w:rPr>
          <w:rFonts w:asciiTheme="minorHAnsi" w:hAnsiTheme="minorHAnsi" w:cstheme="minorHAnsi"/>
          <w:szCs w:val="24"/>
        </w:rPr>
      </w:pPr>
      <w:proofErr w:type="gramStart"/>
      <w:r w:rsidRPr="007F505B">
        <w:rPr>
          <w:rFonts w:asciiTheme="minorHAnsi" w:hAnsiTheme="minorHAnsi" w:cstheme="minorHAnsi"/>
          <w:szCs w:val="24"/>
        </w:rPr>
        <w:t>1 .</w:t>
      </w:r>
      <w:proofErr w:type="gramEnd"/>
      <w:r w:rsidRPr="007F505B">
        <w:rPr>
          <w:rFonts w:asciiTheme="minorHAnsi" w:hAnsiTheme="minorHAnsi" w:cstheme="minorHAnsi"/>
          <w:szCs w:val="24"/>
        </w:rPr>
        <w:t xml:space="preserve"> </w:t>
      </w:r>
      <w:r w:rsidRPr="007F505B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7F505B">
        <w:rPr>
          <w:rFonts w:asciiTheme="minorHAnsi" w:hAnsiTheme="minorHAnsi" w:cstheme="minorHAnsi"/>
          <w:szCs w:val="24"/>
        </w:rPr>
        <w:t>Il</w:t>
      </w:r>
      <w:proofErr w:type="spellEnd"/>
      <w:r w:rsidRPr="007F505B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225C38" w:rsidRPr="007F505B" w:rsidRDefault="007F505B">
      <w:pPr>
        <w:spacing w:after="27"/>
        <w:ind w:left="1444" w:right="38" w:hanging="422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0936" name="Picture 30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6" name="Picture 309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505B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225C38" w:rsidRPr="007F505B" w:rsidRDefault="007F505B">
      <w:pPr>
        <w:numPr>
          <w:ilvl w:val="0"/>
          <w:numId w:val="4"/>
        </w:numPr>
        <w:ind w:right="38" w:hanging="413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7F505B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225C38" w:rsidRPr="007F505B" w:rsidRDefault="007F505B">
      <w:pPr>
        <w:numPr>
          <w:ilvl w:val="0"/>
          <w:numId w:val="4"/>
        </w:numPr>
        <w:spacing w:after="369"/>
        <w:ind w:right="38" w:hanging="413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7F505B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7F505B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225C38" w:rsidRPr="007F505B" w:rsidRDefault="007F505B">
      <w:pPr>
        <w:numPr>
          <w:ilvl w:val="0"/>
          <w:numId w:val="5"/>
        </w:numPr>
        <w:ind w:right="38" w:hanging="542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7F505B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7F505B">
        <w:rPr>
          <w:rFonts w:asciiTheme="minorHAnsi" w:hAnsiTheme="minorHAnsi" w:cstheme="minorHAnsi"/>
          <w:szCs w:val="24"/>
        </w:rPr>
        <w:t>faxovné</w:t>
      </w:r>
      <w:proofErr w:type="spellEnd"/>
      <w:r w:rsidRPr="007F505B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7F505B">
        <w:rPr>
          <w:rFonts w:asciiTheme="minorHAnsi" w:hAnsiTheme="minorHAnsi" w:cstheme="minorHAnsi"/>
          <w:szCs w:val="24"/>
        </w:rPr>
        <w:t>fotokopírování</w:t>
      </w:r>
      <w:proofErr w:type="spellEnd"/>
      <w:r w:rsidRPr="007F505B">
        <w:rPr>
          <w:rFonts w:asciiTheme="minorHAnsi" w:hAnsiTheme="minorHAnsi" w:cstheme="minorHAnsi"/>
          <w:szCs w:val="24"/>
        </w:rPr>
        <w:t>, technické nosiče, a kancelářské potřeby).</w:t>
      </w:r>
    </w:p>
    <w:p w:rsidR="00225C38" w:rsidRPr="007F505B" w:rsidRDefault="007F505B">
      <w:pPr>
        <w:numPr>
          <w:ilvl w:val="0"/>
          <w:numId w:val="5"/>
        </w:numPr>
        <w:ind w:right="38" w:hanging="542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</w:t>
      </w:r>
      <w:r w:rsidRPr="007F505B">
        <w:rPr>
          <w:rFonts w:asciiTheme="minorHAnsi" w:hAnsiTheme="minorHAnsi" w:cstheme="minorHAnsi"/>
          <w:szCs w:val="24"/>
        </w:rPr>
        <w:t xml:space="preserve">entovi </w:t>
      </w:r>
      <w:proofErr w:type="gramStart"/>
      <w:r w:rsidRPr="007F505B">
        <w:rPr>
          <w:rFonts w:asciiTheme="minorHAnsi" w:hAnsiTheme="minorHAnsi" w:cstheme="minorHAnsi"/>
          <w:szCs w:val="24"/>
        </w:rPr>
        <w:t>1 .OOO</w:t>
      </w:r>
      <w:proofErr w:type="gramEnd"/>
      <w:r w:rsidRPr="007F505B">
        <w:rPr>
          <w:rFonts w:asciiTheme="minorHAnsi" w:hAnsiTheme="minorHAnsi" w:cstheme="minorHAnsi"/>
          <w:szCs w:val="24"/>
        </w:rPr>
        <w:t>,-Kč denně za každý den prodlení s plněním.</w:t>
      </w:r>
    </w:p>
    <w:p w:rsidR="00225C38" w:rsidRPr="007F505B" w:rsidRDefault="007F505B">
      <w:pPr>
        <w:numPr>
          <w:ilvl w:val="0"/>
          <w:numId w:val="5"/>
        </w:numPr>
        <w:ind w:right="38" w:hanging="542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</w:t>
      </w:r>
      <w:r w:rsidRPr="007F505B">
        <w:rPr>
          <w:rFonts w:asciiTheme="minorHAnsi" w:hAnsiTheme="minorHAnsi" w:cstheme="minorHAnsi"/>
          <w:szCs w:val="24"/>
        </w:rPr>
        <w:t>u 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</w:t>
      </w:r>
      <w:r w:rsidRPr="007F505B">
        <w:rPr>
          <w:rFonts w:asciiTheme="minorHAnsi" w:hAnsiTheme="minorHAnsi" w:cstheme="minorHAnsi"/>
          <w:szCs w:val="24"/>
        </w:rPr>
        <w:t>ezen.</w:t>
      </w:r>
    </w:p>
    <w:p w:rsidR="00225C38" w:rsidRPr="007F505B" w:rsidRDefault="007F505B">
      <w:pPr>
        <w:spacing w:after="0" w:line="259" w:lineRule="auto"/>
        <w:ind w:left="92" w:right="0" w:hanging="10"/>
        <w:jc w:val="center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Článek V.</w:t>
      </w:r>
    </w:p>
    <w:p w:rsidR="00225C38" w:rsidRPr="007F505B" w:rsidRDefault="007F505B">
      <w:pPr>
        <w:pStyle w:val="Nadpis1"/>
        <w:ind w:left="87"/>
        <w:rPr>
          <w:rFonts w:asciiTheme="minorHAnsi" w:hAnsiTheme="minorHAnsi" w:cstheme="minorHAnsi"/>
          <w:sz w:val="24"/>
          <w:szCs w:val="24"/>
        </w:rPr>
      </w:pPr>
      <w:r w:rsidRPr="007F505B">
        <w:rPr>
          <w:rFonts w:asciiTheme="minorHAnsi" w:hAnsiTheme="minorHAnsi" w:cstheme="minorHAnsi"/>
          <w:sz w:val="24"/>
          <w:szCs w:val="24"/>
        </w:rPr>
        <w:t>Chráněné informace</w:t>
      </w:r>
    </w:p>
    <w:p w:rsidR="00225C38" w:rsidRPr="007F505B" w:rsidRDefault="007F505B">
      <w:pPr>
        <w:spacing w:after="109"/>
        <w:ind w:left="615" w:right="38"/>
        <w:rPr>
          <w:rFonts w:asciiTheme="minorHAnsi" w:hAnsiTheme="minorHAnsi" w:cstheme="minorHAnsi"/>
          <w:szCs w:val="24"/>
        </w:rPr>
      </w:pPr>
      <w:proofErr w:type="gramStart"/>
      <w:r w:rsidRPr="007F505B">
        <w:rPr>
          <w:rFonts w:asciiTheme="minorHAnsi" w:hAnsiTheme="minorHAnsi" w:cstheme="minorHAnsi"/>
          <w:szCs w:val="24"/>
        </w:rPr>
        <w:t>1 .</w:t>
      </w:r>
      <w:proofErr w:type="gramEnd"/>
      <w:r w:rsidRPr="007F505B">
        <w:rPr>
          <w:rFonts w:asciiTheme="minorHAnsi" w:hAnsiTheme="minorHAnsi" w:cstheme="minorHAnsi"/>
          <w:szCs w:val="24"/>
        </w:rPr>
        <w:t xml:space="preserve"> </w:t>
      </w:r>
      <w:r w:rsidRPr="007F505B">
        <w:rPr>
          <w:rFonts w:asciiTheme="minorHAnsi" w:hAnsiTheme="minorHAnsi" w:cstheme="minorHAnsi"/>
          <w:szCs w:val="24"/>
        </w:rPr>
        <w:t xml:space="preserve">Veškeré informace sdělené kteroukoliv ze Smluvních stran při plnění povinností dle této Smlouvy, jsou považovány za přísně důvěrné a nesmí být zpřístupněny či jakýmkoliv jiným způsobem sděleny třetí osobě, s výjimkou </w:t>
      </w:r>
      <w:r w:rsidRPr="007F505B">
        <w:rPr>
          <w:rFonts w:asciiTheme="minorHAnsi" w:hAnsiTheme="minorHAnsi" w:cstheme="minorHAnsi"/>
          <w:szCs w:val="24"/>
        </w:rPr>
        <w:t>informací, které byly v okamžiku sdělení veřejně známé nebo informací, které Smluvní strany získaly od třetích osob nebo jejich poskytnutí upravuje platný právní předpis.</w:t>
      </w:r>
    </w:p>
    <w:p w:rsidR="00225C38" w:rsidRPr="007F505B" w:rsidRDefault="007F505B">
      <w:pPr>
        <w:spacing w:after="648"/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7F505B">
        <w:rPr>
          <w:rFonts w:asciiTheme="minorHAnsi" w:hAnsiTheme="minorHAnsi" w:cstheme="minorHAnsi"/>
          <w:szCs w:val="24"/>
        </w:rPr>
        <w:t>Poradce je oprávněn poskytovat při nabídce poradenských služeb jako reference údaj</w:t>
      </w:r>
      <w:r w:rsidRPr="007F505B">
        <w:rPr>
          <w:rFonts w:asciiTheme="minorHAnsi" w:hAnsiTheme="minorHAnsi" w:cstheme="minorHAnsi"/>
          <w:szCs w:val="24"/>
        </w:rPr>
        <w:t>e o realizovaném projektu, týkající se názvu projektu, názvu a identifikace Klienta, stručného popisu vykonané práce v rozsahu poskytované poradenské činnosti.</w:t>
      </w:r>
    </w:p>
    <w:p w:rsidR="00225C38" w:rsidRPr="007F505B" w:rsidRDefault="007F505B">
      <w:pPr>
        <w:spacing w:after="0" w:line="259" w:lineRule="auto"/>
        <w:ind w:left="92" w:right="34" w:hanging="10"/>
        <w:jc w:val="center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Článek VI.</w:t>
      </w:r>
    </w:p>
    <w:p w:rsidR="00225C38" w:rsidRPr="007F505B" w:rsidRDefault="007F505B">
      <w:pPr>
        <w:pStyle w:val="Nadpis1"/>
        <w:ind w:left="87" w:right="38"/>
        <w:rPr>
          <w:rFonts w:asciiTheme="minorHAnsi" w:hAnsiTheme="minorHAnsi" w:cstheme="minorHAnsi"/>
          <w:sz w:val="24"/>
          <w:szCs w:val="24"/>
        </w:rPr>
      </w:pPr>
      <w:r w:rsidRPr="007F505B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225C38" w:rsidRPr="007F505B" w:rsidRDefault="007F505B">
      <w:pPr>
        <w:spacing w:after="122"/>
        <w:ind w:left="615" w:right="38"/>
        <w:rPr>
          <w:rFonts w:asciiTheme="minorHAnsi" w:hAnsiTheme="minorHAnsi" w:cstheme="minorHAnsi"/>
          <w:szCs w:val="24"/>
        </w:rPr>
      </w:pPr>
      <w:proofErr w:type="gramStart"/>
      <w:r w:rsidRPr="007F505B">
        <w:rPr>
          <w:rFonts w:asciiTheme="minorHAnsi" w:hAnsiTheme="minorHAnsi" w:cstheme="minorHAnsi"/>
          <w:szCs w:val="24"/>
        </w:rPr>
        <w:t>1 .</w:t>
      </w:r>
      <w:proofErr w:type="gramEnd"/>
      <w:r w:rsidRPr="007F505B">
        <w:rPr>
          <w:rFonts w:asciiTheme="minorHAnsi" w:hAnsiTheme="minorHAnsi" w:cstheme="minorHAnsi"/>
          <w:szCs w:val="24"/>
        </w:rPr>
        <w:t xml:space="preserve"> </w:t>
      </w:r>
      <w:r w:rsidRPr="007F505B">
        <w:rPr>
          <w:rFonts w:asciiTheme="minorHAnsi" w:hAnsiTheme="minorHAnsi" w:cstheme="minorHAnsi"/>
          <w:szCs w:val="24"/>
        </w:rPr>
        <w:t>Právní vztahy výslovně neupravené touto Smlouvou se řídí ust</w:t>
      </w:r>
      <w:r w:rsidRPr="007F505B">
        <w:rPr>
          <w:rFonts w:asciiTheme="minorHAnsi" w:hAnsiTheme="minorHAnsi" w:cstheme="minorHAnsi"/>
          <w:szCs w:val="24"/>
        </w:rPr>
        <w:t xml:space="preserve">anoveními Občanského zákoníku v platném znění a platnými právními předpisy upravujícími ochranu osobních </w:t>
      </w:r>
      <w:r w:rsidRPr="007F505B">
        <w:rPr>
          <w:rFonts w:asciiTheme="minorHAnsi" w:hAnsiTheme="minorHAnsi" w:cstheme="minorHAnsi"/>
          <w:szCs w:val="24"/>
        </w:rPr>
        <w:t>údajů.</w:t>
      </w:r>
    </w:p>
    <w:p w:rsidR="00225C38" w:rsidRPr="007F505B" w:rsidRDefault="007F505B">
      <w:pPr>
        <w:numPr>
          <w:ilvl w:val="0"/>
          <w:numId w:val="6"/>
        </w:numPr>
        <w:spacing w:after="91"/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</w:t>
      </w:r>
      <w:r w:rsidRPr="007F505B">
        <w:rPr>
          <w:rFonts w:asciiTheme="minorHAnsi" w:hAnsiTheme="minorHAnsi" w:cstheme="minorHAnsi"/>
          <w:szCs w:val="24"/>
        </w:rPr>
        <w:t>jistí Poradce.</w:t>
      </w:r>
    </w:p>
    <w:p w:rsidR="00225C38" w:rsidRPr="007F505B" w:rsidRDefault="007F505B">
      <w:pPr>
        <w:numPr>
          <w:ilvl w:val="0"/>
          <w:numId w:val="6"/>
        </w:numPr>
        <w:spacing w:after="56"/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je povinen být v uvedeném rozsahu pojištěn po celou dobu trvá</w:t>
      </w:r>
      <w:r w:rsidRPr="007F505B">
        <w:rPr>
          <w:rFonts w:asciiTheme="minorHAnsi" w:hAnsiTheme="minorHAnsi" w:cstheme="minorHAnsi"/>
          <w:szCs w:val="24"/>
        </w:rPr>
        <w:t>ní této smlouvy a na základě výzvy klienta je povinen předložit potvrzení o trvání pojištění.</w:t>
      </w:r>
    </w:p>
    <w:p w:rsidR="00225C38" w:rsidRPr="007F505B" w:rsidRDefault="007F505B">
      <w:pPr>
        <w:numPr>
          <w:ilvl w:val="0"/>
          <w:numId w:val="6"/>
        </w:numPr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7F505B">
        <w:rPr>
          <w:rFonts w:asciiTheme="minorHAnsi" w:hAnsiTheme="minorHAnsi" w:cstheme="minorHAnsi"/>
          <w:szCs w:val="24"/>
        </w:rPr>
        <w:t>plnění</w:t>
      </w:r>
      <w:proofErr w:type="gramEnd"/>
      <w:r w:rsidRPr="007F505B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225C38" w:rsidRPr="007F505B" w:rsidRDefault="007F505B">
      <w:pPr>
        <w:numPr>
          <w:ilvl w:val="0"/>
          <w:numId w:val="6"/>
        </w:numPr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</w:t>
      </w:r>
      <w:r w:rsidRPr="007F505B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225C38" w:rsidRPr="007F505B" w:rsidRDefault="007F505B">
      <w:pPr>
        <w:numPr>
          <w:ilvl w:val="0"/>
          <w:numId w:val="6"/>
        </w:numPr>
        <w:spacing w:after="106"/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225C38" w:rsidRPr="007F505B" w:rsidRDefault="007F505B">
      <w:pPr>
        <w:numPr>
          <w:ilvl w:val="0"/>
          <w:numId w:val="6"/>
        </w:numPr>
        <w:spacing w:after="91"/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7F505B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225C38" w:rsidRPr="007F505B" w:rsidRDefault="007F505B">
      <w:pPr>
        <w:numPr>
          <w:ilvl w:val="0"/>
          <w:numId w:val="6"/>
        </w:numPr>
        <w:spacing w:after="87"/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</w:t>
      </w:r>
      <w:r w:rsidRPr="007F505B">
        <w:rPr>
          <w:rFonts w:asciiTheme="minorHAnsi" w:hAnsiTheme="minorHAnsi" w:cstheme="minorHAnsi"/>
          <w:szCs w:val="24"/>
        </w:rPr>
        <w:t>tná, považuje se toto ustanovení za samostatné a Smlouva se posuzuje, jako by takové ustanovení nikdy neobsahovala.</w:t>
      </w:r>
    </w:p>
    <w:p w:rsidR="00225C38" w:rsidRPr="007F505B" w:rsidRDefault="007F505B">
      <w:pPr>
        <w:numPr>
          <w:ilvl w:val="0"/>
          <w:numId w:val="6"/>
        </w:numPr>
        <w:spacing w:after="80"/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</w:t>
      </w:r>
      <w:r w:rsidRPr="007F505B">
        <w:rPr>
          <w:rFonts w:asciiTheme="minorHAnsi" w:hAnsiTheme="minorHAnsi" w:cstheme="minorHAnsi"/>
          <w:szCs w:val="24"/>
        </w:rPr>
        <w:t>dovat k tomu, aby byly tyto spory vyřešeny smírnou cestou, zejména aby byly odstraněny okolnosti vedoucí ke vzniku práva od Smlouvy odstoupit, nebo způsobují neplatnost.</w:t>
      </w:r>
    </w:p>
    <w:p w:rsidR="00225C38" w:rsidRDefault="007F505B">
      <w:pPr>
        <w:numPr>
          <w:ilvl w:val="0"/>
          <w:numId w:val="6"/>
        </w:numPr>
        <w:ind w:left="615" w:right="38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>Tato smlouva bude zveřejněna v registru smluv dle zákona č. 340/2015 Sb., o zvláštních</w:t>
      </w:r>
      <w:r w:rsidRPr="007F505B">
        <w:rPr>
          <w:rFonts w:asciiTheme="minorHAnsi" w:hAnsiTheme="minorHAnsi" w:cstheme="minorHAnsi"/>
          <w:szCs w:val="24"/>
        </w:rPr>
        <w:t xml:space="preserve"> podmínkách účinnosti některých smluv, uveřejňování těchto smluv a o registru smluv (zákon o registru smluv) a to bez uvedení citlivých údajů (obchodní tajemství, osobní údaje). Zveřejnění smlouvy zajistí Poradce.</w:t>
      </w:r>
    </w:p>
    <w:p w:rsidR="007F505B" w:rsidRDefault="007F505B" w:rsidP="007F505B">
      <w:pPr>
        <w:ind w:left="615" w:right="38" w:firstLine="0"/>
        <w:rPr>
          <w:rFonts w:asciiTheme="minorHAnsi" w:hAnsiTheme="minorHAnsi" w:cstheme="minorHAnsi"/>
          <w:szCs w:val="24"/>
        </w:rPr>
      </w:pPr>
    </w:p>
    <w:p w:rsidR="007F505B" w:rsidRPr="007F505B" w:rsidRDefault="007F505B" w:rsidP="007F505B">
      <w:pPr>
        <w:ind w:left="615" w:right="38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tbl>
      <w:tblPr>
        <w:tblStyle w:val="TableGrid"/>
        <w:tblW w:w="6682" w:type="dxa"/>
        <w:tblInd w:w="-34" w:type="dxa"/>
        <w:tblCellMar>
          <w:top w:w="12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064"/>
      </w:tblGrid>
      <w:tr w:rsidR="00225C38" w:rsidRPr="007F505B">
        <w:trPr>
          <w:trHeight w:val="38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225C38" w:rsidRPr="007F505B" w:rsidRDefault="007F505B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F505B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225C38" w:rsidRPr="007F505B" w:rsidRDefault="007F505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F505B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225C38" w:rsidRPr="007F505B">
        <w:trPr>
          <w:trHeight w:val="406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C38" w:rsidRPr="007F505B" w:rsidRDefault="007F505B">
            <w:pPr>
              <w:spacing w:after="0" w:line="259" w:lineRule="auto"/>
              <w:ind w:left="2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F505B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C38" w:rsidRPr="007F505B" w:rsidRDefault="007F505B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7F505B">
              <w:rPr>
                <w:rFonts w:asciiTheme="minorHAnsi" w:hAnsiTheme="minorHAnsi" w:cstheme="minorHAnsi"/>
                <w:szCs w:val="24"/>
              </w:rPr>
              <w:t>PhDr. Karel Kaprálek</w:t>
            </w:r>
          </w:p>
        </w:tc>
      </w:tr>
      <w:tr w:rsidR="00225C38" w:rsidRPr="007F505B">
        <w:trPr>
          <w:trHeight w:val="251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225C38" w:rsidRPr="007F505B" w:rsidRDefault="007F505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F505B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225C38" w:rsidRPr="007F505B" w:rsidRDefault="007F505B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F505B">
              <w:rPr>
                <w:rFonts w:asciiTheme="minorHAnsi" w:hAnsiTheme="minorHAnsi" w:cstheme="minorHAnsi"/>
                <w:szCs w:val="24"/>
              </w:rPr>
              <w:t>ředitel školy</w:t>
            </w:r>
          </w:p>
        </w:tc>
      </w:tr>
    </w:tbl>
    <w:p w:rsidR="00225C38" w:rsidRPr="007F505B" w:rsidRDefault="007F505B">
      <w:pPr>
        <w:spacing w:after="0" w:line="259" w:lineRule="auto"/>
        <w:ind w:left="10" w:right="0" w:firstLine="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678806" cy="841288"/>
            <wp:effectExtent l="0" t="0" r="0" b="0"/>
            <wp:docPr id="30938" name="Picture 30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8" name="Picture 309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8806" cy="84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38" w:rsidRPr="007F505B" w:rsidRDefault="007F505B">
      <w:pPr>
        <w:tabs>
          <w:tab w:val="center" w:pos="2213"/>
          <w:tab w:val="center" w:pos="6826"/>
        </w:tabs>
        <w:spacing w:after="343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7F505B">
        <w:rPr>
          <w:rFonts w:asciiTheme="minorHAnsi" w:hAnsiTheme="minorHAnsi" w:cstheme="minorHAnsi"/>
          <w:szCs w:val="24"/>
        </w:rPr>
        <w:tab/>
        <w:t>vlastnoruční podpis</w:t>
      </w:r>
      <w:r w:rsidRPr="007F505B">
        <w:rPr>
          <w:rFonts w:asciiTheme="minorHAnsi" w:hAnsiTheme="minorHAnsi" w:cstheme="minorHAnsi"/>
          <w:szCs w:val="24"/>
        </w:rPr>
        <w:tab/>
        <w:t>vlastnoruční podpis</w:t>
      </w:r>
    </w:p>
    <w:p w:rsidR="00225C38" w:rsidRPr="007F505B" w:rsidRDefault="00225C38">
      <w:pPr>
        <w:pStyle w:val="Nadpis1"/>
        <w:spacing w:after="0"/>
        <w:ind w:left="0" w:right="1248" w:firstLine="0"/>
        <w:jc w:val="right"/>
        <w:rPr>
          <w:rFonts w:asciiTheme="minorHAnsi" w:hAnsiTheme="minorHAnsi" w:cstheme="minorHAnsi"/>
          <w:sz w:val="24"/>
          <w:szCs w:val="24"/>
        </w:rPr>
      </w:pPr>
    </w:p>
    <w:sectPr w:rsidR="00225C38" w:rsidRPr="007F505B">
      <w:footerReference w:type="even" r:id="rId14"/>
      <w:footerReference w:type="default" r:id="rId15"/>
      <w:footerReference w:type="first" r:id="rId16"/>
      <w:pgSz w:w="11900" w:h="16820"/>
      <w:pgMar w:top="1613" w:right="1435" w:bottom="1406" w:left="1277" w:header="708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505B">
      <w:pPr>
        <w:spacing w:after="0" w:line="240" w:lineRule="auto"/>
      </w:pPr>
      <w:r>
        <w:separator/>
      </w:r>
    </w:p>
  </w:endnote>
  <w:endnote w:type="continuationSeparator" w:id="0">
    <w:p w:rsidR="00000000" w:rsidRDefault="007F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C38" w:rsidRDefault="007F505B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C38" w:rsidRDefault="007F505B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C38" w:rsidRDefault="007F505B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505B">
      <w:pPr>
        <w:spacing w:after="0" w:line="240" w:lineRule="auto"/>
      </w:pPr>
      <w:r>
        <w:separator/>
      </w:r>
    </w:p>
  </w:footnote>
  <w:footnote w:type="continuationSeparator" w:id="0">
    <w:p w:rsidR="00000000" w:rsidRDefault="007F5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D37F9"/>
    <w:multiLevelType w:val="hybridMultilevel"/>
    <w:tmpl w:val="2A2C3FB6"/>
    <w:lvl w:ilvl="0" w:tplc="B74ED1BA">
      <w:start w:val="1"/>
      <w:numFmt w:val="decimal"/>
      <w:lvlText w:val="%1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8C4C0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2826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A1B5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6733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DDC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65DB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2376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C001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95804"/>
    <w:multiLevelType w:val="hybridMultilevel"/>
    <w:tmpl w:val="A940847A"/>
    <w:lvl w:ilvl="0" w:tplc="E1143C12">
      <w:start w:val="2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8377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C5E6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0C3E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ABDD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AA04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0171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E09E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22F0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942EF"/>
    <w:multiLevelType w:val="hybridMultilevel"/>
    <w:tmpl w:val="3C3661FE"/>
    <w:lvl w:ilvl="0" w:tplc="D2BAADEC">
      <w:start w:val="4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3C9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0DA8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E155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EC57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ADC5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4394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2C66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0A85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A7993"/>
    <w:multiLevelType w:val="hybridMultilevel"/>
    <w:tmpl w:val="AAD05E6E"/>
    <w:lvl w:ilvl="0" w:tplc="25324716">
      <w:start w:val="2"/>
      <w:numFmt w:val="lowerRoman"/>
      <w:lvlText w:val="%1.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6E742">
      <w:start w:val="1"/>
      <w:numFmt w:val="lowerLetter"/>
      <w:lvlText w:val="%2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0643C">
      <w:start w:val="1"/>
      <w:numFmt w:val="lowerRoman"/>
      <w:lvlText w:val="%3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4034C">
      <w:start w:val="1"/>
      <w:numFmt w:val="decimal"/>
      <w:lvlText w:val="%4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09FAA">
      <w:start w:val="1"/>
      <w:numFmt w:val="lowerLetter"/>
      <w:lvlText w:val="%5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A1E6E">
      <w:start w:val="1"/>
      <w:numFmt w:val="lowerRoman"/>
      <w:lvlText w:val="%6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43126">
      <w:start w:val="1"/>
      <w:numFmt w:val="decimal"/>
      <w:lvlText w:val="%7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8F104">
      <w:start w:val="1"/>
      <w:numFmt w:val="lowerLetter"/>
      <w:lvlText w:val="%8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4EA56">
      <w:start w:val="1"/>
      <w:numFmt w:val="lowerRoman"/>
      <w:lvlText w:val="%9"/>
      <w:lvlJc w:val="left"/>
      <w:pPr>
        <w:ind w:left="7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61494F"/>
    <w:multiLevelType w:val="hybridMultilevel"/>
    <w:tmpl w:val="270426E0"/>
    <w:lvl w:ilvl="0" w:tplc="DF5ECC3A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41C5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2016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0BE6E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0D24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CCE1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A053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4A16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843F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18309F"/>
    <w:multiLevelType w:val="hybridMultilevel"/>
    <w:tmpl w:val="24FC5ED8"/>
    <w:lvl w:ilvl="0" w:tplc="2388A374">
      <w:start w:val="2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CCE5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4A38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A707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E636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C19E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80EF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44F7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2122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38"/>
    <w:rsid w:val="00225C38"/>
    <w:rsid w:val="007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F3D"/>
  <w15:docId w15:val="{023B5CB5-FC29-42C6-BB1E-7C4E210E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21" w:lineRule="auto"/>
      <w:ind w:left="625" w:right="14" w:hanging="54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5"/>
      <w:ind w:left="9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KM_C558-20180514160029</vt:lpstr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KM_C558-20180514160029</dc:title>
  <dc:subject/>
  <dc:creator>Petr Gabriel</dc:creator>
  <cp:keywords/>
  <cp:lastModifiedBy>Petr Gabriel</cp:lastModifiedBy>
  <cp:revision>2</cp:revision>
  <dcterms:created xsi:type="dcterms:W3CDTF">2018-05-24T11:27:00Z</dcterms:created>
  <dcterms:modified xsi:type="dcterms:W3CDTF">2018-05-24T11:27:00Z</dcterms:modified>
</cp:coreProperties>
</file>