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2F" w:rsidRPr="00FF291F" w:rsidRDefault="00FF291F">
      <w:pPr>
        <w:spacing w:after="372" w:line="259" w:lineRule="auto"/>
        <w:ind w:left="14" w:firstLine="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Smlouva o poskytování poradenských služeb</w:t>
      </w:r>
    </w:p>
    <w:p w:rsidR="00034D2F" w:rsidRPr="00FF291F" w:rsidRDefault="00FF291F">
      <w:pPr>
        <w:spacing w:after="0" w:line="259" w:lineRule="auto"/>
        <w:ind w:left="19" w:firstLine="0"/>
        <w:jc w:val="left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BDO Advisory s.r.o.</w:t>
      </w:r>
    </w:p>
    <w:p w:rsidR="00034D2F" w:rsidRDefault="00FF291F">
      <w:pPr>
        <w:spacing w:after="830"/>
        <w:ind w:left="14" w:right="14" w:firstLine="5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FF291F">
        <w:rPr>
          <w:rFonts w:asciiTheme="minorHAnsi" w:hAnsiTheme="minorHAnsi" w:cstheme="minorHAnsi"/>
          <w:szCs w:val="24"/>
        </w:rPr>
        <w:t>Haukem</w:t>
      </w:r>
      <w:proofErr w:type="spellEnd"/>
      <w:r w:rsidRPr="00FF291F">
        <w:rPr>
          <w:rFonts w:asciiTheme="minorHAnsi" w:hAnsiTheme="minorHAnsi" w:cstheme="minorHAnsi"/>
          <w:szCs w:val="24"/>
        </w:rPr>
        <w:t>, jednatelem dále jen „Poradce"</w:t>
      </w:r>
    </w:p>
    <w:p w:rsidR="00FF291F" w:rsidRPr="00FF291F" w:rsidRDefault="00FF291F">
      <w:pPr>
        <w:spacing w:after="830"/>
        <w:ind w:left="14" w:right="14" w:firstLin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034D2F" w:rsidRPr="00FF291F" w:rsidRDefault="00FF291F">
      <w:pPr>
        <w:spacing w:after="2" w:line="217" w:lineRule="auto"/>
        <w:ind w:left="-10" w:right="4450" w:firstLine="9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Gymnázium, Praha 10, Přípotoční 1337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FF291F">
        <w:rPr>
          <w:rFonts w:asciiTheme="minorHAnsi" w:hAnsiTheme="minorHAnsi" w:cstheme="minorHAnsi"/>
          <w:szCs w:val="24"/>
        </w:rPr>
        <w:t>Se síd</w:t>
      </w:r>
      <w:r w:rsidRPr="00FF291F">
        <w:rPr>
          <w:rFonts w:asciiTheme="minorHAnsi" w:hAnsiTheme="minorHAnsi" w:cstheme="minorHAnsi"/>
          <w:szCs w:val="24"/>
        </w:rPr>
        <w:t>lem Přípotoční 1337/</w:t>
      </w:r>
      <w:proofErr w:type="gramStart"/>
      <w:r w:rsidRPr="00FF291F">
        <w:rPr>
          <w:rFonts w:asciiTheme="minorHAnsi" w:hAnsiTheme="minorHAnsi" w:cstheme="minorHAnsi"/>
          <w:szCs w:val="24"/>
        </w:rPr>
        <w:t>1a</w:t>
      </w:r>
      <w:proofErr w:type="gramEnd"/>
      <w:r w:rsidRPr="00FF291F">
        <w:rPr>
          <w:rFonts w:asciiTheme="minorHAnsi" w:hAnsiTheme="minorHAnsi" w:cstheme="minorHAnsi"/>
          <w:szCs w:val="24"/>
        </w:rPr>
        <w:t>, 101 00 Praha 10</w:t>
      </w:r>
    </w:p>
    <w:p w:rsidR="00034D2F" w:rsidRPr="00FF291F" w:rsidRDefault="00FF291F">
      <w:pPr>
        <w:spacing w:after="36"/>
        <w:ind w:left="14" w:right="14" w:firstLine="0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IC: 61385379</w:t>
      </w:r>
    </w:p>
    <w:p w:rsidR="00034D2F" w:rsidRPr="00FF291F" w:rsidRDefault="00FF291F">
      <w:pPr>
        <w:spacing w:after="286"/>
        <w:ind w:left="14" w:right="14" w:firstLine="0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Zastoupena: Mgr. Roman Vlček, ředitel školy</w:t>
      </w:r>
    </w:p>
    <w:p w:rsidR="00034D2F" w:rsidRPr="00FF291F" w:rsidRDefault="00FF291F">
      <w:pPr>
        <w:spacing w:after="575" w:line="217" w:lineRule="auto"/>
        <w:ind w:left="-10" w:firstLine="9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dále jen „Klient”</w:t>
      </w:r>
    </w:p>
    <w:p w:rsidR="00034D2F" w:rsidRPr="00FF291F" w:rsidRDefault="00FF291F">
      <w:pPr>
        <w:spacing w:after="349" w:line="217" w:lineRule="auto"/>
        <w:ind w:left="-10" w:firstLine="9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Poradce a Klient (dále společně jen "</w:t>
      </w:r>
      <w:proofErr w:type="spellStart"/>
      <w:r w:rsidRPr="00FF291F">
        <w:rPr>
          <w:rFonts w:asciiTheme="minorHAnsi" w:hAnsiTheme="minorHAnsi" w:cstheme="minorHAnsi"/>
          <w:szCs w:val="24"/>
        </w:rPr>
        <w:t>Smtuvní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 strany”) uzavírají tuto Smlouvu o poradenské činnosti (dále jen "Smlouva") ve smyslu ustanovení </w:t>
      </w:r>
      <w:r w:rsidRPr="00FF291F">
        <w:rPr>
          <w:rFonts w:asciiTheme="minorHAnsi" w:hAnsiTheme="minorHAnsi" w:cstheme="minorHAnsi"/>
          <w:szCs w:val="24"/>
        </w:rPr>
        <w:t>S 1 746 odst. 2. zákona č. 89/2012 Sb., občanský zákoník, ve znění pozdějších předpisů (dále jen "Občanský zákoník”)</w:t>
      </w:r>
    </w:p>
    <w:p w:rsidR="00034D2F" w:rsidRPr="00FF291F" w:rsidRDefault="00FF291F">
      <w:pPr>
        <w:spacing w:after="0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Článek l.</w:t>
      </w:r>
    </w:p>
    <w:p w:rsidR="00034D2F" w:rsidRPr="00FF291F" w:rsidRDefault="00FF291F">
      <w:pPr>
        <w:pStyle w:val="Nadpis1"/>
        <w:ind w:left="10" w:right="10"/>
        <w:rPr>
          <w:rFonts w:asciiTheme="minorHAnsi" w:hAnsiTheme="minorHAnsi" w:cstheme="minorHAnsi"/>
          <w:sz w:val="24"/>
          <w:szCs w:val="24"/>
        </w:rPr>
      </w:pPr>
      <w:r w:rsidRPr="00FF291F">
        <w:rPr>
          <w:rFonts w:asciiTheme="minorHAnsi" w:hAnsiTheme="minorHAnsi" w:cstheme="minorHAnsi"/>
          <w:sz w:val="24"/>
          <w:szCs w:val="24"/>
        </w:rPr>
        <w:t>Předmět Smlouvy</w:t>
      </w:r>
    </w:p>
    <w:p w:rsidR="00034D2F" w:rsidRPr="00FF291F" w:rsidRDefault="00FF291F">
      <w:pPr>
        <w:ind w:left="557"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1 </w:t>
      </w:r>
      <w:r w:rsidRPr="00FF291F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FF291F">
        <w:rPr>
          <w:rFonts w:asciiTheme="minorHAnsi" w:hAnsiTheme="minorHAnsi" w:cstheme="minorHAnsi"/>
          <w:szCs w:val="24"/>
        </w:rPr>
        <w:t>Il</w:t>
      </w:r>
      <w:proofErr w:type="spellEnd"/>
      <w:r w:rsidRPr="00FF291F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034D2F" w:rsidRPr="00FF291F" w:rsidRDefault="00FF291F">
      <w:pPr>
        <w:numPr>
          <w:ilvl w:val="0"/>
          <w:numId w:val="1"/>
        </w:numPr>
        <w:spacing w:after="46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Klient se zavazuje zaplatit Poradci za jím proveden</w:t>
      </w:r>
      <w:r w:rsidRPr="00FF291F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034D2F" w:rsidRPr="00FF291F" w:rsidRDefault="00FF291F">
      <w:pPr>
        <w:numPr>
          <w:ilvl w:val="0"/>
          <w:numId w:val="1"/>
        </w:numPr>
        <w:spacing w:after="340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FF291F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034D2F" w:rsidRPr="00FF291F" w:rsidRDefault="00FF291F">
      <w:pPr>
        <w:spacing w:after="0" w:line="259" w:lineRule="auto"/>
        <w:ind w:left="10" w:right="14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FF291F">
        <w:rPr>
          <w:rFonts w:asciiTheme="minorHAnsi" w:hAnsiTheme="minorHAnsi" w:cstheme="minorHAnsi"/>
          <w:szCs w:val="24"/>
        </w:rPr>
        <w:t>Il</w:t>
      </w:r>
      <w:proofErr w:type="spellEnd"/>
      <w:r w:rsidRPr="00FF291F">
        <w:rPr>
          <w:rFonts w:asciiTheme="minorHAnsi" w:hAnsiTheme="minorHAnsi" w:cstheme="minorHAnsi"/>
          <w:szCs w:val="24"/>
        </w:rPr>
        <w:t>.</w:t>
      </w:r>
    </w:p>
    <w:p w:rsidR="00034D2F" w:rsidRPr="00FF291F" w:rsidRDefault="00FF291F">
      <w:pPr>
        <w:spacing w:after="295" w:line="259" w:lineRule="auto"/>
        <w:ind w:left="10" w:right="10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Poskytované služby</w:t>
      </w:r>
    </w:p>
    <w:p w:rsidR="00034D2F" w:rsidRPr="00FF291F" w:rsidRDefault="00FF291F">
      <w:pPr>
        <w:ind w:left="729" w:right="14" w:hanging="350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1 </w:t>
      </w:r>
      <w:r w:rsidRPr="00FF291F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FF291F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FF291F">
        <w:rPr>
          <w:rFonts w:asciiTheme="minorHAnsi" w:hAnsiTheme="minorHAnsi" w:cstheme="minorHAnsi"/>
          <w:szCs w:val="24"/>
        </w:rPr>
        <w:t>o údajů a o zrušení směrnice 95/46/ES (dále také „GDPR"), spočívající zejména v poskytnutí:</w:t>
      </w:r>
    </w:p>
    <w:p w:rsidR="00034D2F" w:rsidRPr="00FF291F" w:rsidRDefault="00FF291F">
      <w:pPr>
        <w:ind w:left="999" w:right="14" w:hanging="10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1819" cy="103637"/>
            <wp:effectExtent l="0" t="0" r="0" b="0"/>
            <wp:docPr id="30271" name="Picture 30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1" name="Picture 302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91F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r w:rsidRPr="00FF291F">
        <w:rPr>
          <w:rFonts w:asciiTheme="minorHAnsi" w:hAnsiTheme="minorHAnsi" w:cstheme="minorHAnsi"/>
          <w:szCs w:val="24"/>
        </w:rPr>
        <w:t xml:space="preserve">i </w:t>
      </w:r>
      <w:proofErr w:type="spellStart"/>
      <w:proofErr w:type="gramStart"/>
      <w:r w:rsidRPr="00FF291F">
        <w:rPr>
          <w:rFonts w:asciiTheme="minorHAnsi" w:hAnsiTheme="minorHAnsi" w:cstheme="minorHAnsi"/>
          <w:szCs w:val="24"/>
        </w:rPr>
        <w:t>i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FF291F">
        <w:rPr>
          <w:rFonts w:asciiTheme="minorHAnsi" w:hAnsiTheme="minorHAnsi" w:cstheme="minorHAnsi"/>
          <w:szCs w:val="24"/>
        </w:rPr>
        <w:t xml:space="preserve"> </w:t>
      </w:r>
      <w:r w:rsidRPr="00FF291F">
        <w:rPr>
          <w:rFonts w:asciiTheme="minorHAnsi" w:hAnsiTheme="minorHAnsi" w:cstheme="minorHAnsi"/>
          <w:szCs w:val="24"/>
        </w:rPr>
        <w:t>nezbytné součinnosti při odstraňování nál</w:t>
      </w:r>
      <w:r w:rsidRPr="00FF291F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034D2F" w:rsidRPr="00FF291F" w:rsidRDefault="00FF291F">
      <w:pPr>
        <w:ind w:left="557"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2. </w:t>
      </w:r>
      <w:r w:rsidRPr="00FF291F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„GDPR"), které vstou</w:t>
      </w:r>
      <w:r w:rsidRPr="00FF291F">
        <w:rPr>
          <w:rFonts w:asciiTheme="minorHAnsi" w:hAnsiTheme="minorHAnsi" w:cstheme="minorHAnsi"/>
          <w:szCs w:val="24"/>
        </w:rPr>
        <w:t>pilo v platnost dne 24. května 2016 a vnitrostátních právních předpisů na ochranu osobních údajů, a to zejména činností „Pověřence na ochranu osobních údajů" s cílem monitorování souladu s Obecným nařízením o ochraně osobních údajů (GDPR), a to v rozsahu:</w:t>
      </w:r>
    </w:p>
    <w:p w:rsidR="00034D2F" w:rsidRPr="00FF291F" w:rsidRDefault="00FF291F">
      <w:pPr>
        <w:spacing w:after="78"/>
        <w:ind w:left="1013" w:right="14" w:hanging="5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0273" name="Picture 30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3" name="Picture 302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91F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 </w:t>
      </w:r>
      <w:proofErr w:type="spellStart"/>
      <w:r w:rsidRPr="00FF291F">
        <w:rPr>
          <w:rFonts w:asciiTheme="minorHAnsi" w:hAnsiTheme="minorHAnsi" w:cstheme="minorHAnsi"/>
          <w:szCs w:val="24"/>
        </w:rPr>
        <w:t>ii</w:t>
      </w:r>
      <w:proofErr w:type="spellEnd"/>
      <w:r w:rsidRPr="00FF291F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</w:t>
      </w:r>
      <w:r w:rsidRPr="00FF291F">
        <w:rPr>
          <w:rFonts w:asciiTheme="minorHAnsi" w:hAnsiTheme="minorHAnsi" w:cstheme="minorHAnsi"/>
          <w:szCs w:val="24"/>
        </w:rPr>
        <w:t xml:space="preserve">sti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r w:rsidRPr="00FF291F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FF291F">
        <w:rPr>
          <w:rFonts w:asciiTheme="minorHAnsi" w:hAnsiTheme="minorHAnsi" w:cstheme="minorHAnsi"/>
          <w:szCs w:val="24"/>
        </w:rPr>
        <w:t>i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FF291F">
        <w:rPr>
          <w:rFonts w:asciiTheme="minorHAnsi" w:hAnsiTheme="minorHAnsi" w:cstheme="minorHAnsi"/>
          <w:szCs w:val="24"/>
        </w:rPr>
        <w:t>i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FF291F">
        <w:rPr>
          <w:rFonts w:asciiTheme="minorHAnsi" w:hAnsiTheme="minorHAnsi" w:cstheme="minorHAnsi"/>
          <w:szCs w:val="24"/>
        </w:rPr>
        <w:t xml:space="preserve"> </w:t>
      </w:r>
      <w:r w:rsidRPr="00FF291F">
        <w:rPr>
          <w:rFonts w:asciiTheme="minorHAnsi" w:hAnsiTheme="minorHAnsi" w:cstheme="minorHAnsi"/>
          <w:szCs w:val="24"/>
        </w:rPr>
        <w:t xml:space="preserve">poskytování poradenství </w:t>
      </w:r>
      <w:r w:rsidRPr="00FF291F">
        <w:rPr>
          <w:rFonts w:asciiTheme="minorHAnsi" w:hAnsiTheme="minorHAnsi" w:cstheme="minorHAnsi"/>
          <w:szCs w:val="24"/>
        </w:rPr>
        <w:t xml:space="preserve">na požádání, pokud jde o posouzení vlivu na ochranu osobních údajů Klienta a monitorování jeho uplatňování podle článku 35 GDPR (posouzení vlivu na ochranu osobních údajů); </w:t>
      </w:r>
      <w:proofErr w:type="spellStart"/>
      <w:r w:rsidRPr="00FF291F">
        <w:rPr>
          <w:rFonts w:asciiTheme="minorHAnsi" w:hAnsiTheme="minorHAnsi" w:cstheme="minorHAnsi"/>
          <w:szCs w:val="24"/>
        </w:rPr>
        <w:t>iv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. spolupráce a komunikace s dozorovým úřadem; poradenská činnost </w:t>
      </w:r>
      <w:proofErr w:type="spellStart"/>
      <w:r w:rsidRPr="00FF291F">
        <w:rPr>
          <w:rFonts w:asciiTheme="minorHAnsi" w:hAnsiTheme="minorHAnsi" w:cstheme="minorHAnsi"/>
          <w:szCs w:val="24"/>
        </w:rPr>
        <w:t>pn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F291F">
        <w:rPr>
          <w:rFonts w:asciiTheme="minorHAnsi" w:hAnsiTheme="minorHAnsi" w:cstheme="minorHAnsi"/>
          <w:szCs w:val="24"/>
        </w:rPr>
        <w:t>rłzení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 před d</w:t>
      </w:r>
      <w:r w:rsidRPr="00FF291F">
        <w:rPr>
          <w:rFonts w:asciiTheme="minorHAnsi" w:hAnsiTheme="minorHAnsi" w:cstheme="minorHAnsi"/>
          <w:szCs w:val="24"/>
        </w:rPr>
        <w:t>ozorovým úřadem nebo soudem;</w:t>
      </w:r>
    </w:p>
    <w:p w:rsidR="00034D2F" w:rsidRPr="00FF291F" w:rsidRDefault="00FF291F">
      <w:pPr>
        <w:ind w:left="1023" w:right="14" w:hanging="5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v. </w:t>
      </w:r>
      <w:r w:rsidRPr="00FF291F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FF291F">
        <w:rPr>
          <w:rFonts w:asciiTheme="minorHAnsi" w:hAnsiTheme="minorHAnsi" w:cstheme="minorHAnsi"/>
          <w:szCs w:val="24"/>
        </w:rPr>
        <w:t>se</w:t>
      </w:r>
      <w:proofErr w:type="gramEnd"/>
      <w:r w:rsidRPr="00FF291F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FF291F">
        <w:rPr>
          <w:rFonts w:asciiTheme="minorHAnsi" w:hAnsiTheme="minorHAnsi" w:cstheme="minorHAnsi"/>
          <w:szCs w:val="24"/>
        </w:rPr>
        <w:t>vi</w:t>
      </w:r>
      <w:proofErr w:type="spellEnd"/>
      <w:r w:rsidRPr="00FF291F">
        <w:rPr>
          <w:rFonts w:asciiTheme="minorHAnsi" w:hAnsiTheme="minorHAnsi" w:cstheme="minorHAnsi"/>
          <w:szCs w:val="24"/>
        </w:rPr>
        <w:t>. působení jako kontaktní osoba Klienta, resp. zaměstnavate</w:t>
      </w:r>
      <w:r w:rsidRPr="00FF291F">
        <w:rPr>
          <w:rFonts w:asciiTheme="minorHAnsi" w:hAnsiTheme="minorHAnsi" w:cstheme="minorHAnsi"/>
          <w:szCs w:val="24"/>
        </w:rPr>
        <w:t>le pro subjekty údajů ve všech záležitostech souvisejících se zpracováním jejich osobních údajů a výkonem jejich práv podle GDPR.</w:t>
      </w:r>
    </w:p>
    <w:p w:rsidR="00034D2F" w:rsidRPr="00FF291F" w:rsidRDefault="00FF291F">
      <w:pPr>
        <w:ind w:left="1459" w:right="14" w:hanging="432"/>
        <w:rPr>
          <w:rFonts w:asciiTheme="minorHAnsi" w:hAnsiTheme="minorHAnsi" w:cstheme="minorHAnsi"/>
          <w:szCs w:val="24"/>
        </w:rPr>
      </w:pPr>
      <w:proofErr w:type="spellStart"/>
      <w:r w:rsidRPr="00FF291F">
        <w:rPr>
          <w:rFonts w:asciiTheme="minorHAnsi" w:hAnsiTheme="minorHAnsi" w:cstheme="minorHAnsi"/>
          <w:szCs w:val="24"/>
        </w:rPr>
        <w:t>vii</w:t>
      </w:r>
      <w:proofErr w:type="spellEnd"/>
      <w:r w:rsidRPr="00FF291F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</w:t>
      </w:r>
      <w:r w:rsidRPr="00FF291F">
        <w:rPr>
          <w:rFonts w:asciiTheme="minorHAnsi" w:hAnsiTheme="minorHAnsi" w:cstheme="minorHAnsi"/>
          <w:szCs w:val="24"/>
        </w:rPr>
        <w:t>tního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</w:t>
      </w:r>
      <w:r w:rsidRPr="00FF291F">
        <w:rPr>
          <w:rFonts w:asciiTheme="minorHAnsi" w:hAnsiTheme="minorHAnsi" w:cstheme="minorHAnsi"/>
          <w:szCs w:val="24"/>
        </w:rPr>
        <w:t xml:space="preserve"> v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</w:t>
      </w:r>
      <w:r w:rsidRPr="00FF291F">
        <w:rPr>
          <w:rFonts w:asciiTheme="minorHAnsi" w:hAnsiTheme="minorHAnsi" w:cstheme="minorHAnsi"/>
          <w:szCs w:val="24"/>
        </w:rPr>
        <w:t xml:space="preserve"> osobních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</w:t>
      </w:r>
      <w:r w:rsidRPr="00FF291F">
        <w:rPr>
          <w:rFonts w:asciiTheme="minorHAnsi" w:hAnsiTheme="minorHAnsi" w:cstheme="minorHAnsi"/>
          <w:szCs w:val="24"/>
        </w:rPr>
        <w:t>obních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</w:t>
      </w:r>
      <w:r w:rsidRPr="00FF291F">
        <w:rPr>
          <w:rFonts w:asciiTheme="minorHAnsi" w:hAnsiTheme="minorHAnsi" w:cstheme="minorHAnsi"/>
          <w:szCs w:val="24"/>
        </w:rPr>
        <w:t>lších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</w:t>
      </w:r>
      <w:r w:rsidRPr="00FF291F">
        <w:rPr>
          <w:rFonts w:asciiTheme="minorHAnsi" w:hAnsiTheme="minorHAnsi" w:cstheme="minorHAnsi"/>
          <w:szCs w:val="24"/>
        </w:rPr>
        <w:t xml:space="preserve">omunikačních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</w:t>
      </w:r>
      <w:r w:rsidRPr="00FF291F">
        <w:rPr>
          <w:rFonts w:asciiTheme="minorHAnsi" w:hAnsiTheme="minorHAnsi" w:cstheme="minorHAnsi"/>
          <w:szCs w:val="24"/>
        </w:rPr>
        <w:t xml:space="preserve">postupuje je </w:t>
      </w:r>
      <w:r w:rsidRPr="00FF291F">
        <w:rPr>
          <w:rFonts w:asciiTheme="minorHAnsi" w:hAnsiTheme="minorHAnsi" w:cstheme="minorHAnsi"/>
          <w:szCs w:val="24"/>
        </w:rPr>
        <w:lastRenderedPageBreak/>
        <w:t>v souladu s vnitřními předpisy zaměstnavatele k vyřízení příslušným útvarům, popřípadě si vyžádá</w:t>
      </w:r>
    </w:p>
    <w:p w:rsidR="00034D2F" w:rsidRPr="00FF291F" w:rsidRDefault="00FF291F">
      <w:pPr>
        <w:ind w:left="14" w:right="14" w:firstLine="1416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od příslušných útvarů podkladová stanoviska a následně podání vyřizuje. Pověřenec vede záznamy o činnostech zpracování podle čl. 30 GDPR. Pověřenec navrhuje zaměstnavateli opaření k dosahování plného souladu s GDPR a dalšími předpisy v oblasti ochrany osob</w:t>
      </w:r>
      <w:r w:rsidRPr="00FF291F">
        <w:rPr>
          <w:rFonts w:asciiTheme="minorHAnsi" w:hAnsiTheme="minorHAnsi" w:cstheme="minorHAnsi"/>
          <w:szCs w:val="24"/>
        </w:rPr>
        <w:t xml:space="preserve">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 </w:t>
      </w:r>
      <w:r w:rsidRPr="00FF291F">
        <w:rPr>
          <w:rFonts w:asciiTheme="minorHAnsi" w:hAnsiTheme="minorHAnsi" w:cstheme="minorHAnsi"/>
          <w:szCs w:val="24"/>
        </w:rPr>
        <w:t xml:space="preserve">3. </w:t>
      </w:r>
      <w:r w:rsidRPr="00FF291F">
        <w:rPr>
          <w:rFonts w:asciiTheme="minorHAnsi" w:hAnsiTheme="minorHAnsi" w:cstheme="minorHAnsi"/>
          <w:szCs w:val="24"/>
        </w:rPr>
        <w:t>Poradce</w:t>
      </w:r>
      <w:r w:rsidRPr="00FF291F">
        <w:rPr>
          <w:rFonts w:asciiTheme="minorHAnsi" w:hAnsiTheme="minorHAnsi" w:cstheme="minorHAnsi"/>
          <w:szCs w:val="24"/>
        </w:rPr>
        <w:t xml:space="preserve"> se zavazuje, dle této Smlouvy, Klientovi poskytnout e-learningové školení zaměstnanců v oblasti GDPR.</w:t>
      </w:r>
    </w:p>
    <w:p w:rsidR="00034D2F" w:rsidRPr="00FF291F" w:rsidRDefault="00FF291F">
      <w:pPr>
        <w:numPr>
          <w:ilvl w:val="0"/>
          <w:numId w:val="2"/>
        </w:numPr>
        <w:spacing w:after="40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</w:t>
      </w:r>
      <w:r w:rsidRPr="00FF291F">
        <w:rPr>
          <w:rFonts w:asciiTheme="minorHAnsi" w:hAnsiTheme="minorHAnsi" w:cstheme="minorHAnsi"/>
          <w:szCs w:val="24"/>
        </w:rPr>
        <w:t>no písemným dodatkem k této Smlouvě, v němž bude stanovena další poradenská činnost a odměna, kterou bude Klient hradit.</w:t>
      </w:r>
    </w:p>
    <w:p w:rsidR="00034D2F" w:rsidRPr="00FF291F" w:rsidRDefault="00FF291F">
      <w:pPr>
        <w:numPr>
          <w:ilvl w:val="0"/>
          <w:numId w:val="2"/>
        </w:numPr>
        <w:spacing w:after="666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</w:t>
      </w:r>
      <w:r w:rsidRPr="00FF291F">
        <w:rPr>
          <w:rFonts w:asciiTheme="minorHAnsi" w:hAnsiTheme="minorHAnsi" w:cstheme="minorHAnsi"/>
          <w:szCs w:val="24"/>
        </w:rPr>
        <w:t>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034D2F" w:rsidRPr="00FF291F" w:rsidRDefault="00FF291F">
      <w:pPr>
        <w:spacing w:after="0" w:line="259" w:lineRule="auto"/>
        <w:ind w:left="10" w:right="43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Článek III.</w:t>
      </w:r>
    </w:p>
    <w:p w:rsidR="00034D2F" w:rsidRPr="00FF291F" w:rsidRDefault="00FF291F">
      <w:pPr>
        <w:spacing w:after="202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Práva a povinnosti Smluvních stran</w:t>
      </w:r>
    </w:p>
    <w:p w:rsidR="00034D2F" w:rsidRPr="00FF291F" w:rsidRDefault="00FF291F">
      <w:pPr>
        <w:spacing w:after="58"/>
        <w:ind w:left="557"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1</w:t>
      </w:r>
      <w:r w:rsidRPr="00FF291F">
        <w:rPr>
          <w:rFonts w:asciiTheme="minorHAnsi" w:hAnsiTheme="minorHAnsi" w:cstheme="minorHAnsi"/>
          <w:szCs w:val="24"/>
        </w:rPr>
        <w:t xml:space="preserve"> </w:t>
      </w:r>
      <w:r w:rsidRPr="00FF291F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034D2F" w:rsidRPr="00FF291F" w:rsidRDefault="00FF291F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Klient je povinen poskytovat Poradci veškerou potřebnou so</w:t>
      </w:r>
      <w:r w:rsidRPr="00FF291F">
        <w:rPr>
          <w:rFonts w:asciiTheme="minorHAnsi" w:hAnsiTheme="minorHAnsi" w:cstheme="minorHAnsi"/>
          <w:szCs w:val="24"/>
        </w:rPr>
        <w:t>učinnost a veškeré informace a podklady potřebné k plnění činností Poradce.</w:t>
      </w:r>
    </w:p>
    <w:p w:rsidR="00034D2F" w:rsidRPr="00FF291F" w:rsidRDefault="00FF291F">
      <w:pPr>
        <w:numPr>
          <w:ilvl w:val="0"/>
          <w:numId w:val="3"/>
        </w:numPr>
        <w:spacing w:after="54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034D2F" w:rsidRPr="00FF291F" w:rsidRDefault="00FF291F">
      <w:pPr>
        <w:numPr>
          <w:ilvl w:val="0"/>
          <w:numId w:val="3"/>
        </w:numPr>
        <w:spacing w:after="56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Poradce je povinen vykonávat č</w:t>
      </w:r>
      <w:r w:rsidRPr="00FF291F">
        <w:rPr>
          <w:rFonts w:asciiTheme="minorHAnsi" w:hAnsiTheme="minorHAnsi" w:cstheme="minorHAnsi"/>
          <w:szCs w:val="24"/>
        </w:rPr>
        <w:t>innosti dle této Smlouvy v dohodnutých nebo právními předpisy stanovených termínech.</w:t>
      </w:r>
    </w:p>
    <w:p w:rsidR="00034D2F" w:rsidRPr="00FF291F" w:rsidRDefault="00FF291F">
      <w:pPr>
        <w:numPr>
          <w:ilvl w:val="0"/>
          <w:numId w:val="3"/>
        </w:numPr>
        <w:spacing w:after="29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034D2F" w:rsidRPr="00FF291F" w:rsidRDefault="00FF291F">
      <w:pPr>
        <w:numPr>
          <w:ilvl w:val="0"/>
          <w:numId w:val="3"/>
        </w:numPr>
        <w:spacing w:after="356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Každá ze Smluvních stran určuje kontaktní osobu/osoby, které budou</w:t>
      </w:r>
      <w:r w:rsidRPr="00FF291F">
        <w:rPr>
          <w:rFonts w:asciiTheme="minorHAnsi" w:hAnsiTheme="minorHAnsi" w:cstheme="minorHAnsi"/>
          <w:szCs w:val="24"/>
        </w:rPr>
        <w:t xml:space="preserve">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</w:t>
      </w:r>
      <w:r w:rsidRPr="00FF291F">
        <w:rPr>
          <w:rFonts w:asciiTheme="minorHAnsi" w:hAnsiTheme="minorHAnsi" w:cstheme="minorHAnsi"/>
          <w:szCs w:val="24"/>
        </w:rPr>
        <w:t>a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034D2F" w:rsidRPr="00FF291F" w:rsidRDefault="00FF291F">
      <w:pPr>
        <w:spacing w:after="36"/>
        <w:ind w:left="542" w:right="14" w:firstLine="0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Kontaktní osobou na straně Poradce je:</w:t>
      </w:r>
    </w:p>
    <w:p w:rsidR="00034D2F" w:rsidRPr="00FF291F" w:rsidRDefault="00FF291F">
      <w:pPr>
        <w:spacing w:after="0" w:line="259" w:lineRule="auto"/>
        <w:ind w:left="446" w:firstLine="0"/>
        <w:jc w:val="left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77104" cy="576099"/>
            <wp:effectExtent l="0" t="0" r="0" b="0"/>
            <wp:docPr id="30275" name="Picture 30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5" name="Picture 30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7104" cy="57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D2F" w:rsidRPr="00FF291F" w:rsidRDefault="00FF291F">
      <w:pPr>
        <w:spacing w:after="46" w:line="217" w:lineRule="auto"/>
        <w:ind w:left="499" w:firstLine="9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Pověřenec:</w:t>
      </w:r>
    </w:p>
    <w:p w:rsidR="00034D2F" w:rsidRPr="00FF291F" w:rsidRDefault="00FF291F">
      <w:pPr>
        <w:spacing w:after="366" w:line="259" w:lineRule="auto"/>
        <w:ind w:left="442" w:firstLine="0"/>
        <w:jc w:val="left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356451" cy="600485"/>
            <wp:effectExtent l="0" t="0" r="0" b="0"/>
            <wp:docPr id="30278" name="Picture 30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8" name="Picture 302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451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D2F" w:rsidRPr="00FF291F" w:rsidRDefault="00FF291F">
      <w:pPr>
        <w:spacing w:after="36"/>
        <w:ind w:left="509" w:right="14" w:firstLine="0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Kontaktní osobou na straně Klienta je:</w:t>
      </w:r>
    </w:p>
    <w:p w:rsidR="00034D2F" w:rsidRPr="00FF291F" w:rsidRDefault="00FF291F">
      <w:pPr>
        <w:spacing w:after="608" w:line="259" w:lineRule="auto"/>
        <w:ind w:left="461" w:firstLine="0"/>
        <w:jc w:val="left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77694" cy="637062"/>
            <wp:effectExtent l="0" t="0" r="0" b="0"/>
            <wp:docPr id="30280" name="Picture 30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0" name="Picture 302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7694" cy="63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D2F" w:rsidRPr="00FF291F" w:rsidRDefault="00FF291F">
      <w:pPr>
        <w:spacing w:after="0" w:line="259" w:lineRule="auto"/>
        <w:ind w:left="10" w:right="72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Článek IV.</w:t>
      </w:r>
    </w:p>
    <w:p w:rsidR="00034D2F" w:rsidRPr="00FF291F" w:rsidRDefault="00FF291F">
      <w:pPr>
        <w:pStyle w:val="Nadpis1"/>
        <w:spacing w:after="249"/>
        <w:ind w:left="10" w:right="62"/>
        <w:rPr>
          <w:rFonts w:asciiTheme="minorHAnsi" w:hAnsiTheme="minorHAnsi" w:cstheme="minorHAnsi"/>
          <w:sz w:val="24"/>
          <w:szCs w:val="24"/>
        </w:rPr>
      </w:pPr>
      <w:r w:rsidRPr="00FF291F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034D2F" w:rsidRPr="00FF291F" w:rsidRDefault="00FF291F">
      <w:pPr>
        <w:spacing w:after="320"/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FF291F">
        <w:rPr>
          <w:rFonts w:asciiTheme="minorHAnsi" w:hAnsiTheme="minorHAnsi" w:cstheme="minorHAnsi"/>
          <w:szCs w:val="24"/>
        </w:rPr>
        <w:t>1 .</w:t>
      </w:r>
      <w:proofErr w:type="gramEnd"/>
      <w:r w:rsidRPr="00FF291F">
        <w:rPr>
          <w:rFonts w:asciiTheme="minorHAnsi" w:hAnsiTheme="minorHAnsi" w:cstheme="minorHAnsi"/>
          <w:szCs w:val="24"/>
        </w:rPr>
        <w:t xml:space="preserve"> </w:t>
      </w:r>
      <w:r w:rsidRPr="00FF291F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FF291F">
        <w:rPr>
          <w:rFonts w:asciiTheme="minorHAnsi" w:hAnsiTheme="minorHAnsi" w:cstheme="minorHAnsi"/>
          <w:szCs w:val="24"/>
        </w:rPr>
        <w:t>Il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034D2F" w:rsidRPr="00FF291F" w:rsidRDefault="00FF291F">
      <w:pPr>
        <w:spacing w:after="69"/>
        <w:ind w:left="1412" w:right="14" w:hanging="418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0282" name="Picture 30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2" name="Picture 302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91F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034D2F" w:rsidRPr="00FF291F" w:rsidRDefault="00FF291F">
      <w:pPr>
        <w:numPr>
          <w:ilvl w:val="0"/>
          <w:numId w:val="4"/>
        </w:numPr>
        <w:spacing w:after="73" w:line="217" w:lineRule="auto"/>
        <w:ind w:right="7" w:hanging="422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za služby provedené dle čl. II., odst. 2. této Smlouvy měsíční odměnu v celkové výši 2 400,- Kč (bez DPH v zákonné výši) na základě faktury vystavené Poradcem se splatností 21 kalendářních dní ode dne doručení.</w:t>
      </w:r>
    </w:p>
    <w:p w:rsidR="00034D2F" w:rsidRPr="00FF291F" w:rsidRDefault="00FF291F">
      <w:pPr>
        <w:numPr>
          <w:ilvl w:val="0"/>
          <w:numId w:val="4"/>
        </w:numPr>
        <w:spacing w:after="381"/>
        <w:ind w:right="7" w:hanging="422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Za služby provedené dle či, II., odst. 3. tét</w:t>
      </w:r>
      <w:r w:rsidRPr="00FF291F">
        <w:rPr>
          <w:rFonts w:asciiTheme="minorHAnsi" w:hAnsiTheme="minorHAnsi" w:cstheme="minorHAnsi"/>
          <w:szCs w:val="24"/>
        </w:rPr>
        <w:t>o Smlouvy jednorázovou odměnu v</w:t>
      </w:r>
    </w:p>
    <w:p w:rsidR="00034D2F" w:rsidRPr="00FF291F" w:rsidRDefault="00FF291F">
      <w:pPr>
        <w:spacing w:after="381"/>
        <w:ind w:left="1425" w:right="14" w:hanging="427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celkové výši 1 400,- Kč (bez DPH v zákonné výši) pro všechny zaměstnance Klienta přihlášené do e-learningového kurzu. Výše uvedené bude Klientem proplaceno na základě Poradcem vystavené faktury se splatností 21 kalendářních </w:t>
      </w:r>
      <w:r w:rsidRPr="00FF291F">
        <w:rPr>
          <w:rFonts w:asciiTheme="minorHAnsi" w:hAnsiTheme="minorHAnsi" w:cstheme="minorHAnsi"/>
          <w:szCs w:val="24"/>
        </w:rPr>
        <w:t>dní ode dne doručení. E-learningové školení je možné využívat neomezeně po dobu devíti měsíců od podpisu této Smlouvy.</w:t>
      </w:r>
    </w:p>
    <w:p w:rsidR="00034D2F" w:rsidRPr="00FF291F" w:rsidRDefault="00FF291F">
      <w:pPr>
        <w:numPr>
          <w:ilvl w:val="0"/>
          <w:numId w:val="5"/>
        </w:numPr>
        <w:ind w:right="14" w:hanging="542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</w:t>
      </w:r>
      <w:r w:rsidRPr="00FF291F">
        <w:rPr>
          <w:rFonts w:asciiTheme="minorHAnsi" w:hAnsiTheme="minorHAnsi" w:cstheme="minorHAnsi"/>
          <w:szCs w:val="24"/>
        </w:rPr>
        <w:t xml:space="preserve"> náhrady, běžné náklady spojené s poskytnutím služeb dle této Smlouvy (tj. tel. hovorné, </w:t>
      </w:r>
      <w:proofErr w:type="spellStart"/>
      <w:r w:rsidRPr="00FF291F">
        <w:rPr>
          <w:rFonts w:asciiTheme="minorHAnsi" w:hAnsiTheme="minorHAnsi" w:cstheme="minorHAnsi"/>
          <w:szCs w:val="24"/>
        </w:rPr>
        <w:t>faxovné</w:t>
      </w:r>
      <w:proofErr w:type="spellEnd"/>
      <w:r w:rsidRPr="00FF291F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FF291F">
        <w:rPr>
          <w:rFonts w:asciiTheme="minorHAnsi" w:hAnsiTheme="minorHAnsi" w:cstheme="minorHAnsi"/>
          <w:szCs w:val="24"/>
        </w:rPr>
        <w:t>fotokopírování</w:t>
      </w:r>
      <w:proofErr w:type="spellEnd"/>
      <w:r w:rsidRPr="00FF291F">
        <w:rPr>
          <w:rFonts w:asciiTheme="minorHAnsi" w:hAnsiTheme="minorHAnsi" w:cstheme="minorHAnsi"/>
          <w:szCs w:val="24"/>
        </w:rPr>
        <w:t>, technické nosiče, a kancelářské potřeby).</w:t>
      </w:r>
    </w:p>
    <w:p w:rsidR="00034D2F" w:rsidRPr="00FF291F" w:rsidRDefault="00FF291F">
      <w:pPr>
        <w:numPr>
          <w:ilvl w:val="0"/>
          <w:numId w:val="5"/>
        </w:numPr>
        <w:ind w:right="14" w:hanging="542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B</w:t>
      </w:r>
      <w:r w:rsidRPr="00FF291F">
        <w:rPr>
          <w:rFonts w:asciiTheme="minorHAnsi" w:hAnsiTheme="minorHAnsi" w:cstheme="minorHAnsi"/>
          <w:szCs w:val="24"/>
        </w:rPr>
        <w:t>ude-li Klient v prodlení s placením odměny v termínech a výších dle tohoto článku, je povinen uhradit Poradci úroky z prodlení ve výši 0,05 % z dlužné částky za každý den prodlení. Nebude-li Poradce řádně plnit předmět této smlouvy, je povinen uhradit Klie</w:t>
      </w:r>
      <w:r w:rsidRPr="00FF291F">
        <w:rPr>
          <w:rFonts w:asciiTheme="minorHAnsi" w:hAnsiTheme="minorHAnsi" w:cstheme="minorHAnsi"/>
          <w:szCs w:val="24"/>
        </w:rPr>
        <w:t>ntovi 1.000,-Kč denně za každý den prodlení s plněním.</w:t>
      </w:r>
    </w:p>
    <w:p w:rsidR="00034D2F" w:rsidRPr="00FF291F" w:rsidRDefault="00FF291F">
      <w:pPr>
        <w:numPr>
          <w:ilvl w:val="0"/>
          <w:numId w:val="5"/>
        </w:numPr>
        <w:ind w:right="14" w:hanging="542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pozdějších předpisů stanovené náležitosti nebo bude obsahovat chybné údaje, je Klient oprávněn tuto fakturu </w:t>
      </w:r>
      <w:r w:rsidRPr="00FF291F">
        <w:rPr>
          <w:rFonts w:asciiTheme="minorHAnsi" w:hAnsiTheme="minorHAnsi" w:cstheme="minorHAnsi"/>
          <w:szCs w:val="24"/>
        </w:rPr>
        <w:t>ve lhůtě její splatnosti vrátit Poradci, aniž by se tím Klient dostal do prodlení s úhradou faktury. Nová lhůta splatnosti počíná běžet dnem obdržení opravené nebo nově vystavené faktury. Důvod případného vrácení faktury musí být Klientem jednoznačně vymez</w:t>
      </w:r>
      <w:r w:rsidRPr="00FF291F">
        <w:rPr>
          <w:rFonts w:asciiTheme="minorHAnsi" w:hAnsiTheme="minorHAnsi" w:cstheme="minorHAnsi"/>
          <w:szCs w:val="24"/>
        </w:rPr>
        <w:t>en.</w:t>
      </w:r>
    </w:p>
    <w:p w:rsidR="00034D2F" w:rsidRPr="00FF291F" w:rsidRDefault="00FF291F">
      <w:pPr>
        <w:spacing w:after="0" w:line="259" w:lineRule="auto"/>
        <w:ind w:left="10" w:right="5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Článek V.</w:t>
      </w:r>
    </w:p>
    <w:p w:rsidR="00034D2F" w:rsidRPr="00FF291F" w:rsidRDefault="00FF291F">
      <w:pPr>
        <w:pStyle w:val="Nadpis1"/>
        <w:spacing w:after="301"/>
        <w:ind w:left="10" w:right="5"/>
        <w:rPr>
          <w:rFonts w:asciiTheme="minorHAnsi" w:hAnsiTheme="minorHAnsi" w:cstheme="minorHAnsi"/>
          <w:sz w:val="24"/>
          <w:szCs w:val="24"/>
        </w:rPr>
      </w:pPr>
      <w:r w:rsidRPr="00FF291F">
        <w:rPr>
          <w:rFonts w:asciiTheme="minorHAnsi" w:hAnsiTheme="minorHAnsi" w:cstheme="minorHAnsi"/>
          <w:sz w:val="24"/>
          <w:szCs w:val="24"/>
        </w:rPr>
        <w:lastRenderedPageBreak/>
        <w:t>Chráněné informace</w:t>
      </w:r>
    </w:p>
    <w:p w:rsidR="00034D2F" w:rsidRPr="00FF291F" w:rsidRDefault="00FF291F">
      <w:pPr>
        <w:spacing w:after="70"/>
        <w:ind w:left="557"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1 </w:t>
      </w:r>
      <w:r w:rsidRPr="00FF291F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</w:t>
      </w:r>
      <w:r w:rsidRPr="00FF291F">
        <w:rPr>
          <w:rFonts w:asciiTheme="minorHAnsi" w:hAnsiTheme="minorHAnsi" w:cstheme="minorHAnsi"/>
          <w:szCs w:val="24"/>
        </w:rPr>
        <w:t>rmací, které byly v okamžiku sdělení veřejně známé nebo informací, které Smluvní strany získaly od třetích osob nebo jejich poskytnutí upravuje platný právní předpis.</w:t>
      </w:r>
    </w:p>
    <w:p w:rsidR="00034D2F" w:rsidRPr="00FF291F" w:rsidRDefault="00FF291F">
      <w:pPr>
        <w:spacing w:after="669"/>
        <w:ind w:left="557"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2. </w:t>
      </w:r>
      <w:r w:rsidRPr="00FF291F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</w:t>
      </w:r>
      <w:r w:rsidRPr="00FF291F">
        <w:rPr>
          <w:rFonts w:asciiTheme="minorHAnsi" w:hAnsiTheme="minorHAnsi" w:cstheme="minorHAnsi"/>
          <w:szCs w:val="24"/>
        </w:rPr>
        <w:t>realizovaném projektu, týkající se názvu projektu, názvu a identifikace Klienta, stručného popisu vykonané práce v rozsahu poskytované poradenské činnosti.</w:t>
      </w:r>
    </w:p>
    <w:p w:rsidR="00034D2F" w:rsidRPr="00FF291F" w:rsidRDefault="00FF291F">
      <w:pPr>
        <w:spacing w:after="0" w:line="259" w:lineRule="auto"/>
        <w:ind w:left="10" w:right="24" w:hanging="10"/>
        <w:jc w:val="center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FF291F">
        <w:rPr>
          <w:rFonts w:asciiTheme="minorHAnsi" w:hAnsiTheme="minorHAnsi" w:cstheme="minorHAnsi"/>
          <w:szCs w:val="24"/>
        </w:rPr>
        <w:t>Vl</w:t>
      </w:r>
      <w:proofErr w:type="spellEnd"/>
      <w:r w:rsidRPr="00FF291F">
        <w:rPr>
          <w:rFonts w:asciiTheme="minorHAnsi" w:hAnsiTheme="minorHAnsi" w:cstheme="minorHAnsi"/>
          <w:szCs w:val="24"/>
        </w:rPr>
        <w:t>.</w:t>
      </w:r>
    </w:p>
    <w:p w:rsidR="00034D2F" w:rsidRPr="00FF291F" w:rsidRDefault="00FF291F">
      <w:pPr>
        <w:pStyle w:val="Nadpis1"/>
        <w:ind w:left="10" w:right="34"/>
        <w:rPr>
          <w:rFonts w:asciiTheme="minorHAnsi" w:hAnsiTheme="minorHAnsi" w:cstheme="minorHAnsi"/>
          <w:sz w:val="24"/>
          <w:szCs w:val="24"/>
        </w:rPr>
      </w:pPr>
      <w:r w:rsidRPr="00FF291F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034D2F" w:rsidRPr="00FF291F" w:rsidRDefault="00FF291F">
      <w:pPr>
        <w:spacing w:after="50"/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FF291F">
        <w:rPr>
          <w:rFonts w:asciiTheme="minorHAnsi" w:hAnsiTheme="minorHAnsi" w:cstheme="minorHAnsi"/>
          <w:szCs w:val="24"/>
        </w:rPr>
        <w:t>1 .</w:t>
      </w:r>
      <w:proofErr w:type="gramEnd"/>
      <w:r w:rsidRPr="00FF291F">
        <w:rPr>
          <w:rFonts w:asciiTheme="minorHAnsi" w:hAnsiTheme="minorHAnsi" w:cstheme="minorHAnsi"/>
          <w:szCs w:val="24"/>
        </w:rPr>
        <w:t xml:space="preserve"> </w:t>
      </w:r>
      <w:r w:rsidRPr="00FF291F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034D2F" w:rsidRPr="00FF291F" w:rsidRDefault="00FF291F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FF291F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034D2F" w:rsidRPr="00FF291F" w:rsidRDefault="00FF291F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FF291F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trvání pojištění.</w:t>
      </w:r>
    </w:p>
    <w:p w:rsidR="00034D2F" w:rsidRPr="00FF291F" w:rsidRDefault="00FF291F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FF291F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FF291F">
        <w:rPr>
          <w:rFonts w:asciiTheme="minorHAnsi" w:hAnsiTheme="minorHAnsi" w:cstheme="minorHAnsi"/>
          <w:szCs w:val="24"/>
        </w:rPr>
        <w:t>plnění</w:t>
      </w:r>
      <w:proofErr w:type="gramEnd"/>
      <w:r w:rsidRPr="00FF291F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034D2F" w:rsidRPr="00FF291F" w:rsidRDefault="00FF291F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FF291F">
        <w:rPr>
          <w:rFonts w:asciiTheme="minorHAnsi" w:hAnsiTheme="minorHAnsi" w:cstheme="minorHAnsi"/>
          <w:szCs w:val="24"/>
        </w:rPr>
        <w:t>ace dle čl. V. trvá i po skončení účinnosti Smlouvy, stejně tak jako odpovědnost Poradce za jím doposud poskytnutou činnost.</w:t>
      </w:r>
    </w:p>
    <w:p w:rsidR="00034D2F" w:rsidRPr="00FF291F" w:rsidRDefault="00FF291F">
      <w:pPr>
        <w:numPr>
          <w:ilvl w:val="0"/>
          <w:numId w:val="6"/>
        </w:numPr>
        <w:spacing w:after="55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034D2F" w:rsidRPr="00FF291F" w:rsidRDefault="00FF291F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Tato Smlouva se </w:t>
      </w:r>
      <w:r w:rsidRPr="00FF291F">
        <w:rPr>
          <w:rFonts w:asciiTheme="minorHAnsi" w:hAnsiTheme="minorHAnsi" w:cstheme="minorHAnsi"/>
          <w:szCs w:val="24"/>
        </w:rPr>
        <w:t>sepisuje ve (2) dvou vyhotoveních s platností originálu, přičemž každá ze Smluvních stran obdrží po (1) jednom vyhotovení Smlouvy.</w:t>
      </w:r>
    </w:p>
    <w:p w:rsidR="00034D2F" w:rsidRPr="00FF291F" w:rsidRDefault="00FF291F">
      <w:pPr>
        <w:numPr>
          <w:ilvl w:val="0"/>
          <w:numId w:val="6"/>
        </w:numPr>
        <w:spacing w:after="40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</w:t>
      </w:r>
      <w:r w:rsidRPr="00FF291F">
        <w:rPr>
          <w:rFonts w:asciiTheme="minorHAnsi" w:hAnsiTheme="minorHAnsi" w:cstheme="minorHAnsi"/>
          <w:szCs w:val="24"/>
        </w:rPr>
        <w:t>dem, v důsledku čehož by mohla být posuzována jako neplatná, považuje se toto ustanovení za samostatné a Smlouva se posuzuje, jako by takové ustanovení nikdy neobsahovala.</w:t>
      </w:r>
    </w:p>
    <w:p w:rsidR="00034D2F" w:rsidRPr="00FF291F" w:rsidRDefault="00FF291F">
      <w:pPr>
        <w:numPr>
          <w:ilvl w:val="0"/>
          <w:numId w:val="6"/>
        </w:numPr>
        <w:spacing w:after="36"/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Smluvní strany této Smlouvy se zavazují, že v případě sporů o obsah a plnění této Sm</w:t>
      </w:r>
      <w:r w:rsidRPr="00FF291F">
        <w:rPr>
          <w:rFonts w:asciiTheme="minorHAnsi" w:hAnsiTheme="minorHAnsi" w:cstheme="minorHAnsi"/>
          <w:szCs w:val="24"/>
        </w:rPr>
        <w:t>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034D2F" w:rsidRPr="00FF291F" w:rsidRDefault="00FF291F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>Tato smlouva bude zveřejněna v</w:t>
      </w:r>
      <w:r w:rsidRPr="00FF291F">
        <w:rPr>
          <w:rFonts w:asciiTheme="minorHAnsi" w:hAnsiTheme="minorHAnsi" w:cstheme="minorHAnsi"/>
          <w:szCs w:val="24"/>
        </w:rPr>
        <w:t xml:space="preserve"> registru smluv dle zákona č. 340/2015 Sb., o zvláštních podmínkách účinnosti některých smluv, uveřejňování těchto smluv a o registru smluv (zákon o registru smluv) a to bez uvedení citlivých údajů (obchodní tajemství, osobní údaje). Zveřejnění smlouvy zaj</w:t>
      </w:r>
      <w:r w:rsidRPr="00FF291F">
        <w:rPr>
          <w:rFonts w:asciiTheme="minorHAnsi" w:hAnsiTheme="minorHAnsi" w:cstheme="minorHAnsi"/>
          <w:szCs w:val="24"/>
        </w:rPr>
        <w:t>istí Poradce.</w:t>
      </w:r>
    </w:p>
    <w:p w:rsidR="00FF291F" w:rsidRDefault="00FF291F">
      <w:pPr>
        <w:tabs>
          <w:tab w:val="center" w:pos="1971"/>
          <w:tab w:val="center" w:pos="5813"/>
        </w:tabs>
        <w:spacing w:after="188"/>
        <w:ind w:left="0" w:firstLine="0"/>
        <w:jc w:val="left"/>
        <w:rPr>
          <w:rFonts w:asciiTheme="minorHAnsi" w:hAnsiTheme="minorHAnsi" w:cstheme="minorHAnsi"/>
          <w:szCs w:val="24"/>
        </w:rPr>
      </w:pPr>
    </w:p>
    <w:p w:rsidR="00FF291F" w:rsidRDefault="00FF291F">
      <w:pPr>
        <w:tabs>
          <w:tab w:val="center" w:pos="1971"/>
          <w:tab w:val="center" w:pos="5813"/>
        </w:tabs>
        <w:spacing w:after="188"/>
        <w:ind w:left="0" w:firstLine="0"/>
        <w:jc w:val="left"/>
        <w:rPr>
          <w:rFonts w:asciiTheme="minorHAnsi" w:hAnsiTheme="minorHAnsi" w:cstheme="minorHAnsi"/>
          <w:szCs w:val="24"/>
        </w:rPr>
      </w:pPr>
    </w:p>
    <w:p w:rsidR="00034D2F" w:rsidRPr="00FF291F" w:rsidRDefault="00FF291F">
      <w:pPr>
        <w:tabs>
          <w:tab w:val="center" w:pos="1971"/>
          <w:tab w:val="center" w:pos="5813"/>
        </w:tabs>
        <w:spacing w:after="188"/>
        <w:ind w:left="0" w:firstLine="0"/>
        <w:jc w:val="left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lastRenderedPageBreak/>
        <w:t>V Praze, dne</w:t>
      </w:r>
      <w:r w:rsidRPr="00FF291F">
        <w:rPr>
          <w:rFonts w:asciiTheme="minorHAnsi" w:hAnsiTheme="minorHAnsi" w:cstheme="minorHAnsi"/>
          <w:szCs w:val="24"/>
        </w:rPr>
        <w:tab/>
      </w:r>
      <w:r w:rsidRPr="00FF29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0699" cy="112781"/>
            <wp:effectExtent l="0" t="0" r="0" b="0"/>
            <wp:docPr id="30284" name="Picture 30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4" name="Picture 302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699" cy="11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91F">
        <w:rPr>
          <w:rFonts w:asciiTheme="minorHAnsi" w:hAnsiTheme="minorHAnsi" w:cstheme="minorHAnsi"/>
          <w:szCs w:val="24"/>
        </w:rPr>
        <w:tab/>
        <w:t>V Praze, dne 20.4.2018</w:t>
      </w:r>
    </w:p>
    <w:p w:rsidR="00034D2F" w:rsidRPr="00FF291F" w:rsidRDefault="00FF291F">
      <w:pPr>
        <w:spacing w:after="223" w:line="217" w:lineRule="auto"/>
        <w:ind w:left="-10" w:right="374" w:firstLine="9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szCs w:val="24"/>
        </w:rPr>
        <w:t xml:space="preserve">Ing. Radovan Hauk Mgr.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FF291F">
        <w:rPr>
          <w:rFonts w:asciiTheme="minorHAnsi" w:hAnsiTheme="minorHAnsi" w:cstheme="minorHAnsi"/>
          <w:szCs w:val="24"/>
        </w:rPr>
        <w:t xml:space="preserve">Roman Vlček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FF291F">
        <w:rPr>
          <w:rFonts w:asciiTheme="minorHAnsi" w:hAnsiTheme="minorHAnsi" w:cstheme="minorHAnsi"/>
          <w:szCs w:val="24"/>
        </w:rPr>
        <w:t xml:space="preserve">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FF291F">
        <w:rPr>
          <w:rFonts w:asciiTheme="minorHAnsi" w:hAnsiTheme="minorHAnsi" w:cstheme="minorHAnsi"/>
          <w:szCs w:val="24"/>
        </w:rPr>
        <w:t>ředitel školy</w:t>
      </w:r>
    </w:p>
    <w:p w:rsidR="00034D2F" w:rsidRPr="00FF291F" w:rsidRDefault="00FF291F">
      <w:pPr>
        <w:tabs>
          <w:tab w:val="center" w:pos="2295"/>
          <w:tab w:val="right" w:pos="9130"/>
        </w:tabs>
        <w:spacing w:after="381"/>
        <w:ind w:left="0" w:firstLine="0"/>
        <w:jc w:val="left"/>
        <w:rPr>
          <w:rFonts w:asciiTheme="minorHAnsi" w:hAnsiTheme="minorHAnsi" w:cstheme="minorHAnsi"/>
          <w:szCs w:val="24"/>
        </w:rPr>
      </w:pPr>
      <w:r w:rsidRPr="00FF291F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563918</wp:posOffset>
            </wp:positionH>
            <wp:positionV relativeFrom="paragraph">
              <wp:posOffset>91444</wp:posOffset>
            </wp:positionV>
            <wp:extent cx="1164414" cy="627918"/>
            <wp:effectExtent l="0" t="0" r="0" b="0"/>
            <wp:wrapSquare wrapText="bothSides"/>
            <wp:docPr id="19726" name="Picture 19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" name="Picture 197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4414" cy="62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91F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27434</wp:posOffset>
                </wp:positionH>
                <wp:positionV relativeFrom="paragraph">
                  <wp:posOffset>853481</wp:posOffset>
                </wp:positionV>
                <wp:extent cx="2755577" cy="6096"/>
                <wp:effectExtent l="0" t="0" r="0" b="0"/>
                <wp:wrapSquare wrapText="bothSides"/>
                <wp:docPr id="30289" name="Group 30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577" cy="6096"/>
                          <a:chOff x="0" y="0"/>
                          <a:chExt cx="2755577" cy="6096"/>
                        </a:xfrm>
                      </wpg:grpSpPr>
                      <wps:wsp>
                        <wps:cNvPr id="30288" name="Shape 30288"/>
                        <wps:cNvSpPr/>
                        <wps:spPr>
                          <a:xfrm>
                            <a:off x="0" y="0"/>
                            <a:ext cx="275557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577" h="6096">
                                <a:moveTo>
                                  <a:pt x="0" y="3048"/>
                                </a:moveTo>
                                <a:lnTo>
                                  <a:pt x="275557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289" style="width:216.975pt;height:0.480026pt;position:absolute;mso-position-horizontal-relative:text;mso-position-horizontal:absolute;margin-left:2.16014pt;mso-position-vertical-relative:text;margin-top:67.2032pt;" coordsize="27555,60">
                <v:shape id="Shape 30288" style="position:absolute;width:27555;height:60;left:0;top:0;" coordsize="2755577,6096" path="m0,3048l2755577,3048">
                  <v:stroke weight="0.48002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FF291F">
        <w:rPr>
          <w:rFonts w:asciiTheme="minorHAnsi" w:hAnsiTheme="minorHAnsi" w:cstheme="minorHAnsi"/>
          <w:szCs w:val="24"/>
        </w:rPr>
        <w:tab/>
        <w:t>vlastnoruční podpis</w:t>
      </w:r>
      <w:r w:rsidRPr="00FF291F">
        <w:rPr>
          <w:rFonts w:asciiTheme="minorHAnsi" w:hAnsiTheme="minorHAnsi" w:cstheme="minorHAnsi"/>
          <w:szCs w:val="24"/>
        </w:rPr>
        <w:tab/>
      </w:r>
      <w:r w:rsidRPr="00FF291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743385" cy="1140006"/>
            <wp:effectExtent l="0" t="0" r="0" b="0"/>
            <wp:docPr id="30286" name="Picture 30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6" name="Picture 302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385" cy="114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4D2F" w:rsidRPr="00FF291F">
      <w:pgSz w:w="11900" w:h="16820"/>
      <w:pgMar w:top="1644" w:right="1498" w:bottom="1220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106E8"/>
    <w:multiLevelType w:val="hybridMultilevel"/>
    <w:tmpl w:val="39D02DDC"/>
    <w:lvl w:ilvl="0" w:tplc="B10A4112">
      <w:start w:val="4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CB9B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C186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8ADC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C2AD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8560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4A37C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8F19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2A25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62E99"/>
    <w:multiLevelType w:val="hybridMultilevel"/>
    <w:tmpl w:val="B46E696E"/>
    <w:lvl w:ilvl="0" w:tplc="19007406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60E6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0B48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26A38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6E5D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4A85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6B03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1E916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83D02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4534F"/>
    <w:multiLevelType w:val="hybridMultilevel"/>
    <w:tmpl w:val="6EC29286"/>
    <w:lvl w:ilvl="0" w:tplc="93B2A048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A9E8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212A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EC92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27D2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6C7C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8808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E25A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267E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0F1BA6"/>
    <w:multiLevelType w:val="hybridMultilevel"/>
    <w:tmpl w:val="BCD48C5E"/>
    <w:lvl w:ilvl="0" w:tplc="53E84A4A">
      <w:start w:val="2"/>
      <w:numFmt w:val="lowerRoman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4A286">
      <w:start w:val="1"/>
      <w:numFmt w:val="lowerLetter"/>
      <w:lvlText w:val="%2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65498">
      <w:start w:val="1"/>
      <w:numFmt w:val="lowerRoman"/>
      <w:lvlText w:val="%3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28B6C">
      <w:start w:val="1"/>
      <w:numFmt w:val="decimal"/>
      <w:lvlText w:val="%4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A58D6">
      <w:start w:val="1"/>
      <w:numFmt w:val="lowerLetter"/>
      <w:lvlText w:val="%5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2AC4A">
      <w:start w:val="1"/>
      <w:numFmt w:val="lowerRoman"/>
      <w:lvlText w:val="%6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8B9EC">
      <w:start w:val="1"/>
      <w:numFmt w:val="decimal"/>
      <w:lvlText w:val="%7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C84340">
      <w:start w:val="1"/>
      <w:numFmt w:val="lowerLetter"/>
      <w:lvlText w:val="%8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4EC10">
      <w:start w:val="1"/>
      <w:numFmt w:val="lowerRoman"/>
      <w:lvlText w:val="%9"/>
      <w:lvlJc w:val="left"/>
      <w:pPr>
        <w:ind w:left="7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FF06F2"/>
    <w:multiLevelType w:val="hybridMultilevel"/>
    <w:tmpl w:val="3CC253FA"/>
    <w:lvl w:ilvl="0" w:tplc="00004316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E21E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6CBF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6B3C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EAD9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6B82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6233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088B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01CE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7A514C"/>
    <w:multiLevelType w:val="hybridMultilevel"/>
    <w:tmpl w:val="2BE2C782"/>
    <w:lvl w:ilvl="0" w:tplc="47B8C81C">
      <w:start w:val="2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6518C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06B9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4EBBA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6463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4FA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8EE0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63A3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8FE1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2F"/>
    <w:rsid w:val="00034D2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0A60"/>
  <w15:docId w15:val="{59E07D80-7888-4B95-8EAF-C4C6966B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3" w:lineRule="auto"/>
      <w:ind w:left="548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41"/>
      <w:ind w:left="15" w:right="4450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11461</Characters>
  <Application>Microsoft Office Word</Application>
  <DocSecurity>0</DocSecurity>
  <Lines>95</Lines>
  <Paragraphs>26</Paragraphs>
  <ScaleCrop>false</ScaleCrop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KM_C558-20180507094551</dc:title>
  <dc:subject/>
  <dc:creator>Petr Gabriel</dc:creator>
  <cp:keywords/>
  <cp:lastModifiedBy>Petr Gabriel</cp:lastModifiedBy>
  <cp:revision>2</cp:revision>
  <dcterms:created xsi:type="dcterms:W3CDTF">2018-05-24T08:35:00Z</dcterms:created>
  <dcterms:modified xsi:type="dcterms:W3CDTF">2018-05-24T08:35:00Z</dcterms:modified>
</cp:coreProperties>
</file>