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63" w:rsidRPr="004B6DF5" w:rsidRDefault="004B6DF5">
      <w:pPr>
        <w:spacing w:after="354" w:line="259" w:lineRule="auto"/>
        <w:ind w:left="0" w:right="48" w:firstLine="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Smlouva o poskytování poradenských služeb</w:t>
      </w:r>
    </w:p>
    <w:p w:rsidR="00515A63" w:rsidRPr="004B6DF5" w:rsidRDefault="004B6DF5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BDO Advisory s.r.o.</w:t>
      </w:r>
    </w:p>
    <w:p w:rsidR="00515A63" w:rsidRPr="004B6DF5" w:rsidRDefault="004B6DF5">
      <w:pPr>
        <w:spacing w:after="243"/>
        <w:ind w:left="14" w:right="52" w:firstLine="5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4B6DF5">
        <w:rPr>
          <w:rFonts w:asciiTheme="minorHAnsi" w:hAnsiTheme="minorHAnsi" w:cstheme="minorHAnsi"/>
          <w:szCs w:val="24"/>
        </w:rPr>
        <w:t>Haukem</w:t>
      </w:r>
      <w:proofErr w:type="spellEnd"/>
      <w:r w:rsidRPr="004B6DF5">
        <w:rPr>
          <w:rFonts w:asciiTheme="minorHAnsi" w:hAnsiTheme="minorHAnsi" w:cstheme="minorHAnsi"/>
          <w:szCs w:val="24"/>
        </w:rPr>
        <w:t>, jednatelem dále jen „Poradce”</w:t>
      </w:r>
    </w:p>
    <w:p w:rsidR="00515A63" w:rsidRPr="004B6DF5" w:rsidRDefault="004B6DF5">
      <w:pPr>
        <w:spacing w:after="155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a</w:t>
      </w:r>
    </w:p>
    <w:p w:rsidR="00515A63" w:rsidRPr="004B6DF5" w:rsidRDefault="004B6DF5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Hotelová škola, Praha 10, Vršovická 43/56</w:t>
      </w:r>
      <w:r w:rsidRPr="004B6DF5">
        <w:rPr>
          <w:rFonts w:asciiTheme="minorHAnsi" w:hAnsiTheme="minorHAnsi" w:cstheme="minorHAnsi"/>
          <w:szCs w:val="24"/>
        </w:rPr>
        <w:t>4</w:t>
      </w:r>
    </w:p>
    <w:p w:rsidR="00515A63" w:rsidRPr="004B6DF5" w:rsidRDefault="004B6DF5">
      <w:pPr>
        <w:spacing w:after="5" w:line="221" w:lineRule="auto"/>
        <w:ind w:left="-10" w:right="272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Se sídlem Vršovická 564/43, Vršovice, Praha 10, 101 OO Praha IC: 60461713</w:t>
      </w:r>
    </w:p>
    <w:p w:rsidR="00515A63" w:rsidRPr="004B6DF5" w:rsidRDefault="004B6DF5">
      <w:pPr>
        <w:spacing w:after="278"/>
        <w:ind w:left="14" w:right="5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Zastoupena: Mgr. Petr Vomela, ředitel</w:t>
      </w:r>
    </w:p>
    <w:p w:rsidR="00515A63" w:rsidRPr="004B6DF5" w:rsidRDefault="004B6DF5">
      <w:pPr>
        <w:spacing w:after="562"/>
        <w:ind w:left="14" w:right="5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dále jen „Klient”</w:t>
      </w:r>
    </w:p>
    <w:p w:rsidR="00515A63" w:rsidRPr="004B6DF5" w:rsidRDefault="004B6DF5">
      <w:pPr>
        <w:spacing w:after="454" w:line="221" w:lineRule="auto"/>
        <w:ind w:left="-10" w:right="0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”Smlouva”) ve s</w:t>
      </w:r>
      <w:r w:rsidRPr="004B6DF5">
        <w:rPr>
          <w:rFonts w:asciiTheme="minorHAnsi" w:hAnsiTheme="minorHAnsi" w:cstheme="minorHAnsi"/>
          <w:szCs w:val="24"/>
        </w:rPr>
        <w:t>myslu ustanovení S 1 746 odst. 2 zákona č. 89/2012 Sb., občanský zákoník, ve znění pozdějších předpisů (dále jen ”Občanský zákoník”)</w:t>
      </w:r>
    </w:p>
    <w:p w:rsidR="00515A63" w:rsidRPr="004B6DF5" w:rsidRDefault="004B6DF5">
      <w:pPr>
        <w:spacing w:after="5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Článek I.</w:t>
      </w:r>
    </w:p>
    <w:p w:rsidR="00515A63" w:rsidRPr="004B6DF5" w:rsidRDefault="004B6DF5">
      <w:pPr>
        <w:pStyle w:val="Nadpis1"/>
        <w:spacing w:after="467"/>
        <w:ind w:left="10" w:right="38"/>
        <w:rPr>
          <w:rFonts w:asciiTheme="minorHAnsi" w:hAnsiTheme="minorHAnsi" w:cstheme="minorHAnsi"/>
          <w:sz w:val="24"/>
          <w:szCs w:val="24"/>
        </w:rPr>
      </w:pPr>
      <w:r w:rsidRPr="004B6DF5">
        <w:rPr>
          <w:rFonts w:asciiTheme="minorHAnsi" w:hAnsiTheme="minorHAnsi" w:cstheme="minorHAnsi"/>
          <w:sz w:val="24"/>
          <w:szCs w:val="24"/>
        </w:rPr>
        <w:t>Předmět Smlouvy</w:t>
      </w:r>
    </w:p>
    <w:p w:rsidR="00515A63" w:rsidRPr="004B6DF5" w:rsidRDefault="004B6DF5">
      <w:pPr>
        <w:spacing w:after="45"/>
        <w:ind w:left="547" w:right="52"/>
        <w:rPr>
          <w:rFonts w:asciiTheme="minorHAnsi" w:hAnsiTheme="minorHAnsi" w:cstheme="minorHAnsi"/>
          <w:szCs w:val="24"/>
        </w:rPr>
      </w:pPr>
      <w:proofErr w:type="gramStart"/>
      <w:r w:rsidRPr="004B6DF5">
        <w:rPr>
          <w:rFonts w:asciiTheme="minorHAnsi" w:hAnsiTheme="minorHAnsi" w:cstheme="minorHAnsi"/>
          <w:szCs w:val="24"/>
        </w:rPr>
        <w:t>1 .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</w:t>
      </w:r>
      <w:r w:rsidRPr="004B6DF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B6DF5">
        <w:rPr>
          <w:rFonts w:asciiTheme="minorHAnsi" w:hAnsiTheme="minorHAnsi" w:cstheme="minorHAnsi"/>
          <w:szCs w:val="24"/>
        </w:rPr>
        <w:t>Il</w:t>
      </w:r>
      <w:proofErr w:type="spellEnd"/>
      <w:r w:rsidRPr="004B6DF5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15A63" w:rsidRPr="004B6DF5" w:rsidRDefault="004B6DF5">
      <w:pPr>
        <w:numPr>
          <w:ilvl w:val="0"/>
          <w:numId w:val="1"/>
        </w:numPr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Klient se zavazuje zaplatit Poradci za jím proveden</w:t>
      </w:r>
      <w:r w:rsidRPr="004B6DF5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515A63" w:rsidRPr="004B6DF5" w:rsidRDefault="004B6DF5">
      <w:pPr>
        <w:numPr>
          <w:ilvl w:val="0"/>
          <w:numId w:val="1"/>
        </w:numPr>
        <w:spacing w:after="559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4B6DF5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</w:t>
      </w:r>
      <w:r w:rsidRPr="004B6DF5">
        <w:rPr>
          <w:rFonts w:asciiTheme="minorHAnsi" w:hAnsiTheme="minorHAnsi" w:cstheme="minorHAnsi"/>
          <w:szCs w:val="24"/>
        </w:rPr>
        <w:t>osobních údajů.</w:t>
      </w:r>
    </w:p>
    <w:p w:rsidR="00515A63" w:rsidRPr="004B6DF5" w:rsidRDefault="004B6DF5">
      <w:pPr>
        <w:spacing w:after="5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Článek II.</w:t>
      </w:r>
    </w:p>
    <w:p w:rsidR="00515A63" w:rsidRPr="004B6DF5" w:rsidRDefault="004B6DF5">
      <w:pPr>
        <w:spacing w:after="341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Poskytované služby</w:t>
      </w:r>
    </w:p>
    <w:p w:rsidR="00515A63" w:rsidRPr="004B6DF5" w:rsidRDefault="004B6DF5">
      <w:pPr>
        <w:ind w:left="720" w:right="52" w:hanging="346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1 </w:t>
      </w:r>
      <w:r w:rsidRPr="004B6DF5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4B6DF5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515A63" w:rsidRPr="004B6DF5" w:rsidRDefault="004B6DF5">
      <w:pPr>
        <w:spacing w:after="387"/>
        <w:ind w:left="744" w:right="5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4B6DF5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515A63" w:rsidRPr="004B6DF5" w:rsidRDefault="004B6DF5">
      <w:pPr>
        <w:spacing w:after="81"/>
        <w:ind w:left="1459" w:right="52" w:hanging="42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046" name="Picture 3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6" name="Picture 31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DF5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515A63" w:rsidRPr="004B6DF5" w:rsidRDefault="004B6DF5">
      <w:pPr>
        <w:spacing w:after="5" w:line="221" w:lineRule="auto"/>
        <w:ind w:left="1459" w:right="0" w:hanging="427"/>
        <w:rPr>
          <w:rFonts w:asciiTheme="minorHAnsi" w:hAnsiTheme="minorHAnsi" w:cstheme="minorHAnsi"/>
          <w:szCs w:val="24"/>
        </w:rPr>
      </w:pPr>
      <w:proofErr w:type="spellStart"/>
      <w:r w:rsidRPr="004B6DF5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4B6DF5">
        <w:rPr>
          <w:rFonts w:asciiTheme="minorHAnsi" w:hAnsiTheme="minorHAnsi" w:cstheme="minorHAnsi"/>
          <w:szCs w:val="24"/>
        </w:rPr>
        <w:t>. nezbytné součinnosti při odstraňování nález</w:t>
      </w:r>
      <w:r w:rsidRPr="004B6DF5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515A63" w:rsidRPr="004B6DF5" w:rsidRDefault="004B6DF5">
      <w:pPr>
        <w:numPr>
          <w:ilvl w:val="0"/>
          <w:numId w:val="2"/>
        </w:numPr>
        <w:spacing w:after="28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4B6DF5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515A63" w:rsidRPr="004B6DF5" w:rsidRDefault="004B6DF5">
      <w:pPr>
        <w:ind w:left="1459" w:right="52" w:hanging="42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048" name="Picture 3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8" name="Picture 31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DF5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4B6DF5">
        <w:rPr>
          <w:rFonts w:asciiTheme="minorHAnsi" w:hAnsiTheme="minorHAnsi" w:cstheme="minorHAnsi"/>
          <w:szCs w:val="24"/>
        </w:rPr>
        <w:t>ování osobních údajů, o jejich povinnostech;</w:t>
      </w:r>
    </w:p>
    <w:p w:rsidR="00515A63" w:rsidRPr="004B6DF5" w:rsidRDefault="004B6DF5">
      <w:pPr>
        <w:ind w:left="1450" w:right="52" w:hanging="418"/>
        <w:rPr>
          <w:rFonts w:asciiTheme="minorHAnsi" w:hAnsiTheme="minorHAnsi" w:cstheme="minorHAnsi"/>
          <w:szCs w:val="24"/>
        </w:rPr>
      </w:pPr>
      <w:proofErr w:type="spellStart"/>
      <w:r w:rsidRPr="004B6DF5">
        <w:rPr>
          <w:rFonts w:asciiTheme="minorHAnsi" w:hAnsiTheme="minorHAnsi" w:cstheme="minorHAnsi"/>
          <w:szCs w:val="24"/>
        </w:rPr>
        <w:t>ii</w:t>
      </w:r>
      <w:proofErr w:type="spellEnd"/>
      <w:r w:rsidRPr="004B6DF5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</w:t>
      </w:r>
      <w:r w:rsidRPr="004B6DF5">
        <w:rPr>
          <w:rFonts w:asciiTheme="minorHAnsi" w:hAnsiTheme="minorHAnsi" w:cstheme="minorHAnsi"/>
          <w:szCs w:val="24"/>
        </w:rPr>
        <w:t>ípravy pracovníků Klienta zapojených do operací zpracování osobních údajů; asistence při vypracování záznamů o činnostech zpracování;</w:t>
      </w:r>
    </w:p>
    <w:p w:rsidR="00515A63" w:rsidRPr="004B6DF5" w:rsidRDefault="004B6DF5">
      <w:pPr>
        <w:spacing w:after="60"/>
        <w:ind w:left="1454" w:right="52" w:hanging="42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4B6DF5">
        <w:rPr>
          <w:rFonts w:asciiTheme="minorHAnsi" w:hAnsiTheme="minorHAnsi" w:cstheme="minorHAnsi"/>
          <w:szCs w:val="24"/>
        </w:rPr>
        <w:t>i</w:t>
      </w:r>
      <w:proofErr w:type="spellEnd"/>
      <w:r w:rsidRPr="004B6DF5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4B6DF5">
        <w:rPr>
          <w:rFonts w:asciiTheme="minorHAnsi" w:hAnsiTheme="minorHAnsi" w:cstheme="minorHAnsi"/>
          <w:szCs w:val="24"/>
        </w:rPr>
        <w:t>i</w:t>
      </w:r>
      <w:proofErr w:type="spellEnd"/>
      <w:r w:rsidRPr="004B6DF5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</w:t>
      </w:r>
      <w:r w:rsidRPr="004B6DF5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údajů Klienta a monitorování </w:t>
      </w:r>
      <w:r w:rsidRPr="004B6DF5">
        <w:rPr>
          <w:rFonts w:asciiTheme="minorHAnsi" w:hAnsiTheme="minorHAnsi" w:cstheme="minorHAnsi"/>
          <w:szCs w:val="24"/>
        </w:rPr>
        <w:t>jeho uplatňování podle článku 35 GDPR (posouzení vlivu na ochranu osobních údajů);</w:t>
      </w:r>
    </w:p>
    <w:p w:rsidR="00515A63" w:rsidRPr="004B6DF5" w:rsidRDefault="004B6DF5">
      <w:pPr>
        <w:numPr>
          <w:ilvl w:val="1"/>
          <w:numId w:val="3"/>
        </w:numPr>
        <w:ind w:right="52" w:hanging="43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515A63" w:rsidRPr="004B6DF5" w:rsidRDefault="004B6DF5">
      <w:pPr>
        <w:numPr>
          <w:ilvl w:val="1"/>
          <w:numId w:val="3"/>
        </w:numPr>
        <w:spacing w:after="81"/>
        <w:ind w:right="52" w:hanging="43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působení jako kontaktní místo pro dozorový úřad v záležitostech </w:t>
      </w:r>
      <w:r w:rsidRPr="004B6DF5">
        <w:rPr>
          <w:rFonts w:asciiTheme="minorHAnsi" w:hAnsiTheme="minorHAnsi" w:cstheme="minorHAnsi"/>
          <w:szCs w:val="24"/>
        </w:rPr>
        <w:t xml:space="preserve">týkajících </w:t>
      </w:r>
      <w:proofErr w:type="gramStart"/>
      <w:r w:rsidRPr="004B6DF5">
        <w:rPr>
          <w:rFonts w:asciiTheme="minorHAnsi" w:hAnsiTheme="minorHAnsi" w:cstheme="minorHAnsi"/>
          <w:szCs w:val="24"/>
        </w:rPr>
        <w:t>se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515A63" w:rsidRPr="004B6DF5" w:rsidRDefault="004B6DF5">
      <w:pPr>
        <w:numPr>
          <w:ilvl w:val="1"/>
          <w:numId w:val="3"/>
        </w:numPr>
        <w:spacing w:after="16"/>
        <w:ind w:right="52" w:hanging="43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</w:t>
      </w:r>
      <w:r w:rsidRPr="004B6DF5">
        <w:rPr>
          <w:rFonts w:asciiTheme="minorHAnsi" w:hAnsiTheme="minorHAnsi" w:cstheme="minorHAnsi"/>
          <w:szCs w:val="24"/>
        </w:rPr>
        <w:t>konem jejich práv podle GDPR.</w:t>
      </w:r>
    </w:p>
    <w:p w:rsidR="00515A63" w:rsidRPr="004B6DF5" w:rsidRDefault="004B6DF5">
      <w:pPr>
        <w:numPr>
          <w:ilvl w:val="1"/>
          <w:numId w:val="3"/>
        </w:numPr>
        <w:ind w:right="52" w:hanging="437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</w:t>
      </w:r>
      <w:r w:rsidRPr="004B6DF5">
        <w:rPr>
          <w:rFonts w:asciiTheme="minorHAnsi" w:hAnsiTheme="minorHAnsi" w:cstheme="minorHAnsi"/>
          <w:szCs w:val="24"/>
        </w:rPr>
        <w:t>ntrolních orgánů a subjektů údajů. Pověřenec poskytuje zaměstnavateli a ostatním zaměstnancům informace z oboru své působnosti podle aktuálních potřeb, v souladu s vlastním plánem zvyšování povědomí zaměstnanců o ochraně osobních údajů a také formou vyjádř</w:t>
      </w:r>
      <w:r w:rsidRPr="004B6DF5">
        <w:rPr>
          <w:rFonts w:asciiTheme="minorHAnsi" w:hAnsiTheme="minorHAnsi" w:cstheme="minorHAnsi"/>
          <w:szCs w:val="24"/>
        </w:rPr>
        <w:t>ení a připomínek ke konkrétním otázkám a dokumentům předloženým mu zaměstnavatelem. Pověřenec sleduje vývoj právní úpravy, stanoviska Úřadu pro ochranu osobních údajů a orgánů Evropské unie a rozhodovací činnost soudů v oblasti ochrany osobních údajů a při</w:t>
      </w:r>
      <w:r w:rsidRPr="004B6DF5">
        <w:rPr>
          <w:rFonts w:asciiTheme="minorHAnsi" w:hAnsiTheme="minorHAnsi" w:cstheme="minorHAnsi"/>
          <w:szCs w:val="24"/>
        </w:rPr>
        <w:t>měřeným způsobem o těchto skutečnostech informuje zaměstnavatele a ostatní zaměstnance. Pověřenec sleduje vývoj technologií souvisejících s ochranou osobních údajů a přiměřeným způsobem o něm informuje zaměstnavatele a ostatní zaměstnance. Pověřenec posuzu</w:t>
      </w:r>
      <w:r w:rsidRPr="004B6DF5">
        <w:rPr>
          <w:rFonts w:asciiTheme="minorHAnsi" w:hAnsiTheme="minorHAnsi" w:cstheme="minorHAnsi"/>
          <w:szCs w:val="24"/>
        </w:rPr>
        <w:t>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</w:t>
      </w:r>
      <w:r w:rsidRPr="004B6DF5">
        <w:rPr>
          <w:rFonts w:asciiTheme="minorHAnsi" w:hAnsiTheme="minorHAnsi" w:cstheme="minorHAnsi"/>
          <w:szCs w:val="24"/>
        </w:rPr>
        <w:t>h údajů, vzorů podání a vyřízení, pokud jde o uplatňování práv subjektů údajů. Pověřenec posuzuje soulad navrhovaných řešení v oblasti informačních a komunikačních technologií s pravidly ochrany osobních údajů. Pověřenec přijímá a vyhodnocuje podání subjek</w:t>
      </w:r>
      <w:r w:rsidRPr="004B6DF5">
        <w:rPr>
          <w:rFonts w:asciiTheme="minorHAnsi" w:hAnsiTheme="minorHAnsi" w:cstheme="minorHAnsi"/>
          <w:szCs w:val="24"/>
        </w:rPr>
        <w:t xml:space="preserve">tů údajů v záležitostech souvisejících se zpracováním jejich osobních údajů a výkonem jejich práv podle GDPR. V případě, že nemůže podání vyřídit sám, postupuje je v souladu s vnitřními předpisy zaměstnavatele k vyřízení příslušným útvarům, </w:t>
      </w:r>
      <w:r w:rsidRPr="004B6DF5">
        <w:rPr>
          <w:rFonts w:asciiTheme="minorHAnsi" w:hAnsiTheme="minorHAnsi" w:cstheme="minorHAnsi"/>
          <w:szCs w:val="24"/>
        </w:rPr>
        <w:lastRenderedPageBreak/>
        <w:t>popřípadě si vy</w:t>
      </w:r>
      <w:r w:rsidRPr="004B6DF5">
        <w:rPr>
          <w:rFonts w:asciiTheme="minorHAnsi" w:hAnsiTheme="minorHAnsi" w:cstheme="minorHAnsi"/>
          <w:szCs w:val="24"/>
        </w:rPr>
        <w:t>žádá 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</w:t>
      </w:r>
      <w:r w:rsidRPr="004B6DF5">
        <w:rPr>
          <w:rFonts w:asciiTheme="minorHAnsi" w:hAnsiTheme="minorHAnsi" w:cstheme="minorHAnsi"/>
          <w:szCs w:val="24"/>
        </w:rPr>
        <w:t xml:space="preserve">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515A63" w:rsidRPr="004B6DF5" w:rsidRDefault="004B6DF5">
      <w:pPr>
        <w:numPr>
          <w:ilvl w:val="0"/>
          <w:numId w:val="2"/>
        </w:numPr>
        <w:spacing w:after="82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Porad</w:t>
      </w:r>
      <w:r w:rsidRPr="004B6DF5">
        <w:rPr>
          <w:rFonts w:asciiTheme="minorHAnsi" w:hAnsiTheme="minorHAnsi" w:cstheme="minorHAnsi"/>
          <w:szCs w:val="24"/>
        </w:rPr>
        <w:t>ce se zavazuje, dle této Smlouvy, Klientovi poskytnout e-learningové školení zaměstnanců v oblasti GDPR.</w:t>
      </w:r>
    </w:p>
    <w:p w:rsidR="00515A63" w:rsidRPr="004B6DF5" w:rsidRDefault="004B6DF5">
      <w:pPr>
        <w:numPr>
          <w:ilvl w:val="0"/>
          <w:numId w:val="2"/>
        </w:numPr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</w:t>
      </w:r>
      <w:r w:rsidRPr="004B6DF5">
        <w:rPr>
          <w:rFonts w:asciiTheme="minorHAnsi" w:hAnsiTheme="minorHAnsi" w:cstheme="minorHAnsi"/>
          <w:szCs w:val="24"/>
        </w:rPr>
        <w:t>náno písemným dodatkem k této Smlouvě, v němž bude stanovena další poradenská činnost a odměna, kterou bude Klient hradit.</w:t>
      </w:r>
    </w:p>
    <w:p w:rsidR="00515A63" w:rsidRPr="004B6DF5" w:rsidRDefault="004B6DF5">
      <w:pPr>
        <w:numPr>
          <w:ilvl w:val="0"/>
          <w:numId w:val="2"/>
        </w:numPr>
        <w:spacing w:after="858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</w:t>
      </w:r>
      <w:r w:rsidRPr="004B6DF5">
        <w:rPr>
          <w:rFonts w:asciiTheme="minorHAnsi" w:hAnsiTheme="minorHAnsi" w:cstheme="minorHAnsi"/>
          <w:szCs w:val="24"/>
        </w:rPr>
        <w:t>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515A63" w:rsidRPr="004B6DF5" w:rsidRDefault="004B6DF5">
      <w:pPr>
        <w:spacing w:after="5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6DF5">
        <w:rPr>
          <w:rFonts w:asciiTheme="minorHAnsi" w:hAnsiTheme="minorHAnsi" w:cstheme="minorHAnsi"/>
          <w:szCs w:val="24"/>
        </w:rPr>
        <w:t>Ill</w:t>
      </w:r>
      <w:proofErr w:type="spellEnd"/>
      <w:r w:rsidRPr="004B6DF5">
        <w:rPr>
          <w:rFonts w:asciiTheme="minorHAnsi" w:hAnsiTheme="minorHAnsi" w:cstheme="minorHAnsi"/>
          <w:szCs w:val="24"/>
        </w:rPr>
        <w:t>.</w:t>
      </w:r>
    </w:p>
    <w:p w:rsidR="00515A63" w:rsidRPr="004B6DF5" w:rsidRDefault="004B6DF5">
      <w:pPr>
        <w:spacing w:after="375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Práva a povinnosti Smluvních stran</w:t>
      </w:r>
    </w:p>
    <w:p w:rsidR="00515A63" w:rsidRPr="004B6DF5" w:rsidRDefault="004B6DF5">
      <w:pPr>
        <w:ind w:left="547"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1 </w:t>
      </w:r>
      <w:r w:rsidRPr="004B6DF5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515A63" w:rsidRPr="004B6DF5" w:rsidRDefault="004B6DF5">
      <w:pPr>
        <w:numPr>
          <w:ilvl w:val="0"/>
          <w:numId w:val="4"/>
        </w:numPr>
        <w:spacing w:after="60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Klient je povinen poskytovat Poradci veškerou potřebnou </w:t>
      </w:r>
      <w:r w:rsidRPr="004B6DF5">
        <w:rPr>
          <w:rFonts w:asciiTheme="minorHAnsi" w:hAnsiTheme="minorHAnsi" w:cstheme="minorHAnsi"/>
          <w:szCs w:val="24"/>
        </w:rPr>
        <w:t>součinnost a veškeré informace a podklady potřebné k plnění činností Poradce.</w:t>
      </w:r>
    </w:p>
    <w:p w:rsidR="00515A63" w:rsidRPr="004B6DF5" w:rsidRDefault="004B6DF5">
      <w:pPr>
        <w:numPr>
          <w:ilvl w:val="0"/>
          <w:numId w:val="4"/>
        </w:numPr>
        <w:spacing w:after="67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515A63" w:rsidRPr="004B6DF5" w:rsidRDefault="004B6DF5">
      <w:pPr>
        <w:numPr>
          <w:ilvl w:val="0"/>
          <w:numId w:val="4"/>
        </w:numPr>
        <w:spacing w:after="142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Poradce je povinen vykonávat</w:t>
      </w:r>
      <w:r w:rsidRPr="004B6DF5">
        <w:rPr>
          <w:rFonts w:asciiTheme="minorHAnsi" w:hAnsiTheme="minorHAnsi" w:cstheme="minorHAnsi"/>
          <w:szCs w:val="24"/>
        </w:rPr>
        <w:t xml:space="preserve"> činnosti dle této Smlouvy v dohodnutých nebo právními předpisy stanovených termínech.</w:t>
      </w:r>
    </w:p>
    <w:p w:rsidR="00515A63" w:rsidRPr="004B6DF5" w:rsidRDefault="004B6DF5">
      <w:pPr>
        <w:numPr>
          <w:ilvl w:val="0"/>
          <w:numId w:val="4"/>
        </w:numPr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15A63" w:rsidRPr="004B6DF5" w:rsidRDefault="004B6DF5">
      <w:pPr>
        <w:numPr>
          <w:ilvl w:val="0"/>
          <w:numId w:val="4"/>
        </w:numPr>
        <w:spacing w:after="489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Každá ze Smluvních stran určuje kontaktní osobu/osoby, které bud</w:t>
      </w:r>
      <w:r w:rsidRPr="004B6DF5">
        <w:rPr>
          <w:rFonts w:asciiTheme="minorHAnsi" w:hAnsiTheme="minorHAnsi" w:cstheme="minorHAnsi"/>
          <w:szCs w:val="24"/>
        </w:rPr>
        <w:t>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</w:t>
      </w:r>
      <w:r w:rsidRPr="004B6DF5">
        <w:rPr>
          <w:rFonts w:asciiTheme="minorHAnsi" w:hAnsiTheme="minorHAnsi" w:cstheme="minorHAnsi"/>
          <w:szCs w:val="24"/>
        </w:rPr>
        <w:t>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515A63" w:rsidRPr="004B6DF5" w:rsidRDefault="004B6DF5">
      <w:pPr>
        <w:spacing w:after="40"/>
        <w:ind w:left="571" w:right="5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Kontaktní osobou na stran</w:t>
      </w:r>
      <w:r w:rsidRPr="004B6DF5">
        <w:rPr>
          <w:rFonts w:asciiTheme="minorHAnsi" w:hAnsiTheme="minorHAnsi" w:cstheme="minorHAnsi"/>
          <w:szCs w:val="24"/>
        </w:rPr>
        <w:t>ě Poradce je:</w:t>
      </w:r>
    </w:p>
    <w:p w:rsidR="00515A63" w:rsidRPr="004B6DF5" w:rsidRDefault="004B6DF5">
      <w:pPr>
        <w:spacing w:after="494" w:line="259" w:lineRule="auto"/>
        <w:ind w:left="490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3635" cy="667544"/>
            <wp:effectExtent l="0" t="0" r="0" b="0"/>
            <wp:docPr id="31051" name="Picture 3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1" name="Picture 310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3635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63" w:rsidRPr="004B6DF5" w:rsidRDefault="004B6DF5">
      <w:pPr>
        <w:spacing w:after="42" w:line="221" w:lineRule="auto"/>
        <w:ind w:left="566" w:right="0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lastRenderedPageBreak/>
        <w:t>Pověřenec:</w:t>
      </w:r>
    </w:p>
    <w:p w:rsidR="00515A63" w:rsidRPr="004B6DF5" w:rsidRDefault="004B6DF5">
      <w:pPr>
        <w:spacing w:after="506" w:line="259" w:lineRule="auto"/>
        <w:ind w:left="437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33247" cy="670592"/>
            <wp:effectExtent l="0" t="0" r="0" b="0"/>
            <wp:docPr id="31053" name="Picture 3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3" name="Picture 310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247" cy="6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63" w:rsidRPr="004B6DF5" w:rsidRDefault="004B6DF5">
      <w:pPr>
        <w:spacing w:after="40"/>
        <w:ind w:left="562" w:right="52" w:firstLine="0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Kontaktní osobou na straně Klienta je:</w:t>
      </w:r>
    </w:p>
    <w:p w:rsidR="00515A63" w:rsidRPr="004B6DF5" w:rsidRDefault="004B6DF5">
      <w:pPr>
        <w:spacing w:after="770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78379" cy="679736"/>
            <wp:effectExtent l="0" t="0" r="0" b="0"/>
            <wp:docPr id="31055" name="Picture 3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5" name="Picture 310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8379" cy="6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63" w:rsidRPr="004B6DF5" w:rsidRDefault="004B6DF5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Článek IV.</w:t>
      </w:r>
    </w:p>
    <w:p w:rsidR="00515A63" w:rsidRPr="004B6DF5" w:rsidRDefault="004B6DF5">
      <w:pPr>
        <w:pStyle w:val="Nadpis1"/>
        <w:ind w:left="10" w:right="34"/>
        <w:rPr>
          <w:rFonts w:asciiTheme="minorHAnsi" w:hAnsiTheme="minorHAnsi" w:cstheme="minorHAnsi"/>
          <w:sz w:val="24"/>
          <w:szCs w:val="24"/>
        </w:rPr>
      </w:pPr>
      <w:r w:rsidRPr="004B6DF5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15A63" w:rsidRPr="004B6DF5" w:rsidRDefault="004B6DF5">
      <w:pPr>
        <w:spacing w:after="485"/>
        <w:ind w:left="547" w:right="52"/>
        <w:rPr>
          <w:rFonts w:asciiTheme="minorHAnsi" w:hAnsiTheme="minorHAnsi" w:cstheme="minorHAnsi"/>
          <w:szCs w:val="24"/>
        </w:rPr>
      </w:pPr>
      <w:proofErr w:type="gramStart"/>
      <w:r w:rsidRPr="004B6DF5">
        <w:rPr>
          <w:rFonts w:asciiTheme="minorHAnsi" w:hAnsiTheme="minorHAnsi" w:cstheme="minorHAnsi"/>
          <w:szCs w:val="24"/>
        </w:rPr>
        <w:t>1 .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</w:t>
      </w:r>
      <w:r w:rsidRPr="004B6DF5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4B6DF5">
        <w:rPr>
          <w:rFonts w:asciiTheme="minorHAnsi" w:hAnsiTheme="minorHAnsi" w:cstheme="minorHAnsi"/>
          <w:szCs w:val="24"/>
        </w:rPr>
        <w:t>Il</w:t>
      </w:r>
      <w:proofErr w:type="spellEnd"/>
      <w:r w:rsidRPr="004B6DF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15A63" w:rsidRPr="004B6DF5" w:rsidRDefault="004B6DF5">
      <w:pPr>
        <w:ind w:left="1426" w:right="52" w:hanging="418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0588"/>
            <wp:effectExtent l="0" t="0" r="0" b="0"/>
            <wp:docPr id="31057" name="Picture 3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7" name="Picture 310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DF5">
        <w:rPr>
          <w:rFonts w:asciiTheme="minorHAnsi" w:hAnsiTheme="minorHAnsi" w:cstheme="minorHAnsi"/>
          <w:szCs w:val="24"/>
        </w:rPr>
        <w:t>za služby provedené dle čl. II., odst. 1, této Smlouvy jednorázovou odměnu v celkové výši 14 000,- Kč (bez DPH v zákonné výši) na základě faktury vystavené Poradcem se splatností 21 kalendářních dní ode dne doručení.</w:t>
      </w:r>
    </w:p>
    <w:p w:rsidR="00515A63" w:rsidRPr="004B6DF5" w:rsidRDefault="004B6DF5">
      <w:pPr>
        <w:numPr>
          <w:ilvl w:val="0"/>
          <w:numId w:val="5"/>
        </w:numPr>
        <w:ind w:right="52" w:hanging="413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4B6DF5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515A63" w:rsidRPr="004B6DF5" w:rsidRDefault="004B6DF5">
      <w:pPr>
        <w:numPr>
          <w:ilvl w:val="0"/>
          <w:numId w:val="5"/>
        </w:numPr>
        <w:spacing w:after="502"/>
        <w:ind w:right="52" w:hanging="413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4B6DF5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4B6DF5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515A63" w:rsidRPr="004B6DF5" w:rsidRDefault="004B6DF5">
      <w:pPr>
        <w:numPr>
          <w:ilvl w:val="0"/>
          <w:numId w:val="6"/>
        </w:numPr>
        <w:spacing w:after="50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4B6DF5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4B6DF5">
        <w:rPr>
          <w:rFonts w:asciiTheme="minorHAnsi" w:hAnsiTheme="minorHAnsi" w:cstheme="minorHAnsi"/>
          <w:szCs w:val="24"/>
        </w:rPr>
        <w:t>faxovné</w:t>
      </w:r>
      <w:proofErr w:type="spellEnd"/>
      <w:r w:rsidRPr="004B6DF5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4B6DF5">
        <w:rPr>
          <w:rFonts w:asciiTheme="minorHAnsi" w:hAnsiTheme="minorHAnsi" w:cstheme="minorHAnsi"/>
          <w:szCs w:val="24"/>
        </w:rPr>
        <w:t>fotokopírování</w:t>
      </w:r>
      <w:proofErr w:type="spellEnd"/>
      <w:r w:rsidRPr="004B6DF5">
        <w:rPr>
          <w:rFonts w:asciiTheme="minorHAnsi" w:hAnsiTheme="minorHAnsi" w:cstheme="minorHAnsi"/>
          <w:szCs w:val="24"/>
        </w:rPr>
        <w:t>, technické nosiče, a kancelářské potřeby).</w:t>
      </w:r>
    </w:p>
    <w:p w:rsidR="00515A63" w:rsidRPr="004B6DF5" w:rsidRDefault="004B6DF5">
      <w:pPr>
        <w:numPr>
          <w:ilvl w:val="0"/>
          <w:numId w:val="6"/>
        </w:numPr>
        <w:spacing w:after="0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4B6DF5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515A63" w:rsidRPr="004B6DF5" w:rsidRDefault="004B6DF5">
      <w:pPr>
        <w:numPr>
          <w:ilvl w:val="0"/>
          <w:numId w:val="6"/>
        </w:numPr>
        <w:spacing w:after="773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4B6DF5">
        <w:rPr>
          <w:rFonts w:asciiTheme="minorHAnsi" w:hAnsiTheme="minorHAnsi" w:cstheme="minorHAnsi"/>
          <w:szCs w:val="24"/>
        </w:rPr>
        <w:t>pozdejsłch</w:t>
      </w:r>
      <w:proofErr w:type="spellEnd"/>
      <w:r w:rsidRPr="004B6DF5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</w:t>
      </w:r>
      <w:r w:rsidRPr="004B6DF5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</w:t>
      </w:r>
      <w:r w:rsidRPr="004B6DF5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</w:t>
      </w:r>
      <w:r w:rsidRPr="004B6DF5">
        <w:rPr>
          <w:rFonts w:asciiTheme="minorHAnsi" w:hAnsiTheme="minorHAnsi" w:cstheme="minorHAnsi"/>
          <w:szCs w:val="24"/>
        </w:rPr>
        <w:t>zen.</w:t>
      </w:r>
    </w:p>
    <w:p w:rsidR="00515A63" w:rsidRPr="004B6DF5" w:rsidRDefault="004B6DF5">
      <w:pPr>
        <w:spacing w:after="5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Článek V.</w:t>
      </w:r>
    </w:p>
    <w:p w:rsidR="00515A63" w:rsidRPr="004B6DF5" w:rsidRDefault="004B6DF5">
      <w:pPr>
        <w:pStyle w:val="Nadpis1"/>
        <w:spacing w:after="440"/>
        <w:ind w:left="10" w:right="29"/>
        <w:rPr>
          <w:rFonts w:asciiTheme="minorHAnsi" w:hAnsiTheme="minorHAnsi" w:cstheme="minorHAnsi"/>
          <w:sz w:val="24"/>
          <w:szCs w:val="24"/>
        </w:rPr>
      </w:pPr>
      <w:r w:rsidRPr="004B6DF5">
        <w:rPr>
          <w:rFonts w:asciiTheme="minorHAnsi" w:hAnsiTheme="minorHAnsi" w:cstheme="minorHAnsi"/>
          <w:sz w:val="24"/>
          <w:szCs w:val="24"/>
        </w:rPr>
        <w:t>Chráněné informace</w:t>
      </w:r>
    </w:p>
    <w:p w:rsidR="00515A63" w:rsidRPr="004B6DF5" w:rsidRDefault="004B6DF5">
      <w:pPr>
        <w:spacing w:after="128"/>
        <w:ind w:left="547" w:right="52"/>
        <w:rPr>
          <w:rFonts w:asciiTheme="minorHAnsi" w:hAnsiTheme="minorHAnsi" w:cstheme="minorHAnsi"/>
          <w:szCs w:val="24"/>
        </w:rPr>
      </w:pPr>
      <w:proofErr w:type="gramStart"/>
      <w:r w:rsidRPr="004B6DF5">
        <w:rPr>
          <w:rFonts w:asciiTheme="minorHAnsi" w:hAnsiTheme="minorHAnsi" w:cstheme="minorHAnsi"/>
          <w:szCs w:val="24"/>
        </w:rPr>
        <w:t>1 .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</w:t>
      </w:r>
      <w:r w:rsidRPr="004B6DF5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4B6DF5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515A63" w:rsidRPr="004B6DF5" w:rsidRDefault="004B6DF5">
      <w:pPr>
        <w:spacing w:after="807"/>
        <w:ind w:left="547"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2. </w:t>
      </w:r>
      <w:r w:rsidRPr="004B6DF5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4B6DF5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515A63" w:rsidRPr="004B6DF5" w:rsidRDefault="004B6DF5">
      <w:pPr>
        <w:spacing w:after="5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6DF5">
        <w:rPr>
          <w:rFonts w:asciiTheme="minorHAnsi" w:hAnsiTheme="minorHAnsi" w:cstheme="minorHAnsi"/>
          <w:szCs w:val="24"/>
        </w:rPr>
        <w:t>Vl</w:t>
      </w:r>
      <w:proofErr w:type="spellEnd"/>
      <w:r w:rsidRPr="004B6DF5">
        <w:rPr>
          <w:rFonts w:asciiTheme="minorHAnsi" w:hAnsiTheme="minorHAnsi" w:cstheme="minorHAnsi"/>
          <w:szCs w:val="24"/>
        </w:rPr>
        <w:t>.</w:t>
      </w:r>
    </w:p>
    <w:p w:rsidR="00515A63" w:rsidRPr="004B6DF5" w:rsidRDefault="004B6DF5">
      <w:pPr>
        <w:pStyle w:val="Nadpis1"/>
        <w:spacing w:after="487"/>
        <w:ind w:left="10" w:right="43"/>
        <w:rPr>
          <w:rFonts w:asciiTheme="minorHAnsi" w:hAnsiTheme="minorHAnsi" w:cstheme="minorHAnsi"/>
          <w:sz w:val="24"/>
          <w:szCs w:val="24"/>
        </w:rPr>
      </w:pPr>
      <w:r w:rsidRPr="004B6DF5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15A63" w:rsidRPr="004B6DF5" w:rsidRDefault="004B6DF5">
      <w:pPr>
        <w:spacing w:after="135"/>
        <w:ind w:left="547"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1 </w:t>
      </w:r>
      <w:r w:rsidRPr="004B6DF5">
        <w:rPr>
          <w:rFonts w:asciiTheme="minorHAnsi" w:hAnsiTheme="minorHAnsi" w:cstheme="minorHAnsi"/>
          <w:szCs w:val="24"/>
        </w:rPr>
        <w:t>Právní vztahy výslovně neupravené touto Smlouvou se řídí ustano</w:t>
      </w:r>
      <w:r w:rsidRPr="004B6DF5">
        <w:rPr>
          <w:rFonts w:asciiTheme="minorHAnsi" w:hAnsiTheme="minorHAnsi" w:cstheme="minorHAnsi"/>
          <w:szCs w:val="24"/>
        </w:rPr>
        <w:t>veními Občanského zákoníku v platném znění a platnými právními předpisy upravujícími ochranu osobních údajů.</w:t>
      </w:r>
    </w:p>
    <w:p w:rsidR="00515A63" w:rsidRPr="004B6DF5" w:rsidRDefault="004B6DF5">
      <w:pPr>
        <w:numPr>
          <w:ilvl w:val="0"/>
          <w:numId w:val="7"/>
        </w:numPr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</w:t>
      </w:r>
      <w:r w:rsidRPr="004B6DF5">
        <w:rPr>
          <w:rFonts w:asciiTheme="minorHAnsi" w:hAnsiTheme="minorHAnsi" w:cstheme="minorHAnsi"/>
          <w:szCs w:val="24"/>
        </w:rPr>
        <w:t>tí Poradce.</w:t>
      </w:r>
    </w:p>
    <w:p w:rsidR="00515A63" w:rsidRPr="004B6DF5" w:rsidRDefault="004B6DF5">
      <w:pPr>
        <w:numPr>
          <w:ilvl w:val="0"/>
          <w:numId w:val="7"/>
        </w:numPr>
        <w:spacing w:after="45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klientovi kopii této smlouvy nebo potvrzení pojišťovny o sjednaném pojištění. Poradce je povinen být v uvedeném rozsahu pojištěn po celou dobu trvání </w:t>
      </w:r>
      <w:r w:rsidRPr="004B6DF5">
        <w:rPr>
          <w:rFonts w:asciiTheme="minorHAnsi" w:hAnsiTheme="minorHAnsi" w:cstheme="minorHAnsi"/>
          <w:szCs w:val="24"/>
        </w:rPr>
        <w:t>této smlouvy a na základě výzvy klienta je povinen předložit potvrzení o trvání pojištění.</w:t>
      </w:r>
    </w:p>
    <w:p w:rsidR="00515A63" w:rsidRPr="004B6DF5" w:rsidRDefault="004B6DF5">
      <w:pPr>
        <w:numPr>
          <w:ilvl w:val="0"/>
          <w:numId w:val="7"/>
        </w:numPr>
        <w:spacing w:after="26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4B6DF5">
        <w:rPr>
          <w:rFonts w:asciiTheme="minorHAnsi" w:hAnsiTheme="minorHAnsi" w:cstheme="minorHAnsi"/>
          <w:szCs w:val="24"/>
        </w:rPr>
        <w:t>plnění</w:t>
      </w:r>
      <w:proofErr w:type="gramEnd"/>
      <w:r w:rsidRPr="004B6DF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15A63" w:rsidRPr="004B6DF5" w:rsidRDefault="004B6DF5">
      <w:pPr>
        <w:numPr>
          <w:ilvl w:val="0"/>
          <w:numId w:val="7"/>
        </w:numPr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4B6DF5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515A63" w:rsidRPr="004B6DF5" w:rsidRDefault="004B6DF5">
      <w:pPr>
        <w:numPr>
          <w:ilvl w:val="0"/>
          <w:numId w:val="7"/>
        </w:numPr>
        <w:spacing w:after="150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15A63" w:rsidRPr="004B6DF5" w:rsidRDefault="004B6DF5">
      <w:pPr>
        <w:numPr>
          <w:ilvl w:val="0"/>
          <w:numId w:val="7"/>
        </w:numPr>
        <w:spacing w:after="128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4B6DF5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515A63" w:rsidRPr="004B6DF5" w:rsidRDefault="004B6DF5">
      <w:pPr>
        <w:numPr>
          <w:ilvl w:val="0"/>
          <w:numId w:val="7"/>
        </w:numPr>
        <w:spacing w:after="137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4B6DF5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515A63" w:rsidRPr="004B6DF5" w:rsidRDefault="004B6DF5">
      <w:pPr>
        <w:numPr>
          <w:ilvl w:val="0"/>
          <w:numId w:val="7"/>
        </w:numPr>
        <w:spacing w:after="131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lastRenderedPageBreak/>
        <w:t>Smluvní strany této Smlouvy se zavazují, že v případě sporů o obsah a plnění této Smlouvy vynaloží veškeré úsilí, které lze spravedlivě poža</w:t>
      </w:r>
      <w:r w:rsidRPr="004B6DF5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515A63" w:rsidRPr="004B6DF5" w:rsidRDefault="004B6DF5">
      <w:pPr>
        <w:numPr>
          <w:ilvl w:val="0"/>
          <w:numId w:val="7"/>
        </w:numPr>
        <w:spacing w:after="765"/>
        <w:ind w:right="52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>Tato smlouva bude zveřejněna v registru smluv dle zákona č. 340/2015 Sb., o zvláštních</w:t>
      </w:r>
      <w:r w:rsidRPr="004B6DF5">
        <w:rPr>
          <w:rFonts w:asciiTheme="minorHAnsi" w:hAnsiTheme="minorHAnsi" w:cstheme="minorHAnsi"/>
          <w:szCs w:val="24"/>
        </w:rPr>
        <w:t xml:space="preserve"> podmínkách účinnosti některých smluv, uveřejňování těchto smluv a o registru smluv (zákon o registru smluv) a to bez uvedení citlivých údajů (obchodní tajemství, osobní údaje). Zveřejnění smlouvy zajistí Poradce.</w:t>
      </w:r>
    </w:p>
    <w:tbl>
      <w:tblPr>
        <w:tblStyle w:val="TableGrid"/>
        <w:tblW w:w="70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429"/>
      </w:tblGrid>
      <w:tr w:rsidR="00515A63" w:rsidRPr="004B6DF5">
        <w:trPr>
          <w:trHeight w:val="398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15A63" w:rsidRPr="004B6DF5" w:rsidRDefault="004B6DF5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4B6DF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725473" cy="164600"/>
                  <wp:effectExtent l="0" t="0" r="0" b="0"/>
                  <wp:docPr id="20517" name="Picture 20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" name="Picture 205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73" cy="16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6DF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33529"/>
                  <wp:effectExtent l="0" t="0" r="0" b="0"/>
                  <wp:docPr id="20357" name="Picture 20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7" name="Picture 203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3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15A63" w:rsidRPr="004B6DF5" w:rsidRDefault="004B6DF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>V Praze, dne 25. 4. 2018</w:t>
            </w:r>
          </w:p>
        </w:tc>
      </w:tr>
      <w:tr w:rsidR="00515A63" w:rsidRPr="004B6DF5">
        <w:trPr>
          <w:trHeight w:val="378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A63" w:rsidRPr="004B6DF5" w:rsidRDefault="004B6DF5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A63" w:rsidRPr="004B6DF5" w:rsidRDefault="004B6DF5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>Mgr. Petr Vomela</w:t>
            </w:r>
          </w:p>
        </w:tc>
      </w:tr>
      <w:tr w:rsidR="00515A63" w:rsidRPr="004B6DF5">
        <w:trPr>
          <w:trHeight w:val="261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15A63" w:rsidRPr="004B6DF5" w:rsidRDefault="004B6DF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15A63" w:rsidRPr="004B6DF5" w:rsidRDefault="004B6DF5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6DF5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515A63" w:rsidRPr="004B6DF5" w:rsidRDefault="004B6DF5">
      <w:pPr>
        <w:spacing w:after="89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75758" cy="905299"/>
            <wp:effectExtent l="0" t="0" r="0" b="0"/>
            <wp:docPr id="31059" name="Picture 3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9" name="Picture 310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5758" cy="9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63" w:rsidRPr="004B6DF5" w:rsidRDefault="004B6DF5">
      <w:pPr>
        <w:tabs>
          <w:tab w:val="center" w:pos="2230"/>
          <w:tab w:val="center" w:pos="6836"/>
        </w:tabs>
        <w:spacing w:after="29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4B6DF5">
        <w:rPr>
          <w:rFonts w:asciiTheme="minorHAnsi" w:hAnsiTheme="minorHAnsi" w:cstheme="minorHAnsi"/>
          <w:szCs w:val="24"/>
        </w:rPr>
        <w:tab/>
        <w:t>vlastnoruční podpis</w:t>
      </w:r>
      <w:r w:rsidRPr="004B6DF5">
        <w:rPr>
          <w:rFonts w:asciiTheme="minorHAnsi" w:hAnsiTheme="minorHAnsi" w:cstheme="minorHAnsi"/>
          <w:szCs w:val="24"/>
        </w:rPr>
        <w:tab/>
        <w:t>vlastnoruční podpis</w:t>
      </w:r>
    </w:p>
    <w:p w:rsidR="00515A63" w:rsidRPr="004B6DF5" w:rsidRDefault="00515A63">
      <w:pPr>
        <w:pStyle w:val="Nadpis1"/>
        <w:tabs>
          <w:tab w:val="center" w:pos="7174"/>
          <w:tab w:val="center" w:pos="83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15A63" w:rsidRPr="004B6DF5">
      <w:footerReference w:type="even" r:id="rId16"/>
      <w:footerReference w:type="default" r:id="rId17"/>
      <w:footerReference w:type="first" r:id="rId18"/>
      <w:pgSz w:w="11900" w:h="16820"/>
      <w:pgMar w:top="1592" w:right="1430" w:bottom="1360" w:left="1368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6DF5">
      <w:pPr>
        <w:spacing w:after="0" w:line="240" w:lineRule="auto"/>
      </w:pPr>
      <w:r>
        <w:separator/>
      </w:r>
    </w:p>
  </w:endnote>
  <w:endnote w:type="continuationSeparator" w:id="0">
    <w:p w:rsidR="00000000" w:rsidRDefault="004B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63" w:rsidRDefault="004B6DF5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63" w:rsidRDefault="004B6DF5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63" w:rsidRDefault="004B6DF5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6DF5">
      <w:pPr>
        <w:spacing w:after="0" w:line="240" w:lineRule="auto"/>
      </w:pPr>
      <w:r>
        <w:separator/>
      </w:r>
    </w:p>
  </w:footnote>
  <w:footnote w:type="continuationSeparator" w:id="0">
    <w:p w:rsidR="00000000" w:rsidRDefault="004B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CAA"/>
    <w:multiLevelType w:val="hybridMultilevel"/>
    <w:tmpl w:val="24E26F22"/>
    <w:lvl w:ilvl="0" w:tplc="C5780E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22F7C">
      <w:start w:val="4"/>
      <w:numFmt w:val="lowerRoman"/>
      <w:lvlText w:val="%2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529C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2668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C7D92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C4960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AE73A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C1186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4DF96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C4FB5"/>
    <w:multiLevelType w:val="hybridMultilevel"/>
    <w:tmpl w:val="2B50183E"/>
    <w:lvl w:ilvl="0" w:tplc="89B8F650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36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2C9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3C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9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0C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6C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78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2B4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54D75"/>
    <w:multiLevelType w:val="hybridMultilevel"/>
    <w:tmpl w:val="9E9A0C4E"/>
    <w:lvl w:ilvl="0" w:tplc="8FB69CE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8381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EB25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6D85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A55B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21F9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6700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61B0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6FDB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F4C2C"/>
    <w:multiLevelType w:val="hybridMultilevel"/>
    <w:tmpl w:val="071E764E"/>
    <w:lvl w:ilvl="0" w:tplc="F6EC74E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E83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C696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2388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E1F7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C45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00EF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976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4B1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B688D"/>
    <w:multiLevelType w:val="hybridMultilevel"/>
    <w:tmpl w:val="57F487A8"/>
    <w:lvl w:ilvl="0" w:tplc="CD862A5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EFC4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01AD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ABBF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F7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CE4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8FA0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4DA9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6B42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40127F"/>
    <w:multiLevelType w:val="hybridMultilevel"/>
    <w:tmpl w:val="86A4DA6A"/>
    <w:lvl w:ilvl="0" w:tplc="B62E940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56AD5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1480E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DA759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A0EB1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F0D31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78C8F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24BEB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E2777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671043"/>
    <w:multiLevelType w:val="hybridMultilevel"/>
    <w:tmpl w:val="09A2DB46"/>
    <w:lvl w:ilvl="0" w:tplc="95F8ED5C">
      <w:start w:val="2"/>
      <w:numFmt w:val="lowerRoman"/>
      <w:lvlText w:val="%1.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EE9C8">
      <w:start w:val="1"/>
      <w:numFmt w:val="lowerLetter"/>
      <w:lvlText w:val="%2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C3A12">
      <w:start w:val="1"/>
      <w:numFmt w:val="lowerRoman"/>
      <w:lvlText w:val="%3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EDFF2">
      <w:start w:val="1"/>
      <w:numFmt w:val="decimal"/>
      <w:lvlText w:val="%4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4E7BA">
      <w:start w:val="1"/>
      <w:numFmt w:val="lowerLetter"/>
      <w:lvlText w:val="%5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541C">
      <w:start w:val="1"/>
      <w:numFmt w:val="lowerRoman"/>
      <w:lvlText w:val="%6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27732">
      <w:start w:val="1"/>
      <w:numFmt w:val="decimal"/>
      <w:lvlText w:val="%7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C414C">
      <w:start w:val="1"/>
      <w:numFmt w:val="lowerLetter"/>
      <w:lvlText w:val="%8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0C090">
      <w:start w:val="1"/>
      <w:numFmt w:val="lowerRoman"/>
      <w:lvlText w:val="%9"/>
      <w:lvlJc w:val="left"/>
      <w:pPr>
        <w:ind w:left="7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63"/>
    <w:rsid w:val="004B6DF5"/>
    <w:rsid w:val="005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721"/>
  <w15:docId w15:val="{2095F88A-8CA9-432A-B39C-F2126A4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2" w:line="219" w:lineRule="auto"/>
      <w:ind w:left="533" w:right="58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0" w:line="265" w:lineRule="auto"/>
      <w:ind w:left="15" w:right="272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KM_C558-20180507094340</dc:title>
  <dc:subject/>
  <dc:creator>Petr Gabriel</dc:creator>
  <cp:keywords/>
  <cp:lastModifiedBy>Petr Gabriel</cp:lastModifiedBy>
  <cp:revision>2</cp:revision>
  <dcterms:created xsi:type="dcterms:W3CDTF">2018-05-24T08:39:00Z</dcterms:created>
  <dcterms:modified xsi:type="dcterms:W3CDTF">2018-05-24T08:39:00Z</dcterms:modified>
</cp:coreProperties>
</file>