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3916D31F"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CC4209">
        <w:rPr>
          <w:b/>
          <w:kern w:val="1"/>
          <w:sz w:val="28"/>
          <w:lang w:eastAsia="ar-SA"/>
        </w:rPr>
        <w:t>456</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CC4209">
        <w:rPr>
          <w:b/>
          <w:kern w:val="1"/>
          <w:sz w:val="28"/>
          <w:lang w:eastAsia="ar-SA"/>
        </w:rPr>
        <w:t>58</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551A019C"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CC4209">
        <w:rPr>
          <w:rStyle w:val="tsubjname"/>
          <w:b/>
        </w:rPr>
        <w:t>a Mateřská škola Osek nad Bečvou, okres Přerov</w:t>
      </w:r>
    </w:p>
    <w:p w14:paraId="303C7CD1" w14:textId="1A27589C"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CC4209">
        <w:rPr>
          <w:szCs w:val="24"/>
          <w:lang w:eastAsia="ar-SA"/>
        </w:rPr>
        <w:t>Osek nad Bečvou 78, 75122</w:t>
      </w:r>
    </w:p>
    <w:p w14:paraId="303C7CD2" w14:textId="33DE6821"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C90B58">
        <w:rPr>
          <w:szCs w:val="24"/>
          <w:lang w:eastAsia="ar-SA"/>
        </w:rPr>
        <w:t xml:space="preserve">Mgr. </w:t>
      </w:r>
      <w:r w:rsidR="00CC4209">
        <w:rPr>
          <w:szCs w:val="24"/>
          <w:lang w:eastAsia="ar-SA"/>
        </w:rPr>
        <w:t>Zuzana Kotíková</w:t>
      </w:r>
      <w:r w:rsidR="00C90B58">
        <w:rPr>
          <w:szCs w:val="24"/>
          <w:lang w:eastAsia="ar-SA"/>
        </w:rPr>
        <w:t>, ředitel</w:t>
      </w:r>
      <w:r w:rsidR="00CC4209">
        <w:rPr>
          <w:szCs w:val="24"/>
          <w:lang w:eastAsia="ar-SA"/>
        </w:rPr>
        <w:t>ka</w:t>
      </w:r>
      <w:r w:rsidR="00C90B58">
        <w:rPr>
          <w:szCs w:val="24"/>
          <w:lang w:eastAsia="ar-SA"/>
        </w:rPr>
        <w:t xml:space="preserve"> školy</w:t>
      </w:r>
    </w:p>
    <w:p w14:paraId="6E4D2C49" w14:textId="54D7485A" w:rsidR="00C90B58" w:rsidRDefault="00643B2C" w:rsidP="00C90B58">
      <w:pPr>
        <w:suppressAutoHyphens/>
        <w:ind w:left="567"/>
        <w:rPr>
          <w:szCs w:val="24"/>
          <w:lang w:eastAsia="en-US"/>
        </w:rPr>
      </w:pPr>
      <w:r>
        <w:rPr>
          <w:szCs w:val="24"/>
          <w:lang w:eastAsia="ar-SA"/>
        </w:rPr>
        <w:t>k podpisu této Smlouvy je</w:t>
      </w:r>
      <w:r w:rsidR="0051677A" w:rsidRPr="00B04759">
        <w:rPr>
          <w:szCs w:val="24"/>
          <w:lang w:eastAsia="ar-SA"/>
        </w:rPr>
        <w:t xml:space="preserve"> pověřen: </w:t>
      </w:r>
      <w:r w:rsidR="00CC4209">
        <w:rPr>
          <w:szCs w:val="24"/>
          <w:lang w:eastAsia="ar-SA"/>
        </w:rPr>
        <w:t>Mgr. Zuzana Kotíková</w:t>
      </w:r>
      <w:r w:rsidR="00C90B58">
        <w:rPr>
          <w:szCs w:val="24"/>
          <w:lang w:eastAsia="ar-SA"/>
        </w:rPr>
        <w:t>, ředitel</w:t>
      </w:r>
      <w:r w:rsidR="00CC4209">
        <w:rPr>
          <w:szCs w:val="24"/>
          <w:lang w:eastAsia="ar-SA"/>
        </w:rPr>
        <w:t>ka</w:t>
      </w:r>
      <w:r w:rsidR="00C90B58">
        <w:rPr>
          <w:szCs w:val="24"/>
          <w:lang w:eastAsia="ar-SA"/>
        </w:rPr>
        <w:t xml:space="preserve"> školy</w:t>
      </w:r>
      <w:r w:rsidR="00C90B58" w:rsidRPr="00B04759">
        <w:rPr>
          <w:szCs w:val="24"/>
          <w:lang w:val="x-none" w:eastAsia="en-US"/>
        </w:rPr>
        <w:t xml:space="preserve"> </w:t>
      </w:r>
    </w:p>
    <w:p w14:paraId="303C7CD4" w14:textId="18FE5BEE"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CC4209">
        <w:rPr>
          <w:szCs w:val="24"/>
          <w:lang w:eastAsia="en-US"/>
        </w:rPr>
        <w:tab/>
      </w:r>
      <w:r w:rsidR="00CC4209">
        <w:rPr>
          <w:szCs w:val="24"/>
          <w:lang w:eastAsia="en-US"/>
        </w:rPr>
        <w:tab/>
      </w:r>
      <w:r w:rsidR="00C90B58">
        <w:rPr>
          <w:szCs w:val="24"/>
          <w:lang w:eastAsia="en-US"/>
        </w:rPr>
        <w:t>4</w:t>
      </w:r>
      <w:r w:rsidR="00CC4209">
        <w:rPr>
          <w:szCs w:val="24"/>
          <w:lang w:eastAsia="en-US"/>
        </w:rPr>
        <w:t>3541712</w:t>
      </w:r>
      <w:r>
        <w:rPr>
          <w:szCs w:val="24"/>
          <w:lang w:eastAsia="en-US"/>
        </w:rPr>
        <w:tab/>
      </w:r>
    </w:p>
    <w:p w14:paraId="303C7CD6" w14:textId="28348DBB" w:rsidR="0051677A" w:rsidRPr="00B01B06" w:rsidRDefault="00CC4209"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7708B2">
        <w:rPr>
          <w:szCs w:val="24"/>
          <w:lang w:eastAsia="en-US"/>
        </w:rPr>
        <w:t>………</w:t>
      </w:r>
      <w:proofErr w:type="gramStart"/>
      <w:r w:rsidR="007708B2">
        <w:rPr>
          <w:szCs w:val="24"/>
          <w:lang w:eastAsia="en-US"/>
        </w:rPr>
        <w:t>…..</w:t>
      </w:r>
      <w:proofErr w:type="gramEnd"/>
      <w:r w:rsidR="00C90B58">
        <w:rPr>
          <w:szCs w:val="24"/>
          <w:lang w:eastAsia="en-US"/>
        </w:rPr>
        <w:t xml:space="preserve"> </w:t>
      </w:r>
      <w:r>
        <w:rPr>
          <w:szCs w:val="24"/>
          <w:lang w:eastAsia="en-US"/>
        </w:rPr>
        <w:tab/>
      </w:r>
    </w:p>
    <w:p w14:paraId="303C7CD7" w14:textId="0D8662E7"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sidR="00CC4209">
        <w:rPr>
          <w:szCs w:val="24"/>
          <w:lang w:eastAsia="en-US"/>
        </w:rPr>
        <w:tab/>
        <w:t xml:space="preserve">                  </w:t>
      </w:r>
      <w:r w:rsidR="007708B2">
        <w:rPr>
          <w:szCs w:val="24"/>
          <w:lang w:eastAsia="en-US"/>
        </w:rPr>
        <w:t>………………………</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1F103220"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CC4209">
        <w:rPr>
          <w:lang w:eastAsia="ar-SA"/>
        </w:rPr>
        <w:t>SKILAND Ostružná</w:t>
      </w:r>
    </w:p>
    <w:p w14:paraId="303C7CEF" w14:textId="3216AB09" w:rsidR="0051677A" w:rsidRPr="00B04759" w:rsidRDefault="0051677A" w:rsidP="00C90B58">
      <w:pPr>
        <w:tabs>
          <w:tab w:val="left" w:pos="567"/>
          <w:tab w:val="left" w:pos="1134"/>
        </w:tabs>
        <w:spacing w:before="120" w:after="120"/>
        <w:ind w:left="1134" w:hanging="567"/>
        <w:rPr>
          <w:lang w:eastAsia="ar-SA"/>
        </w:rPr>
      </w:pPr>
      <w:r w:rsidRPr="00B04759">
        <w:rPr>
          <w:lang w:eastAsia="ar-SA"/>
        </w:rPr>
        <w:t>b)</w:t>
      </w:r>
      <w:r w:rsidRPr="00B04759">
        <w:rPr>
          <w:lang w:eastAsia="ar-SA"/>
        </w:rPr>
        <w:tab/>
        <w:t xml:space="preserve">Termín konání tuzemského ozdravného pobytu: </w:t>
      </w:r>
      <w:proofErr w:type="gramStart"/>
      <w:r w:rsidR="00CC4209">
        <w:rPr>
          <w:lang w:eastAsia="ar-SA"/>
        </w:rPr>
        <w:t>4.6</w:t>
      </w:r>
      <w:proofErr w:type="gramEnd"/>
      <w:r w:rsidR="00CC4209">
        <w:rPr>
          <w:lang w:eastAsia="ar-SA"/>
        </w:rPr>
        <w:t>. – 8.6.2018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71ED81D0"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CF5C05">
        <w:rPr>
          <w:lang w:eastAsia="ar-SA"/>
        </w:rPr>
        <w:t>55</w:t>
      </w:r>
      <w:r w:rsidR="0096715B">
        <w:rPr>
          <w:lang w:eastAsia="ar-SA"/>
        </w:rPr>
        <w:t xml:space="preserve"> pojištěnců VZP ČR, </w:t>
      </w:r>
      <w:r w:rsidR="00C90B58">
        <w:rPr>
          <w:lang w:eastAsia="ar-SA"/>
        </w:rPr>
        <w:t>přírodní prostředí, příznivé klimatické podmínky</w:t>
      </w:r>
    </w:p>
    <w:p w14:paraId="303C7CF4" w14:textId="42CA84F3"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CF5C05">
        <w:rPr>
          <w:lang w:eastAsia="ar-SA"/>
        </w:rPr>
        <w:t>55</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1868E261" w14:textId="77777777" w:rsidR="00C90B58" w:rsidRDefault="00C90B58"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proofErr w:type="gramStart"/>
      <w:r>
        <w:rPr>
          <w:lang w:eastAsia="en-US"/>
        </w:rPr>
        <w:t>této</w:t>
      </w:r>
      <w:proofErr w:type="gramEnd"/>
      <w:r>
        <w:rPr>
          <w:lang w:eastAsia="en-US"/>
        </w:rPr>
        <w:t xml:space="preserve">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proofErr w:type="gramStart"/>
      <w:r w:rsidR="00EC606B">
        <w:rPr>
          <w:szCs w:val="24"/>
          <w:lang w:eastAsia="en-US"/>
        </w:rPr>
        <w:t>31.12.</w:t>
      </w:r>
      <w:r w:rsidRPr="00B04759">
        <w:rPr>
          <w:szCs w:val="24"/>
          <w:lang w:eastAsia="en-US"/>
        </w:rPr>
        <w:t>201</w:t>
      </w:r>
      <w:r w:rsidR="00C97284">
        <w:rPr>
          <w:szCs w:val="24"/>
          <w:lang w:eastAsia="en-US"/>
        </w:rPr>
        <w:t>8</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168A60A0"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r w:rsidR="007708B2">
        <w:t>…………………</w:t>
      </w:r>
      <w:proofErr w:type="gramStart"/>
      <w:r w:rsidR="007708B2">
        <w:t>….</w:t>
      </w:r>
      <w:r w:rsidR="004D21AF" w:rsidRPr="009A0C2A">
        <w:rPr>
          <w:szCs w:val="24"/>
        </w:rPr>
        <w:t xml:space="preserve">. </w:t>
      </w:r>
      <w:r w:rsidRPr="009A0C2A">
        <w:rPr>
          <w:szCs w:val="24"/>
        </w:rPr>
        <w:t>Partner</w:t>
      </w:r>
      <w:proofErr w:type="gramEnd"/>
      <w:r w:rsidRPr="009A0C2A">
        <w:rPr>
          <w:szCs w:val="24"/>
        </w:rPr>
        <w:t xml:space="preserve">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26916CEC"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7708B2">
        <w:t>…………………………………………..</w:t>
      </w:r>
      <w:bookmarkStart w:id="0" w:name="_GoBack"/>
      <w:bookmarkEnd w:id="0"/>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2</w:t>
      </w:r>
      <w:r w:rsidR="0051677A" w:rsidRPr="00B04759">
        <w:rPr>
          <w:u w:val="single"/>
        </w:rPr>
        <w:tab/>
      </w:r>
      <w:r w:rsidR="0051677A" w:rsidRPr="00B04759">
        <w:tab/>
      </w:r>
      <w:r w:rsidR="009F7771">
        <w:t>Vzor</w:t>
      </w:r>
      <w:proofErr w:type="gramEnd"/>
      <w:r w:rsidR="009F7771">
        <w:t xml:space="preserve">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4DA18999"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004D21AF">
        <w:rPr>
          <w:szCs w:val="24"/>
          <w:lang w:eastAsia="en-US"/>
        </w:rPr>
        <w:t xml:space="preserve">   </w:t>
      </w:r>
      <w:r w:rsidRPr="00B04759">
        <w:rPr>
          <w:szCs w:val="24"/>
          <w:lang w:eastAsia="en-US"/>
        </w:rPr>
        <w:t>V</w:t>
      </w:r>
      <w:r w:rsidR="00CC4209">
        <w:rPr>
          <w:szCs w:val="24"/>
          <w:lang w:eastAsia="en-US"/>
        </w:rPr>
        <w:t> Oseku nad Bečvou</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3554C940"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C90B58">
        <w:rPr>
          <w:szCs w:val="24"/>
          <w:lang w:eastAsia="en-US"/>
        </w:rPr>
        <w:t xml:space="preserve">          </w:t>
      </w:r>
      <w:r w:rsidR="00077701">
        <w:rPr>
          <w:szCs w:val="24"/>
          <w:lang w:eastAsia="en-US"/>
        </w:rPr>
        <w:t xml:space="preserve">   </w:t>
      </w:r>
      <w:r w:rsidR="004D21AF">
        <w:rPr>
          <w:szCs w:val="24"/>
          <w:lang w:eastAsia="en-US"/>
        </w:rPr>
        <w:t xml:space="preserve"> </w:t>
      </w:r>
      <w:r w:rsidR="00077701">
        <w:rPr>
          <w:szCs w:val="24"/>
          <w:lang w:eastAsia="en-US"/>
        </w:rPr>
        <w:t xml:space="preserve">Základní škola </w:t>
      </w:r>
      <w:r w:rsidR="00CC4209">
        <w:rPr>
          <w:szCs w:val="24"/>
          <w:lang w:eastAsia="en-US"/>
        </w:rPr>
        <w:t>a Mateřská škola,</w:t>
      </w:r>
      <w:r w:rsidR="00077701">
        <w:rPr>
          <w:szCs w:val="24"/>
          <w:lang w:eastAsia="en-US"/>
        </w:rPr>
        <w:t xml:space="preserve"> </w:t>
      </w:r>
      <w:r w:rsidR="004D21AF">
        <w:rPr>
          <w:szCs w:val="24"/>
          <w:lang w:eastAsia="en-US"/>
        </w:rPr>
        <w:t xml:space="preserve"> </w:t>
      </w:r>
    </w:p>
    <w:p w14:paraId="37C627FD" w14:textId="10B9690E"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A66664">
        <w:rPr>
          <w:szCs w:val="24"/>
          <w:lang w:eastAsia="en-US"/>
        </w:rPr>
        <w:t xml:space="preserve">   </w:t>
      </w:r>
      <w:r w:rsidR="00CC4209">
        <w:rPr>
          <w:szCs w:val="24"/>
          <w:lang w:eastAsia="en-US"/>
        </w:rPr>
        <w:t>Osek nad Bečvou, okres</w:t>
      </w:r>
    </w:p>
    <w:p w14:paraId="0FD64E31" w14:textId="7DEE46F4"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sidR="00CC4209">
        <w:rPr>
          <w:szCs w:val="24"/>
          <w:lang w:eastAsia="en-US"/>
        </w:rPr>
        <w:t xml:space="preserve">             Přerov</w:t>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70ED7251"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CC4209">
        <w:rPr>
          <w:szCs w:val="24"/>
          <w:lang w:eastAsia="en-US"/>
        </w:rPr>
        <w:t>Zuzana Kotíková</w:t>
      </w:r>
    </w:p>
    <w:p w14:paraId="72BE741E" w14:textId="3924FEC5"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C90B58">
        <w:rPr>
          <w:szCs w:val="24"/>
          <w:lang w:eastAsia="en-US"/>
        </w:rPr>
        <w:t>Zbožínek,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sidR="00CC4209">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588663034"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55pt;height:65.9pt" o:ole="">
            <v:imagedata r:id="rId15" o:title=""/>
          </v:shape>
          <o:OLEObject Type="Embed" ProgID="Excel.Sheet.12" ShapeID="_x0000_i1026" DrawAspect="Icon" ObjectID="_1588663035"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378B46E1" w:rsidR="000C2ED7" w:rsidRPr="0026379D" w:rsidRDefault="00CC4209" w:rsidP="0051096A">
            <w:pPr>
              <w:jc w:val="left"/>
              <w:rPr>
                <w:b/>
                <w:bCs/>
                <w:sz w:val="22"/>
                <w:szCs w:val="22"/>
              </w:rPr>
            </w:pPr>
            <w:r>
              <w:rPr>
                <w:b/>
                <w:bCs/>
                <w:sz w:val="22"/>
                <w:szCs w:val="22"/>
              </w:rPr>
              <w:t xml:space="preserve">Jana </w:t>
            </w:r>
            <w:proofErr w:type="spellStart"/>
            <w:r>
              <w:rPr>
                <w:b/>
                <w:bCs/>
                <w:sz w:val="22"/>
                <w:szCs w:val="22"/>
              </w:rPr>
              <w:t>Hoťková</w:t>
            </w:r>
            <w:proofErr w:type="spellEnd"/>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23C44A2D"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w:t>
      </w:r>
      <w:r w:rsidR="0002538F">
        <w:rPr>
          <w:b/>
          <w:sz w:val="28"/>
          <w:szCs w:val="28"/>
          <w:lang w:eastAsia="en-US"/>
        </w:rPr>
        <w:t>adě tuzemského ozdravného pobytu</w:t>
      </w:r>
    </w:p>
    <w:p w14:paraId="4D40DC21" w14:textId="3FB821B0"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CC4209">
        <w:rPr>
          <w:b/>
          <w:kern w:val="1"/>
          <w:lang w:eastAsia="ar-SA"/>
        </w:rPr>
        <w:t>456</w:t>
      </w:r>
      <w:r w:rsidRPr="00643B2C">
        <w:rPr>
          <w:b/>
          <w:kern w:val="1"/>
          <w:lang w:val="x-none" w:eastAsia="ar-SA"/>
        </w:rPr>
        <w:t>/RP</w:t>
      </w:r>
      <w:r w:rsidRPr="00643B2C">
        <w:rPr>
          <w:b/>
          <w:kern w:val="1"/>
          <w:lang w:eastAsia="ar-SA"/>
        </w:rPr>
        <w:t>OSTRAVA</w:t>
      </w:r>
      <w:r w:rsidRPr="00643B2C">
        <w:rPr>
          <w:b/>
          <w:kern w:val="1"/>
          <w:lang w:val="x-none" w:eastAsia="ar-SA"/>
        </w:rPr>
        <w:t>/201</w:t>
      </w:r>
      <w:r w:rsidR="00CC4209">
        <w:rPr>
          <w:b/>
          <w:kern w:val="1"/>
          <w:lang w:eastAsia="ar-SA"/>
        </w:rPr>
        <w:t>8/58</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00643B2C">
        <w:rPr>
          <w:szCs w:val="24"/>
          <w:lang w:eastAsia="en-US"/>
        </w:rPr>
        <w:t>... Kč</w:t>
      </w:r>
      <w:proofErr w:type="gramEnd"/>
      <w:r w:rsidR="00643B2C">
        <w:rPr>
          <w:szCs w:val="24"/>
          <w:lang w:eastAsia="en-US"/>
        </w:rPr>
        <w:t xml:space="preserve">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proofErr w:type="gramStart"/>
      <w:r w:rsidRPr="00643B2C">
        <w:rPr>
          <w:rFonts w:ascii="Times New Roman" w:hAnsi="Times New Roman"/>
          <w:szCs w:val="24"/>
        </w:rPr>
        <w:t>č.ú</w:t>
      </w:r>
      <w:proofErr w:type="spellEnd"/>
      <w:r w:rsidRPr="00643B2C">
        <w:rPr>
          <w:rFonts w:ascii="Times New Roman" w:hAnsi="Times New Roman"/>
          <w:szCs w:val="24"/>
        </w:rPr>
        <w:t>. …</w:t>
      </w:r>
      <w:proofErr w:type="gramEnd"/>
      <w:r w:rsidRPr="00643B2C">
        <w:rPr>
          <w:rFonts w:ascii="Times New Roman" w:hAnsi="Times New Roman"/>
          <w:szCs w:val="24"/>
        </w:rPr>
        <w:t>…………………………</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3509C" w14:textId="77777777" w:rsidR="00F15E87" w:rsidRDefault="00F15E87" w:rsidP="004A5F47">
      <w:r>
        <w:separator/>
      </w:r>
    </w:p>
  </w:endnote>
  <w:endnote w:type="continuationSeparator" w:id="0">
    <w:p w14:paraId="391FB26F" w14:textId="77777777" w:rsidR="00F15E87" w:rsidRDefault="00F15E87"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7708B2">
      <w:rPr>
        <w:noProof/>
      </w:rPr>
      <w:t>10</w:t>
    </w:r>
    <w:r>
      <w:fldChar w:fldCharType="end"/>
    </w:r>
    <w:r>
      <w:t xml:space="preserve"> (celkem </w:t>
    </w:r>
    <w:r w:rsidR="004A5F47">
      <w:t>10</w:t>
    </w:r>
    <w:r>
      <w:t>)</w:t>
    </w:r>
  </w:p>
  <w:p w14:paraId="303C7DFD" w14:textId="77777777" w:rsidR="003C399A" w:rsidRDefault="00F15E8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F15E8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338EE" w14:textId="77777777" w:rsidR="00F15E87" w:rsidRDefault="00F15E87" w:rsidP="004A5F47">
      <w:r>
        <w:separator/>
      </w:r>
    </w:p>
  </w:footnote>
  <w:footnote w:type="continuationSeparator" w:id="0">
    <w:p w14:paraId="41DA1AFD" w14:textId="77777777" w:rsidR="00F15E87" w:rsidRDefault="00F15E87"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F15E87"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538F"/>
    <w:rsid w:val="00077701"/>
    <w:rsid w:val="000C2ED7"/>
    <w:rsid w:val="000D64EF"/>
    <w:rsid w:val="00165B3A"/>
    <w:rsid w:val="001B3672"/>
    <w:rsid w:val="0020360C"/>
    <w:rsid w:val="002149A5"/>
    <w:rsid w:val="00250353"/>
    <w:rsid w:val="00253C34"/>
    <w:rsid w:val="00270FE4"/>
    <w:rsid w:val="002D284F"/>
    <w:rsid w:val="003454F7"/>
    <w:rsid w:val="003B1721"/>
    <w:rsid w:val="003D7D11"/>
    <w:rsid w:val="003E3EF0"/>
    <w:rsid w:val="00476C87"/>
    <w:rsid w:val="004A5F47"/>
    <w:rsid w:val="004D21AF"/>
    <w:rsid w:val="004D44F1"/>
    <w:rsid w:val="0051096A"/>
    <w:rsid w:val="0051677A"/>
    <w:rsid w:val="005A36A1"/>
    <w:rsid w:val="005B4434"/>
    <w:rsid w:val="00600D4B"/>
    <w:rsid w:val="0060746A"/>
    <w:rsid w:val="00643B2C"/>
    <w:rsid w:val="006647BD"/>
    <w:rsid w:val="00681829"/>
    <w:rsid w:val="00684761"/>
    <w:rsid w:val="006E7D78"/>
    <w:rsid w:val="00710826"/>
    <w:rsid w:val="007708B2"/>
    <w:rsid w:val="007949A1"/>
    <w:rsid w:val="007A7721"/>
    <w:rsid w:val="007D053F"/>
    <w:rsid w:val="00836C40"/>
    <w:rsid w:val="008722FB"/>
    <w:rsid w:val="00886D9E"/>
    <w:rsid w:val="008B6B61"/>
    <w:rsid w:val="008C5495"/>
    <w:rsid w:val="00927017"/>
    <w:rsid w:val="00940860"/>
    <w:rsid w:val="0096715B"/>
    <w:rsid w:val="009A0C2A"/>
    <w:rsid w:val="009C5923"/>
    <w:rsid w:val="009C74CE"/>
    <w:rsid w:val="009F7771"/>
    <w:rsid w:val="00A155CF"/>
    <w:rsid w:val="00A66664"/>
    <w:rsid w:val="00B3712C"/>
    <w:rsid w:val="00B604CC"/>
    <w:rsid w:val="00BA39DE"/>
    <w:rsid w:val="00BD488B"/>
    <w:rsid w:val="00C13059"/>
    <w:rsid w:val="00C157D4"/>
    <w:rsid w:val="00C741BC"/>
    <w:rsid w:val="00C77A91"/>
    <w:rsid w:val="00C90B58"/>
    <w:rsid w:val="00C946B4"/>
    <w:rsid w:val="00C97284"/>
    <w:rsid w:val="00CC4209"/>
    <w:rsid w:val="00CF5C05"/>
    <w:rsid w:val="00D61522"/>
    <w:rsid w:val="00D6435E"/>
    <w:rsid w:val="00DA3849"/>
    <w:rsid w:val="00DB6BF3"/>
    <w:rsid w:val="00DC603B"/>
    <w:rsid w:val="00E017BD"/>
    <w:rsid w:val="00EC606B"/>
    <w:rsid w:val="00EE3D2E"/>
    <w:rsid w:val="00F12329"/>
    <w:rsid w:val="00F15E87"/>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0B43DE04-4BB4-493C-A3DC-49A7F8E5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2557</Words>
  <Characters>15092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2018-03-05T06:38:00Z</cp:lastPrinted>
  <dcterms:created xsi:type="dcterms:W3CDTF">2018-05-24T08:31:00Z</dcterms:created>
  <dcterms:modified xsi:type="dcterms:W3CDTF">2018-05-24T08:31:00Z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