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B9D2" w14:textId="63CE71A5" w:rsidR="00D35CB3" w:rsidRDefault="0078097D" w:rsidP="00D35CB3">
      <w:pPr>
        <w:spacing w:after="200"/>
        <w:jc w:val="center"/>
        <w:rPr>
          <w:b/>
          <w:sz w:val="28"/>
        </w:rPr>
      </w:pPr>
      <w:r>
        <w:rPr>
          <w:b/>
          <w:sz w:val="28"/>
        </w:rPr>
        <w:t>Smlouva o dílo</w:t>
      </w:r>
      <w:r w:rsidR="000A5229" w:rsidRPr="000A5229">
        <w:rPr>
          <w:b/>
          <w:sz w:val="28"/>
        </w:rPr>
        <w:t xml:space="preserve"> </w:t>
      </w:r>
      <w:r w:rsidR="000A5229" w:rsidRPr="00B13914">
        <w:rPr>
          <w:b/>
          <w:sz w:val="28"/>
        </w:rPr>
        <w:t xml:space="preserve">č. </w:t>
      </w:r>
      <w:r w:rsidR="00AF0B53">
        <w:rPr>
          <w:b/>
          <w:sz w:val="28"/>
        </w:rPr>
        <w:t>UKRUK/27234</w:t>
      </w:r>
      <w:r w:rsidR="00AF0B53" w:rsidRPr="00B13914">
        <w:rPr>
          <w:b/>
          <w:sz w:val="28"/>
        </w:rPr>
        <w:t>/</w:t>
      </w:r>
      <w:r w:rsidR="00793F1A" w:rsidRPr="00B13914">
        <w:rPr>
          <w:b/>
          <w:sz w:val="28"/>
        </w:rPr>
        <w:t>201</w:t>
      </w:r>
      <w:r w:rsidR="00793F1A">
        <w:rPr>
          <w:b/>
          <w:sz w:val="28"/>
        </w:rPr>
        <w:t>8</w:t>
      </w:r>
    </w:p>
    <w:p w14:paraId="5E24AE64" w14:textId="77777777" w:rsidR="00FB1E6D" w:rsidRPr="00FB1E6D" w:rsidRDefault="00FB1E6D" w:rsidP="00D35CB3">
      <w:pPr>
        <w:spacing w:after="200"/>
        <w:jc w:val="center"/>
      </w:pPr>
      <w: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="00B576B6">
          <w:t>2586</w:t>
        </w:r>
        <w:r>
          <w:t xml:space="preserve"> a</w:t>
        </w:r>
      </w:smartTag>
      <w:r>
        <w:t xml:space="preserve"> násl. zákona č. </w:t>
      </w:r>
      <w:r w:rsidR="00B576B6">
        <w:t>89</w:t>
      </w:r>
      <w:r>
        <w:t>/</w:t>
      </w:r>
      <w:r w:rsidR="00B576B6">
        <w:t>20</w:t>
      </w:r>
      <w:r>
        <w:t>1</w:t>
      </w:r>
      <w:r w:rsidR="00B576B6">
        <w:t>2</w:t>
      </w:r>
      <w:r>
        <w:t xml:space="preserve"> Sb., </w:t>
      </w:r>
      <w:r w:rsidR="00837113">
        <w:t>občanského</w:t>
      </w:r>
      <w:r>
        <w:t xml:space="preserve"> zákoníku</w:t>
      </w:r>
      <w:r w:rsidR="00793F1A">
        <w:t>, ve znění pozdějších předpisů</w:t>
      </w:r>
    </w:p>
    <w:p w14:paraId="40430AF8" w14:textId="77777777" w:rsidR="00D35CB3" w:rsidRPr="003E3C82" w:rsidRDefault="00D35CB3" w:rsidP="00D35CB3"/>
    <w:p w14:paraId="6708A15C" w14:textId="77777777" w:rsidR="00D35CB3" w:rsidRPr="005505B7" w:rsidRDefault="00D35CB3" w:rsidP="00D35CB3">
      <w:pPr>
        <w:rPr>
          <w:b/>
        </w:rPr>
      </w:pPr>
      <w:r w:rsidRPr="005505B7">
        <w:rPr>
          <w:b/>
        </w:rPr>
        <w:t>Univerzita Karlova</w:t>
      </w:r>
    </w:p>
    <w:p w14:paraId="51233B62" w14:textId="77777777" w:rsidR="00D35CB3" w:rsidRDefault="00D35CB3" w:rsidP="00D35CB3">
      <w:r w:rsidRPr="005505B7">
        <w:t xml:space="preserve">Ovocný trh </w:t>
      </w:r>
      <w:r w:rsidR="009353DA">
        <w:t>560</w:t>
      </w:r>
      <w:r w:rsidRPr="005505B7">
        <w:t>/5, 116 36 Praha 1</w:t>
      </w:r>
    </w:p>
    <w:p w14:paraId="4FAA0D32" w14:textId="77777777" w:rsidR="003F2EA9" w:rsidRPr="005505B7" w:rsidRDefault="003F2EA9" w:rsidP="00D35CB3">
      <w:r>
        <w:t>Týká se: Centra pro otázky životního prostředí</w:t>
      </w:r>
      <w:r w:rsidR="006576A6">
        <w:t xml:space="preserve"> (dále jen „COŽP“)</w:t>
      </w:r>
    </w:p>
    <w:p w14:paraId="49C914E6" w14:textId="77777777" w:rsidR="00D35CB3" w:rsidRPr="005505B7" w:rsidRDefault="00D35CB3" w:rsidP="00D35CB3">
      <w:r w:rsidRPr="005505B7">
        <w:t>IČ</w:t>
      </w:r>
      <w:r w:rsidR="009353DA">
        <w:t>O</w:t>
      </w:r>
      <w:r w:rsidRPr="005505B7">
        <w:t xml:space="preserve">: 00216208 </w:t>
      </w:r>
    </w:p>
    <w:p w14:paraId="42339E4F" w14:textId="77777777" w:rsidR="00D35CB3" w:rsidRPr="005505B7" w:rsidRDefault="00D35CB3" w:rsidP="00D35CB3">
      <w:r w:rsidRPr="005505B7">
        <w:t>DIČ: CZ00216208</w:t>
      </w:r>
    </w:p>
    <w:p w14:paraId="514D25F9" w14:textId="77777777" w:rsidR="003F2EA9" w:rsidRDefault="00D35CB3" w:rsidP="00D35CB3">
      <w:pPr>
        <w:autoSpaceDE w:val="0"/>
        <w:autoSpaceDN w:val="0"/>
        <w:adjustRightInd w:val="0"/>
      </w:pPr>
      <w:r w:rsidRPr="005505B7">
        <w:t xml:space="preserve">Bankovní spojení: </w:t>
      </w:r>
      <w:r w:rsidR="002C4BB8">
        <w:t>Česká spořitelna,</w:t>
      </w:r>
      <w:r>
        <w:t xml:space="preserve"> a.s.</w:t>
      </w:r>
    </w:p>
    <w:p w14:paraId="17B6A32B" w14:textId="77777777" w:rsidR="00D35CB3" w:rsidRPr="005505B7" w:rsidRDefault="009D3294" w:rsidP="00D35CB3">
      <w:pPr>
        <w:autoSpaceDE w:val="0"/>
        <w:autoSpaceDN w:val="0"/>
        <w:adjustRightInd w:val="0"/>
      </w:pPr>
      <w:r>
        <w:t>Číslo</w:t>
      </w:r>
      <w:r w:rsidR="00D35CB3" w:rsidRPr="005505B7">
        <w:t xml:space="preserve"> účtu: </w:t>
      </w:r>
      <w:r w:rsidR="002C4BB8" w:rsidRPr="002C4BB8">
        <w:t>4226594399/0800</w:t>
      </w:r>
    </w:p>
    <w:p w14:paraId="549E56B3" w14:textId="77777777" w:rsidR="00D35CB3" w:rsidRPr="001B2BE2" w:rsidRDefault="00D35CB3" w:rsidP="00F91A4E">
      <w:pPr>
        <w:autoSpaceDE w:val="0"/>
        <w:autoSpaceDN w:val="0"/>
        <w:adjustRightInd w:val="0"/>
      </w:pPr>
      <w:r w:rsidRPr="001B2BE2">
        <w:t xml:space="preserve">Zastoupená: </w:t>
      </w:r>
      <w:r w:rsidR="00837113" w:rsidRPr="001B2BE2">
        <w:t>Ing. Miroslavou Oliveriusovou, kvestorkou</w:t>
      </w:r>
    </w:p>
    <w:p w14:paraId="59710610" w14:textId="77777777" w:rsidR="006576A6" w:rsidRPr="005505B7" w:rsidRDefault="006576A6" w:rsidP="006576A6">
      <w:pPr>
        <w:autoSpaceDE w:val="0"/>
        <w:autoSpaceDN w:val="0"/>
        <w:adjustRightInd w:val="0"/>
        <w:spacing w:line="240" w:lineRule="auto"/>
        <w:jc w:val="both"/>
      </w:pPr>
      <w:r>
        <w:t xml:space="preserve">Osoba pověřená k jednáním ve věcech technických: </w:t>
      </w:r>
      <w:r w:rsidR="00837113">
        <w:t xml:space="preserve">Mgr. Milan Ščasný, Ph.D., e-mail: </w:t>
      </w:r>
      <w:hyperlink r:id="rId8" w:history="1">
        <w:r w:rsidR="00837113">
          <w:rPr>
            <w:rStyle w:val="Hypertextovodkaz"/>
            <w:rFonts w:eastAsia="Calibri"/>
          </w:rPr>
          <w:t>milan.scasny@czp.cuni.cz</w:t>
        </w:r>
      </w:hyperlink>
      <w:r w:rsidR="00F967A5">
        <w:t>, tel.: 724 698</w:t>
      </w:r>
      <w:r w:rsidR="001623A8">
        <w:t> </w:t>
      </w:r>
      <w:r w:rsidR="00F967A5">
        <w:t>015</w:t>
      </w:r>
      <w:r w:rsidR="001623A8">
        <w:t xml:space="preserve"> (dále jen „pověřená osoba“)</w:t>
      </w:r>
    </w:p>
    <w:p w14:paraId="5C5D017D" w14:textId="77777777" w:rsidR="00D35CB3" w:rsidRPr="005505B7" w:rsidRDefault="00E54399" w:rsidP="00D35CB3">
      <w:pPr>
        <w:autoSpaceDE w:val="0"/>
        <w:autoSpaceDN w:val="0"/>
        <w:adjustRightInd w:val="0"/>
        <w:rPr>
          <w:lang w:val="pl-PL"/>
        </w:rPr>
      </w:pPr>
      <w:r w:rsidRPr="00837113">
        <w:t xml:space="preserve"> </w:t>
      </w:r>
      <w:r w:rsidR="00D35CB3" w:rsidRPr="005505B7">
        <w:rPr>
          <w:lang w:val="pl-PL"/>
        </w:rPr>
        <w:t xml:space="preserve">(dále jen "objednatel") </w:t>
      </w:r>
    </w:p>
    <w:p w14:paraId="770EFB8A" w14:textId="77777777" w:rsidR="00D35CB3" w:rsidRPr="005505B7" w:rsidRDefault="00D35CB3" w:rsidP="00D35CB3">
      <w:pPr>
        <w:autoSpaceDE w:val="0"/>
        <w:autoSpaceDN w:val="0"/>
        <w:adjustRightInd w:val="0"/>
        <w:rPr>
          <w:lang w:val="pl-PL"/>
        </w:rPr>
      </w:pPr>
    </w:p>
    <w:p w14:paraId="14D4C2E3" w14:textId="77777777" w:rsidR="00D35CB3" w:rsidRPr="005505B7" w:rsidRDefault="00D35CB3" w:rsidP="00D35CB3">
      <w:pPr>
        <w:autoSpaceDE w:val="0"/>
        <w:autoSpaceDN w:val="0"/>
        <w:adjustRightInd w:val="0"/>
      </w:pPr>
      <w:r w:rsidRPr="005505B7">
        <w:t>a</w:t>
      </w:r>
    </w:p>
    <w:p w14:paraId="41454BB7" w14:textId="77777777" w:rsidR="00D35CB3" w:rsidRPr="005505B7" w:rsidRDefault="00D35CB3" w:rsidP="00D35CB3">
      <w:pPr>
        <w:autoSpaceDE w:val="0"/>
        <w:autoSpaceDN w:val="0"/>
        <w:adjustRightInd w:val="0"/>
      </w:pPr>
    </w:p>
    <w:p w14:paraId="4F08FD6F" w14:textId="77777777" w:rsidR="00425972" w:rsidRPr="00482838" w:rsidRDefault="00425972" w:rsidP="00425972">
      <w:pPr>
        <w:autoSpaceDE w:val="0"/>
        <w:autoSpaceDN w:val="0"/>
        <w:adjustRightInd w:val="0"/>
        <w:rPr>
          <w:b/>
        </w:rPr>
      </w:pPr>
      <w:r w:rsidRPr="00482838">
        <w:rPr>
          <w:b/>
        </w:rPr>
        <w:t>STEM/MARK, a.s.</w:t>
      </w:r>
    </w:p>
    <w:p w14:paraId="26EF57FA" w14:textId="77777777" w:rsidR="00425972" w:rsidRPr="00482838" w:rsidRDefault="00425972" w:rsidP="00425972">
      <w:pPr>
        <w:autoSpaceDE w:val="0"/>
        <w:autoSpaceDN w:val="0"/>
        <w:adjustRightInd w:val="0"/>
      </w:pPr>
      <w:r w:rsidRPr="00482838">
        <w:t>Sídlo</w:t>
      </w:r>
      <w:r>
        <w:t>: Smrčkova 2485/4, 180 00 Praha 8</w:t>
      </w:r>
    </w:p>
    <w:p w14:paraId="470EE4B1" w14:textId="77777777" w:rsidR="00425972" w:rsidRPr="00482838" w:rsidRDefault="00425972" w:rsidP="00425972">
      <w:pPr>
        <w:autoSpaceDE w:val="0"/>
        <w:autoSpaceDN w:val="0"/>
        <w:adjustRightInd w:val="0"/>
      </w:pPr>
      <w:r w:rsidRPr="00482838">
        <w:t>IČ:</w:t>
      </w:r>
      <w:r>
        <w:t xml:space="preserve"> 61859591</w:t>
      </w:r>
    </w:p>
    <w:p w14:paraId="21683019" w14:textId="77777777" w:rsidR="00425972" w:rsidRPr="00482838" w:rsidRDefault="00425972" w:rsidP="00425972">
      <w:pPr>
        <w:autoSpaceDE w:val="0"/>
        <w:autoSpaceDN w:val="0"/>
        <w:adjustRightInd w:val="0"/>
      </w:pPr>
      <w:r w:rsidRPr="00482838">
        <w:t>DIČ:</w:t>
      </w:r>
      <w:r>
        <w:t xml:space="preserve"> CZ61859591</w:t>
      </w:r>
    </w:p>
    <w:p w14:paraId="3509E1BC" w14:textId="77777777" w:rsidR="00425972" w:rsidRPr="00482838" w:rsidRDefault="00425972" w:rsidP="00425972">
      <w:pPr>
        <w:autoSpaceDE w:val="0"/>
        <w:autoSpaceDN w:val="0"/>
        <w:adjustRightInd w:val="0"/>
      </w:pPr>
      <w:r w:rsidRPr="00482838">
        <w:t>Zápis v OR:</w:t>
      </w:r>
      <w:r>
        <w:t xml:space="preserve"> u Městsk</w:t>
      </w:r>
      <w:bookmarkStart w:id="0" w:name="_GoBack"/>
      <w:bookmarkEnd w:id="0"/>
      <w:r>
        <w:t>ého soudu v Praze oddíl B, vložka 2841</w:t>
      </w:r>
    </w:p>
    <w:p w14:paraId="5725BB0B" w14:textId="77777777" w:rsidR="00425972" w:rsidRPr="00482838" w:rsidRDefault="00425972" w:rsidP="00425972">
      <w:pPr>
        <w:autoSpaceDE w:val="0"/>
        <w:autoSpaceDN w:val="0"/>
        <w:adjustRightInd w:val="0"/>
      </w:pPr>
      <w:r w:rsidRPr="00482838">
        <w:t>Bankovní spojení:</w:t>
      </w:r>
      <w:r>
        <w:t xml:space="preserve"> ČSOB</w:t>
      </w:r>
    </w:p>
    <w:p w14:paraId="5D85755A" w14:textId="77777777" w:rsidR="00425972" w:rsidRPr="00482838" w:rsidRDefault="00425972" w:rsidP="00425972">
      <w:pPr>
        <w:autoSpaceDE w:val="0"/>
        <w:autoSpaceDN w:val="0"/>
        <w:adjustRightInd w:val="0"/>
      </w:pPr>
      <w:r w:rsidRPr="00482838">
        <w:t>Číslo účtu:</w:t>
      </w:r>
      <w:r>
        <w:t xml:space="preserve"> 234 593 785/300</w:t>
      </w:r>
    </w:p>
    <w:p w14:paraId="63F3EE29" w14:textId="77777777" w:rsidR="00425972" w:rsidRPr="00482838" w:rsidRDefault="00425972" w:rsidP="00425972">
      <w:pPr>
        <w:autoSpaceDE w:val="0"/>
        <w:autoSpaceDN w:val="0"/>
        <w:adjustRightInd w:val="0"/>
      </w:pPr>
      <w:r w:rsidRPr="00482838">
        <w:t>Zastoupená:</w:t>
      </w:r>
      <w:r>
        <w:t xml:space="preserve"> Ing. Janem Tučkem, ředitelem a prokuristou</w:t>
      </w:r>
    </w:p>
    <w:p w14:paraId="20048D63" w14:textId="29240895" w:rsidR="00425972" w:rsidRPr="00482838" w:rsidRDefault="00425972" w:rsidP="00425972">
      <w:pPr>
        <w:autoSpaceDE w:val="0"/>
        <w:autoSpaceDN w:val="0"/>
        <w:adjustRightInd w:val="0"/>
      </w:pPr>
      <w:r w:rsidRPr="00482838">
        <w:t xml:space="preserve">Osoba pověřená k jednáním ve věcech technických: </w:t>
      </w:r>
      <w:r>
        <w:t xml:space="preserve">Mgr. Pavel Šimoník, e-mail: </w:t>
      </w:r>
      <w:hyperlink r:id="rId9" w:history="1">
        <w:r w:rsidRPr="00817E30">
          <w:rPr>
            <w:rStyle w:val="Hypertextovodkaz"/>
          </w:rPr>
          <w:t>simonik@stemmark.cz</w:t>
        </w:r>
      </w:hyperlink>
      <w:r>
        <w:t xml:space="preserve">, tel.: 225 986 819 </w:t>
      </w:r>
      <w:r w:rsidRPr="00482838">
        <w:t>(dále jen „pověřená osoba“)</w:t>
      </w:r>
    </w:p>
    <w:p w14:paraId="46712A08" w14:textId="357D75FC" w:rsidR="00D35CB3" w:rsidRPr="005505B7" w:rsidRDefault="00D35CB3" w:rsidP="00425972">
      <w:pPr>
        <w:autoSpaceDE w:val="0"/>
        <w:autoSpaceDN w:val="0"/>
        <w:adjustRightInd w:val="0"/>
      </w:pPr>
      <w:r w:rsidRPr="005505B7">
        <w:t>(dále jen "zhotovitel")</w:t>
      </w:r>
    </w:p>
    <w:p w14:paraId="7E663E42" w14:textId="77777777" w:rsidR="00D35CB3" w:rsidRPr="005505B7" w:rsidRDefault="00D35CB3" w:rsidP="00D35CB3">
      <w:pPr>
        <w:autoSpaceDE w:val="0"/>
        <w:autoSpaceDN w:val="0"/>
        <w:adjustRightInd w:val="0"/>
      </w:pPr>
    </w:p>
    <w:p w14:paraId="336F6383" w14:textId="77777777" w:rsidR="00D35CB3" w:rsidRPr="005505B7" w:rsidRDefault="00D35CB3" w:rsidP="00D35CB3">
      <w:pPr>
        <w:autoSpaceDE w:val="0"/>
        <w:autoSpaceDN w:val="0"/>
        <w:adjustRightInd w:val="0"/>
      </w:pPr>
      <w:r w:rsidRPr="005505B7">
        <w:t>uzavírají tuto smlouvu o dílo</w:t>
      </w:r>
      <w:r w:rsidR="000A5229">
        <w:t xml:space="preserve"> </w:t>
      </w:r>
      <w:r w:rsidR="000A5229" w:rsidRPr="00B13914">
        <w:t>(„ dále jen „smlouva“)</w:t>
      </w:r>
      <w:r w:rsidRPr="005505B7">
        <w:t>:</w:t>
      </w:r>
    </w:p>
    <w:p w14:paraId="5349640B" w14:textId="77777777" w:rsidR="00D35CB3" w:rsidRPr="005505B7" w:rsidRDefault="00D35CB3" w:rsidP="00D35CB3">
      <w:pPr>
        <w:autoSpaceDE w:val="0"/>
        <w:autoSpaceDN w:val="0"/>
        <w:adjustRightInd w:val="0"/>
      </w:pPr>
    </w:p>
    <w:p w14:paraId="418FD077" w14:textId="77777777" w:rsidR="00D35CB3" w:rsidRPr="005505B7" w:rsidRDefault="00D35CB3" w:rsidP="00D35CB3">
      <w:pPr>
        <w:pStyle w:val="Nadpis3"/>
      </w:pPr>
      <w:r w:rsidRPr="005505B7">
        <w:t>Článek I.</w:t>
      </w:r>
      <w:r w:rsidRPr="005505B7">
        <w:br/>
        <w:t>Předmět smlouvy</w:t>
      </w:r>
    </w:p>
    <w:p w14:paraId="453D303C" w14:textId="03CB22AE" w:rsidR="00D35CB3" w:rsidRPr="00996296" w:rsidRDefault="00D35CB3" w:rsidP="00996296">
      <w:pPr>
        <w:numPr>
          <w:ilvl w:val="0"/>
          <w:numId w:val="7"/>
        </w:numPr>
        <w:jc w:val="both"/>
      </w:pPr>
      <w:r w:rsidRPr="005505B7">
        <w:t xml:space="preserve">Předmětem této smlouvy </w:t>
      </w:r>
      <w:r w:rsidR="006018CA">
        <w:t>je</w:t>
      </w:r>
      <w:r w:rsidR="00793F1A" w:rsidRPr="00793F1A">
        <w:t xml:space="preserve"> </w:t>
      </w:r>
      <w:r w:rsidR="00793F1A" w:rsidRPr="001135A0">
        <w:t xml:space="preserve">rekrutace </w:t>
      </w:r>
      <w:r w:rsidR="00793F1A">
        <w:t xml:space="preserve">reprezentativního vzorku </w:t>
      </w:r>
      <w:r w:rsidR="00793F1A" w:rsidRPr="001135A0">
        <w:t xml:space="preserve">respondentů </w:t>
      </w:r>
      <w:r w:rsidR="00793F1A">
        <w:t xml:space="preserve">z pěti evropských zemí – České republiky, Lotyšska, Portugalska, Španělska a Velké Británie – </w:t>
      </w:r>
      <w:r w:rsidR="00793F1A" w:rsidRPr="001135A0">
        <w:t>z</w:t>
      </w:r>
      <w:r w:rsidR="00793F1A">
        <w:t xml:space="preserve"> existujících </w:t>
      </w:r>
      <w:r w:rsidR="00793F1A" w:rsidRPr="001135A0">
        <w:t>internetov</w:t>
      </w:r>
      <w:r w:rsidR="00793F1A">
        <w:t xml:space="preserve">ých panelů </w:t>
      </w:r>
      <w:r w:rsidR="00793F1A" w:rsidRPr="001135A0">
        <w:t>a</w:t>
      </w:r>
      <w:r w:rsidR="00793F1A">
        <w:t xml:space="preserve"> </w:t>
      </w:r>
      <w:r w:rsidR="00793F1A" w:rsidRPr="001135A0">
        <w:t>zajištění jejich účasti v elektronick</w:t>
      </w:r>
      <w:r w:rsidR="00793F1A">
        <w:t>ém dotazníkovém šetření prováděném</w:t>
      </w:r>
      <w:r w:rsidR="00793F1A" w:rsidRPr="001135A0">
        <w:t xml:space="preserve"> </w:t>
      </w:r>
      <w:r w:rsidR="00AF0B53">
        <w:t>objedn</w:t>
      </w:r>
      <w:r w:rsidR="00AF0B53" w:rsidRPr="001135A0">
        <w:t>atelem</w:t>
      </w:r>
      <w:r w:rsidR="00AF0B53">
        <w:t xml:space="preserve"> </w:t>
      </w:r>
      <w:r w:rsidR="00793F1A">
        <w:t xml:space="preserve">ve spolupráci s partnery podílejícími se na projektu </w:t>
      </w:r>
      <w:r w:rsidR="00793F1A" w:rsidRPr="00611D46">
        <w:rPr>
          <w:i/>
        </w:rPr>
        <w:t xml:space="preserve">Identifying ways of living, moving and consuming that protect the environment and promote health and </w:t>
      </w:r>
      <w:r w:rsidR="00793F1A" w:rsidRPr="00611D46">
        <w:rPr>
          <w:i/>
        </w:rPr>
        <w:lastRenderedPageBreak/>
        <w:t>health equity (INHERIT)</w:t>
      </w:r>
      <w:r w:rsidR="00793F1A">
        <w:t xml:space="preserve"> podpořeném rámcovým programem pro výzkum a inovace Evropské komise Horizon 2020</w:t>
      </w:r>
      <w:r w:rsidR="00793F1A" w:rsidRPr="001135A0">
        <w:t>.</w:t>
      </w:r>
      <w:r w:rsidR="00793F1A" w:rsidRPr="00793F1A">
        <w:t xml:space="preserve"> </w:t>
      </w:r>
      <w:r w:rsidR="00793F1A">
        <w:t xml:space="preserve">Předmět této smlouvy dle předchozí věty je dále označován </w:t>
      </w:r>
      <w:r w:rsidR="00AF0B53">
        <w:t xml:space="preserve">také </w:t>
      </w:r>
      <w:r w:rsidR="00793F1A">
        <w:t>jako „</w:t>
      </w:r>
      <w:r w:rsidR="00793F1A" w:rsidRPr="00611D46">
        <w:rPr>
          <w:i/>
        </w:rPr>
        <w:t>dílo</w:t>
      </w:r>
      <w:r w:rsidR="00793F1A">
        <w:t>“</w:t>
      </w:r>
      <w:r w:rsidR="00AF0B53">
        <w:t>, „</w:t>
      </w:r>
      <w:r w:rsidR="00AF0B53" w:rsidRPr="00425972">
        <w:rPr>
          <w:i/>
        </w:rPr>
        <w:t>plnění</w:t>
      </w:r>
      <w:r w:rsidR="00AF0B53">
        <w:t>“ nebo též „</w:t>
      </w:r>
      <w:r w:rsidR="00AF0B53" w:rsidRPr="00425972">
        <w:rPr>
          <w:i/>
        </w:rPr>
        <w:t>předmět plnění</w:t>
      </w:r>
      <w:r w:rsidR="00AF0B53">
        <w:t>“</w:t>
      </w:r>
      <w:r w:rsidR="00793F1A">
        <w:t>.</w:t>
      </w:r>
      <w:r w:rsidR="00793F1A" w:rsidRPr="006C01C5">
        <w:t xml:space="preserve"> </w:t>
      </w:r>
    </w:p>
    <w:p w14:paraId="577040D1" w14:textId="22FE0E1B" w:rsidR="0089708E" w:rsidRDefault="0089708E" w:rsidP="0089708E">
      <w:pPr>
        <w:numPr>
          <w:ilvl w:val="0"/>
          <w:numId w:val="7"/>
        </w:numPr>
        <w:jc w:val="both"/>
      </w:pPr>
      <w:r>
        <w:t xml:space="preserve">Rekrutaci respondentů zhotovitel provede z aktivně spravovaného panelu pro </w:t>
      </w:r>
      <w:r w:rsidR="00D63795">
        <w:t>každou cílovou</w:t>
      </w:r>
      <w:r>
        <w:t xml:space="preserve"> zemi</w:t>
      </w:r>
      <w:r w:rsidR="00D63795">
        <w:t xml:space="preserve"> (viz dále)</w:t>
      </w:r>
      <w:r>
        <w:t>, tj. panelu, ve kterém je identita respondentů ověřována při rekrutaci a případně během účasti respondenta v panelu (např. otázky ve výzkumu, které kontrolují některý z ukazatelů uvedených v registračním dotazníku, probíhá telefonická kontrola nebo kontrola unikátnosti uváděného čísla bankovního účtu), a ve kterých je kontrolováno, že každý respondent může uskutečnit nejvýše 2 průzkumy týdně, celkově však maximálně 36 průzkumů ročně.</w:t>
      </w:r>
      <w:r w:rsidR="001978D6">
        <w:t xml:space="preserve"> </w:t>
      </w:r>
      <w:r w:rsidR="00425972">
        <w:t xml:space="preserve">Zhotovitel </w:t>
      </w:r>
      <w:r w:rsidR="001978D6">
        <w:t xml:space="preserve">se zavazuje </w:t>
      </w:r>
      <w:r w:rsidR="00D63795">
        <w:t xml:space="preserve">v každé z cílových zemí použít </w:t>
      </w:r>
      <w:r w:rsidR="001978D6">
        <w:t>aktivní panel dle parametrů uvedených v Příloze č. 1</w:t>
      </w:r>
      <w:r w:rsidR="002A7FA0">
        <w:t xml:space="preserve"> této smlouvy</w:t>
      </w:r>
      <w:r w:rsidR="001978D6">
        <w:t>.</w:t>
      </w:r>
    </w:p>
    <w:p w14:paraId="087375A9" w14:textId="77777777" w:rsidR="0089708E" w:rsidRDefault="0089708E" w:rsidP="00BF2E90">
      <w:pPr>
        <w:numPr>
          <w:ilvl w:val="0"/>
          <w:numId w:val="7"/>
        </w:numPr>
        <w:jc w:val="both"/>
      </w:pPr>
      <w:r>
        <w:t xml:space="preserve">Výběr respondentů bude reprezentativní na základě sociodemografických charakteristik pro dospělé populace (obyvatelé ve věku nad 18 let) pěti cílových zemí, tj. České republiky, Lotyšska, Portugalska, Španělska a Velké Británie. Vzorky budou vybrány kvótním výběrem s nevázanými kvótami. Kvóty budou stanoveny </w:t>
      </w:r>
      <w:r w:rsidR="008477B9">
        <w:t xml:space="preserve">zhotovitelem po konzultaci s objednatelem </w:t>
      </w:r>
      <w:r>
        <w:t xml:space="preserve">pro region </w:t>
      </w:r>
      <w:r w:rsidR="00B86CC2">
        <w:t>(</w:t>
      </w:r>
      <w:r w:rsidR="008477B9">
        <w:t>6 až 14 kategorií podle země; pro Lotyšsko není relevantní)</w:t>
      </w:r>
      <w:r w:rsidR="008477B9">
        <w:rPr>
          <w:rStyle w:val="Znakapoznpodarou"/>
        </w:rPr>
        <w:footnoteReference w:id="2"/>
      </w:r>
      <w:r w:rsidR="008477B9" w:rsidRPr="00C44417">
        <w:t>, velikost místa bydliště</w:t>
      </w:r>
      <w:r w:rsidR="008477B9">
        <w:t xml:space="preserve"> (3 kategorie)</w:t>
      </w:r>
      <w:r w:rsidR="008477B9" w:rsidRPr="00C44417">
        <w:t>, věk</w:t>
      </w:r>
      <w:r w:rsidR="008477B9">
        <w:t xml:space="preserve"> (3 kategorie)</w:t>
      </w:r>
      <w:r w:rsidR="008477B9" w:rsidRPr="00C44417">
        <w:t xml:space="preserve">, pohlaví </w:t>
      </w:r>
      <w:r w:rsidR="008477B9">
        <w:t xml:space="preserve">(2 kategorie) </w:t>
      </w:r>
      <w:r w:rsidR="008477B9" w:rsidRPr="00C44417">
        <w:t xml:space="preserve">a vzdělání </w:t>
      </w:r>
      <w:r w:rsidR="008477B9">
        <w:t>(3 kategorie)</w:t>
      </w:r>
      <w:bookmarkStart w:id="1" w:name="_Ref507069952"/>
      <w:r w:rsidR="008477B9">
        <w:rPr>
          <w:rStyle w:val="Znakapoznpodarou"/>
        </w:rPr>
        <w:footnoteReference w:id="3"/>
      </w:r>
      <w:bookmarkEnd w:id="1"/>
      <w:r w:rsidR="008477B9">
        <w:t xml:space="preserve"> </w:t>
      </w:r>
      <w:r w:rsidR="008477B9" w:rsidRPr="00C44417">
        <w:t xml:space="preserve">respondenta </w:t>
      </w:r>
      <w:r w:rsidR="008477B9">
        <w:t>zvlášť</w:t>
      </w:r>
      <w:r w:rsidR="008477B9" w:rsidRPr="00C44417">
        <w:t xml:space="preserve"> pro </w:t>
      </w:r>
      <w:r w:rsidR="008477B9">
        <w:t>každou z 5 zemí</w:t>
      </w:r>
      <w:r>
        <w:t>.</w:t>
      </w:r>
      <w:r w:rsidR="004F7D4E">
        <w:t xml:space="preserve"> </w:t>
      </w:r>
    </w:p>
    <w:p w14:paraId="50757ECE" w14:textId="4B790087" w:rsidR="0089708E" w:rsidRDefault="0089708E" w:rsidP="004F7D4E">
      <w:pPr>
        <w:numPr>
          <w:ilvl w:val="0"/>
          <w:numId w:val="7"/>
        </w:numPr>
        <w:jc w:val="both"/>
      </w:pPr>
      <w:r>
        <w:t xml:space="preserve">Zhotovitel nejprve provede rekrutaci pro pilotní šetření cca </w:t>
      </w:r>
      <w:r w:rsidR="00C51BAD">
        <w:t>1 až</w:t>
      </w:r>
      <w:r w:rsidR="00B86CC2">
        <w:t xml:space="preserve"> </w:t>
      </w:r>
      <w:r w:rsidR="00405B2C">
        <w:t xml:space="preserve">2 </w:t>
      </w:r>
      <w:r>
        <w:t xml:space="preserve">týdny před hlavní vlnou sběru; pro pilotní šetření bude rekrutováno přibližně </w:t>
      </w:r>
      <w:r w:rsidR="004E73EA" w:rsidRPr="00611D46">
        <w:t>2</w:t>
      </w:r>
      <w:r w:rsidRPr="00611D46">
        <w:t>00</w:t>
      </w:r>
      <w:r>
        <w:t xml:space="preserve"> respondentů v každé z pěti zemí, zbývající </w:t>
      </w:r>
      <w:r w:rsidR="00544FE7">
        <w:t xml:space="preserve">rekrutace do celkového počtu </w:t>
      </w:r>
      <w:r w:rsidR="00425972">
        <w:t>10 081</w:t>
      </w:r>
      <w:r>
        <w:t xml:space="preserve"> </w:t>
      </w:r>
      <w:r w:rsidR="004F7D4E">
        <w:t xml:space="preserve">platných </w:t>
      </w:r>
      <w:r w:rsidR="00544FE7">
        <w:t>rekrutací nabídnutých zhotovitelem budou</w:t>
      </w:r>
      <w:r>
        <w:t xml:space="preserve"> proveden</w:t>
      </w:r>
      <w:r w:rsidR="00544FE7">
        <w:t>y</w:t>
      </w:r>
      <w:r>
        <w:t xml:space="preserve"> pro hlavní vlnu dotazníkového šetření</w:t>
      </w:r>
      <w:r w:rsidR="004F7D4E">
        <w:t xml:space="preserve"> a případnou dorekrutaci</w:t>
      </w:r>
      <w:r>
        <w:t xml:space="preserve">. </w:t>
      </w:r>
      <w:r w:rsidR="004F7D4E">
        <w:t xml:space="preserve">Počty platných </w:t>
      </w:r>
      <w:r w:rsidR="004F7D4E" w:rsidRPr="004F7D4E">
        <w:t xml:space="preserve">rekrutací </w:t>
      </w:r>
      <w:r w:rsidR="004F7D4E">
        <w:t>za jednotlivé země musí odpovídat těmto podílům: ve Velké Británii 26</w:t>
      </w:r>
      <w:r w:rsidR="004F7D4E" w:rsidRPr="004F7D4E">
        <w:t xml:space="preserve"> %, ve Španělsku 20 % a v Portugalsku, České republice a Lotyšsku po 18 %. Platnou rekrutací se rozumí rekrutace respondenta, který dokončil dotazník a tento nebyl vyřazen při čištění dat zahrnujícím vyřazení neúplných záznamů, záznamů s logickými inkonzistencemi a „speederů“, tj. dotazníků vyplněných za čas kratší než 48 % mediánu času vyplnění</w:t>
      </w:r>
      <w:r w:rsidR="0080602D">
        <w:t>.</w:t>
      </w:r>
    </w:p>
    <w:p w14:paraId="468E7755" w14:textId="77777777" w:rsidR="00544FE7" w:rsidRDefault="0089708E" w:rsidP="009E3BD7">
      <w:pPr>
        <w:numPr>
          <w:ilvl w:val="0"/>
          <w:numId w:val="7"/>
        </w:numPr>
        <w:spacing w:after="0"/>
        <w:ind w:left="714" w:hanging="357"/>
        <w:jc w:val="both"/>
      </w:pPr>
      <w:r>
        <w:t xml:space="preserve">Vlastní dotazníkové šetření bude realizováno prostřednictvím plně funkčního dotazovacího prostředí objednatele (webová aplikace). Úkolem zhotovitele je: </w:t>
      </w:r>
    </w:p>
    <w:p w14:paraId="6284D131" w14:textId="25517007" w:rsidR="00544FE7" w:rsidRDefault="0089708E" w:rsidP="00611D46">
      <w:pPr>
        <w:numPr>
          <w:ilvl w:val="1"/>
          <w:numId w:val="7"/>
        </w:numPr>
        <w:tabs>
          <w:tab w:val="clear" w:pos="1440"/>
        </w:tabs>
        <w:spacing w:after="0"/>
        <w:ind w:left="1276"/>
        <w:jc w:val="both"/>
      </w:pPr>
      <w:r>
        <w:t xml:space="preserve">přesměrovat respondenty vybrané podle kvótního předpisu na webovou stránku dotazníku (odkaz poskytnutý </w:t>
      </w:r>
      <w:r w:rsidR="00AF0B53">
        <w:t>objednatelem</w:t>
      </w:r>
      <w:r>
        <w:t xml:space="preserve">), </w:t>
      </w:r>
    </w:p>
    <w:p w14:paraId="1C5A326C" w14:textId="4043835A" w:rsidR="00544FE7" w:rsidRDefault="0089708E" w:rsidP="00611D46">
      <w:pPr>
        <w:numPr>
          <w:ilvl w:val="1"/>
          <w:numId w:val="7"/>
        </w:numPr>
        <w:tabs>
          <w:tab w:val="clear" w:pos="1440"/>
        </w:tabs>
        <w:spacing w:after="0"/>
        <w:ind w:left="1276"/>
        <w:jc w:val="both"/>
      </w:pPr>
      <w:r>
        <w:t xml:space="preserve">průběžně poskytovat odchozí linky z webové aplikace dotazníku do prostředí </w:t>
      </w:r>
      <w:r w:rsidR="00425972">
        <w:t xml:space="preserve">zhotovitele </w:t>
      </w:r>
      <w:r>
        <w:t xml:space="preserve">(po vyplnění dotazníku, resp. v případě ukončení na kvótách či při screenoutu) a zaznamenávat přesměrování respondentů, </w:t>
      </w:r>
    </w:p>
    <w:p w14:paraId="4B4D291C" w14:textId="7912E01E" w:rsidR="008477B9" w:rsidRPr="00611D46" w:rsidRDefault="0089708E" w:rsidP="00611D46">
      <w:pPr>
        <w:numPr>
          <w:ilvl w:val="1"/>
          <w:numId w:val="7"/>
        </w:numPr>
        <w:tabs>
          <w:tab w:val="clear" w:pos="1440"/>
        </w:tabs>
        <w:spacing w:after="0"/>
        <w:ind w:left="1276"/>
        <w:jc w:val="both"/>
      </w:pPr>
      <w:r>
        <w:t xml:space="preserve">průběžně kontrolovat plnění kvót či upravovat jejich hodnoty s pomocí webového rozhraní </w:t>
      </w:r>
      <w:r w:rsidR="00AF0B53">
        <w:t>objednatele</w:t>
      </w:r>
      <w:r>
        <w:t>. Plnění kvót je možné sledovat v reálném čase.</w:t>
      </w:r>
    </w:p>
    <w:p w14:paraId="6A2EE2C6" w14:textId="77777777" w:rsidR="0089708E" w:rsidRDefault="008477B9" w:rsidP="00611D46">
      <w:pPr>
        <w:numPr>
          <w:ilvl w:val="1"/>
          <w:numId w:val="7"/>
        </w:numPr>
        <w:tabs>
          <w:tab w:val="clear" w:pos="1440"/>
        </w:tabs>
        <w:spacing w:after="0"/>
        <w:ind w:left="1276"/>
        <w:jc w:val="both"/>
      </w:pPr>
      <w:r>
        <w:t>provést dorekrutaci po kontrole a vyřazení neúplných záznamů, záznamů s logickými inkonzistencemi</w:t>
      </w:r>
      <w:r w:rsidRPr="00791405">
        <w:t xml:space="preserve"> a „speederů“, tj. dotazníků vyplněných za kratší dobu než ostatní dotazníky</w:t>
      </w:r>
      <w:r>
        <w:t>;</w:t>
      </w:r>
      <w:r w:rsidRPr="00791405">
        <w:t xml:space="preserve"> </w:t>
      </w:r>
      <w:r>
        <w:t xml:space="preserve">tyto budou určeny </w:t>
      </w:r>
      <w:r w:rsidRPr="00791405">
        <w:t>podle doporučení Survey Sampling International (2013)</w:t>
      </w:r>
      <w:r w:rsidRPr="00791405">
        <w:rPr>
          <w:rStyle w:val="Znakapoznpodarou"/>
        </w:rPr>
        <w:footnoteReference w:id="4"/>
      </w:r>
      <w:r w:rsidRPr="00791405">
        <w:t xml:space="preserve"> jako dotazníky</w:t>
      </w:r>
      <w:r>
        <w:t xml:space="preserve"> pod 48 % mediánu času vyplnění</w:t>
      </w:r>
      <w:r w:rsidR="001623A8" w:rsidRPr="00611D46">
        <w:t>.</w:t>
      </w:r>
    </w:p>
    <w:p w14:paraId="23BEAA56" w14:textId="77777777" w:rsidR="009E3BD7" w:rsidRPr="00791405" w:rsidRDefault="009E3BD7" w:rsidP="009B46C7">
      <w:pPr>
        <w:numPr>
          <w:ilvl w:val="0"/>
          <w:numId w:val="7"/>
        </w:numPr>
        <w:spacing w:after="0"/>
        <w:ind w:left="714" w:hanging="357"/>
        <w:jc w:val="both"/>
      </w:pPr>
      <w:r w:rsidRPr="00791405">
        <w:lastRenderedPageBreak/>
        <w:t xml:space="preserve">Součástí plnění </w:t>
      </w:r>
      <w:r w:rsidR="006C01C5">
        <w:t>díla je</w:t>
      </w:r>
      <w:r w:rsidR="0089708E">
        <w:t xml:space="preserve"> dále</w:t>
      </w:r>
      <w:r w:rsidR="009B46C7">
        <w:t>:</w:t>
      </w:r>
    </w:p>
    <w:p w14:paraId="64996800" w14:textId="77777777" w:rsidR="008477B9" w:rsidRDefault="008477B9" w:rsidP="00611D46">
      <w:pPr>
        <w:numPr>
          <w:ilvl w:val="0"/>
          <w:numId w:val="35"/>
        </w:numPr>
        <w:spacing w:before="60"/>
        <w:ind w:left="1276" w:hanging="357"/>
        <w:jc w:val="both"/>
      </w:pPr>
      <w:r>
        <w:t xml:space="preserve">poskytnutí odborné konzultace </w:t>
      </w:r>
      <w:r w:rsidR="004F7D4E">
        <w:t xml:space="preserve">o </w:t>
      </w:r>
      <w:r>
        <w:t>detailech rekrutace a k technické zprávě o průběhu rekrutace respondentů;</w:t>
      </w:r>
    </w:p>
    <w:p w14:paraId="6C37C221" w14:textId="642CE997" w:rsidR="008477B9" w:rsidRDefault="008477B9" w:rsidP="00611D46">
      <w:pPr>
        <w:numPr>
          <w:ilvl w:val="0"/>
          <w:numId w:val="35"/>
        </w:numPr>
        <w:spacing w:before="60"/>
        <w:ind w:left="1276" w:hanging="357"/>
        <w:jc w:val="both"/>
      </w:pPr>
      <w:r>
        <w:t xml:space="preserve">poskytnutí údajů, z nichž </w:t>
      </w:r>
      <w:r w:rsidR="00425972">
        <w:t xml:space="preserve">zhotovitel </w:t>
      </w:r>
      <w:r>
        <w:t>vycházel při nastavení kvót;</w:t>
      </w:r>
    </w:p>
    <w:p w14:paraId="321F6F0A" w14:textId="2A0A2817" w:rsidR="009B46C7" w:rsidRDefault="008477B9" w:rsidP="00611D46">
      <w:pPr>
        <w:numPr>
          <w:ilvl w:val="0"/>
          <w:numId w:val="35"/>
        </w:numPr>
        <w:spacing w:before="60"/>
        <w:ind w:left="1276" w:hanging="357"/>
        <w:jc w:val="both"/>
      </w:pPr>
      <w:r>
        <w:t xml:space="preserve">zpracování technické zprávy o průběhu rekrutace, která bude zahrnovat informace o zajištění motivace respondentů a o podílu pozvaných respondentů k počtu respondentů, kteří se šetření </w:t>
      </w:r>
      <w:r w:rsidR="00AF0B53">
        <w:t xml:space="preserve">objednatele </w:t>
      </w:r>
      <w:r>
        <w:t>zúčastnili (tj. non-response) pro šetření a to do 14 dní od ukončení rekrutace.</w:t>
      </w:r>
    </w:p>
    <w:p w14:paraId="680B7AE3" w14:textId="77777777" w:rsidR="00425972" w:rsidRPr="005505B7" w:rsidRDefault="00425972" w:rsidP="00D35CB3">
      <w:pPr>
        <w:autoSpaceDE w:val="0"/>
        <w:autoSpaceDN w:val="0"/>
        <w:adjustRightInd w:val="0"/>
      </w:pPr>
    </w:p>
    <w:p w14:paraId="6F66440F" w14:textId="77777777" w:rsidR="00D35CB3" w:rsidRPr="005505B7" w:rsidRDefault="00D35CB3" w:rsidP="00D35CB3">
      <w:pPr>
        <w:pStyle w:val="Nadpis3"/>
      </w:pPr>
      <w:r w:rsidRPr="005505B7">
        <w:t>Článek II.</w:t>
      </w:r>
      <w:r w:rsidRPr="005505B7">
        <w:br/>
      </w:r>
      <w:r w:rsidR="006C01C5">
        <w:t>Č</w:t>
      </w:r>
      <w:r w:rsidRPr="005505B7">
        <w:t>asový harmonogram</w:t>
      </w:r>
      <w:r w:rsidR="006C01C5">
        <w:t xml:space="preserve"> a splnění díla</w:t>
      </w:r>
    </w:p>
    <w:p w14:paraId="414DF227" w14:textId="2FCA2D63" w:rsidR="00D35CB3" w:rsidRDefault="00BA6822" w:rsidP="0075193E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>
        <w:t xml:space="preserve">Zhotovitel se </w:t>
      </w:r>
      <w:r w:rsidRPr="000E5397">
        <w:t xml:space="preserve">zavazuje plnit předmět smlouvy podle harmonogramu, který je </w:t>
      </w:r>
      <w:r w:rsidR="00026F41" w:rsidRPr="000E5397">
        <w:t>uveden v</w:t>
      </w:r>
      <w:r w:rsidR="005457D5">
        <w:t> </w:t>
      </w:r>
      <w:r w:rsidR="009E3BD7">
        <w:t>tabulce</w:t>
      </w:r>
      <w:r w:rsidRPr="000E5397">
        <w:t>.</w:t>
      </w:r>
      <w:r w:rsidR="00650C16" w:rsidRPr="000E5397">
        <w:t xml:space="preserve"> Doba plnění </w:t>
      </w:r>
      <w:r w:rsidR="00650C16" w:rsidRPr="00AB6ECB">
        <w:t>končí</w:t>
      </w:r>
      <w:r w:rsidR="007167C5" w:rsidRPr="00AB6ECB">
        <w:t xml:space="preserve"> </w:t>
      </w:r>
      <w:r w:rsidR="00076F84">
        <w:t xml:space="preserve">nejpozději </w:t>
      </w:r>
      <w:r w:rsidR="00F70E53">
        <w:t>30</w:t>
      </w:r>
      <w:r w:rsidR="0025336C" w:rsidRPr="0059570B">
        <w:t xml:space="preserve">. </w:t>
      </w:r>
      <w:r w:rsidR="00F70E53">
        <w:t>8</w:t>
      </w:r>
      <w:r w:rsidR="00076F84">
        <w:t>. 201</w:t>
      </w:r>
      <w:r w:rsidR="004F7D4E">
        <w:t>8</w:t>
      </w:r>
      <w:r w:rsidR="00076F84">
        <w:t>.</w:t>
      </w:r>
    </w:p>
    <w:p w14:paraId="664FA200" w14:textId="77777777" w:rsidR="009E3BD7" w:rsidRDefault="009E3BD7" w:rsidP="009E3BD7">
      <w:pPr>
        <w:autoSpaceDE w:val="0"/>
        <w:autoSpaceDN w:val="0"/>
        <w:adjustRightInd w:val="0"/>
        <w:spacing w:line="240" w:lineRule="auto"/>
        <w:ind w:left="360"/>
        <w:jc w:val="both"/>
      </w:pPr>
    </w:p>
    <w:p w14:paraId="1806C00E" w14:textId="77777777" w:rsidR="009E3BD7" w:rsidRPr="0059570B" w:rsidRDefault="009E3BD7" w:rsidP="00974096">
      <w:pPr>
        <w:pStyle w:val="Titulek"/>
        <w:spacing w:after="120" w:line="240" w:lineRule="auto"/>
        <w:rPr>
          <w:sz w:val="22"/>
          <w:szCs w:val="22"/>
        </w:rPr>
      </w:pPr>
      <w:r w:rsidRPr="0059570B">
        <w:rPr>
          <w:sz w:val="22"/>
          <w:szCs w:val="22"/>
        </w:rPr>
        <w:t>Tabulka</w:t>
      </w:r>
      <w:r w:rsidR="0075193E">
        <w:rPr>
          <w:sz w:val="22"/>
          <w:szCs w:val="22"/>
        </w:rPr>
        <w:t xml:space="preserve"> </w:t>
      </w:r>
      <w:r w:rsidRPr="0059570B">
        <w:rPr>
          <w:sz w:val="22"/>
          <w:szCs w:val="22"/>
        </w:rPr>
        <w:t xml:space="preserve">– Harmonogram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9E3BD7" w:rsidRPr="0059570B" w14:paraId="729AC7D9" w14:textId="77777777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9BB2" w14:textId="77777777" w:rsidR="009E3BD7" w:rsidRPr="0059570B" w:rsidRDefault="009E3BD7" w:rsidP="00F502E2">
            <w:pPr>
              <w:spacing w:after="120" w:line="240" w:lineRule="auto"/>
              <w:rPr>
                <w:b/>
              </w:rPr>
            </w:pPr>
            <w:r w:rsidRPr="0059570B">
              <w:rPr>
                <w:b/>
              </w:rPr>
              <w:t>Aktivita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7DC" w14:textId="77777777" w:rsidR="009E3BD7" w:rsidRPr="0059570B" w:rsidRDefault="009E3BD7" w:rsidP="00F502E2">
            <w:pPr>
              <w:spacing w:after="120" w:line="240" w:lineRule="auto"/>
              <w:jc w:val="center"/>
              <w:rPr>
                <w:b/>
              </w:rPr>
            </w:pPr>
            <w:r w:rsidRPr="0059570B">
              <w:rPr>
                <w:b/>
              </w:rPr>
              <w:t xml:space="preserve">termín </w:t>
            </w:r>
          </w:p>
        </w:tc>
      </w:tr>
      <w:tr w:rsidR="009E3BD7" w:rsidRPr="0059570B" w14:paraId="1788612A" w14:textId="77777777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C35F" w14:textId="7A3C00C9" w:rsidR="009E3BD7" w:rsidRPr="0059570B" w:rsidRDefault="004723A8" w:rsidP="00AF0B53">
            <w:pPr>
              <w:spacing w:after="120" w:line="240" w:lineRule="auto"/>
            </w:pPr>
            <w:r w:rsidRPr="00455324">
              <w:t xml:space="preserve">Zpřístupnění dotazovacího prostředí </w:t>
            </w:r>
            <w:r w:rsidR="00AF0B53">
              <w:t>objedn</w:t>
            </w:r>
            <w:r w:rsidR="00AF0B53" w:rsidRPr="00455324">
              <w:t xml:space="preserve">atele </w:t>
            </w:r>
            <w:r w:rsidRPr="00455324">
              <w:t>(webové aplikace)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F0F2" w14:textId="77777777" w:rsidR="009E3BD7" w:rsidRPr="0059570B" w:rsidRDefault="009E3BD7" w:rsidP="00627BFD">
            <w:pPr>
              <w:spacing w:after="120" w:line="240" w:lineRule="auto"/>
              <w:jc w:val="center"/>
            </w:pPr>
            <w:r w:rsidRPr="0059570B">
              <w:t xml:space="preserve">do </w:t>
            </w:r>
            <w:r w:rsidR="00896D05">
              <w:t>30</w:t>
            </w:r>
            <w:r w:rsidR="000A5229" w:rsidRPr="0059570B">
              <w:t xml:space="preserve"> </w:t>
            </w:r>
            <w:r w:rsidRPr="0059570B">
              <w:t>kalendářních dn</w:t>
            </w:r>
            <w:r w:rsidR="000A5229">
              <w:t>ů</w:t>
            </w:r>
            <w:r w:rsidRPr="0059570B">
              <w:t xml:space="preserve"> od uzavření smlouvy o dílo</w:t>
            </w:r>
          </w:p>
        </w:tc>
      </w:tr>
      <w:tr w:rsidR="009E3BD7" w:rsidRPr="0059570B" w14:paraId="1D6A80AC" w14:textId="77777777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3570" w14:textId="77777777" w:rsidR="009E3BD7" w:rsidRPr="0059570B" w:rsidRDefault="009B46C7" w:rsidP="00611D46">
            <w:pPr>
              <w:spacing w:after="120" w:line="240" w:lineRule="auto"/>
            </w:pPr>
            <w:r>
              <w:t>Rekrutace</w:t>
            </w:r>
            <w:r w:rsidR="009E3BD7" w:rsidRPr="0059570B">
              <w:t xml:space="preserve"> </w:t>
            </w:r>
            <w:r>
              <w:t xml:space="preserve">respondentů pro </w:t>
            </w:r>
            <w:r w:rsidR="009E3BD7" w:rsidRPr="0059570B">
              <w:t>pilot</w:t>
            </w:r>
            <w:r>
              <w:t>ní</w:t>
            </w:r>
            <w:r w:rsidR="009E3BD7" w:rsidRPr="0059570B">
              <w:t xml:space="preserve"> šetření (N= cca </w:t>
            </w:r>
            <w:r w:rsidR="004F7D4E">
              <w:t>10</w:t>
            </w:r>
            <w:r>
              <w:t>0</w:t>
            </w:r>
            <w:r w:rsidRPr="0059570B">
              <w:t>0</w:t>
            </w:r>
            <w:r w:rsidR="009E3BD7" w:rsidRPr="0059570B">
              <w:t>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F7D5" w14:textId="6AF70658" w:rsidR="009E3BD7" w:rsidRPr="0059570B" w:rsidRDefault="009E3BD7" w:rsidP="00AF0B53">
            <w:pPr>
              <w:spacing w:after="120" w:line="240" w:lineRule="auto"/>
              <w:jc w:val="center"/>
            </w:pPr>
            <w:r w:rsidRPr="0059570B">
              <w:t xml:space="preserve">do </w:t>
            </w:r>
            <w:r w:rsidR="00996296" w:rsidRPr="0059570B">
              <w:t>1</w:t>
            </w:r>
            <w:r w:rsidR="00996296">
              <w:t>0</w:t>
            </w:r>
            <w:r w:rsidR="00996296" w:rsidRPr="0059570B">
              <w:t xml:space="preserve"> </w:t>
            </w:r>
            <w:r w:rsidRPr="0059570B">
              <w:t xml:space="preserve">kalendářních dnů od </w:t>
            </w:r>
            <w:r w:rsidR="004723A8">
              <w:t>z</w:t>
            </w:r>
            <w:r w:rsidR="004723A8" w:rsidRPr="00455324">
              <w:t xml:space="preserve">přístupnění dotazovacího prostředí </w:t>
            </w:r>
            <w:r w:rsidR="00AF0B53">
              <w:t>objedn</w:t>
            </w:r>
            <w:r w:rsidR="00AF0B53" w:rsidRPr="00455324">
              <w:t xml:space="preserve">atele </w:t>
            </w:r>
            <w:r w:rsidR="004723A8" w:rsidRPr="00455324">
              <w:t>(webové aplikace)</w:t>
            </w:r>
          </w:p>
        </w:tc>
      </w:tr>
      <w:tr w:rsidR="009E3BD7" w:rsidRPr="0059570B" w14:paraId="7F5F5DE8" w14:textId="77777777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F53E" w14:textId="77777777" w:rsidR="009E3BD7" w:rsidRPr="0059570B" w:rsidRDefault="009B46C7" w:rsidP="004E73EA">
            <w:pPr>
              <w:spacing w:after="120" w:line="240" w:lineRule="auto"/>
            </w:pPr>
            <w:r>
              <w:t>Rekrutace</w:t>
            </w:r>
            <w:r w:rsidRPr="0059570B">
              <w:t xml:space="preserve"> </w:t>
            </w:r>
            <w:r>
              <w:t xml:space="preserve">respondentů </w:t>
            </w:r>
            <w:r w:rsidR="009E3BD7" w:rsidRPr="0059570B">
              <w:t xml:space="preserve">hlavní </w:t>
            </w:r>
            <w:r w:rsidRPr="0059570B">
              <w:t>vln</w:t>
            </w:r>
            <w:r>
              <w:t>u</w:t>
            </w:r>
            <w:r w:rsidRPr="0059570B">
              <w:t xml:space="preserve"> </w:t>
            </w:r>
            <w:r w:rsidR="009E3BD7" w:rsidRPr="0059570B">
              <w:t xml:space="preserve">šetření </w:t>
            </w:r>
            <w:r w:rsidR="004F7D4E">
              <w:t>a případná dorekrutace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0C2F" w14:textId="77777777" w:rsidR="009E3BD7" w:rsidRPr="0059570B" w:rsidRDefault="009E3BD7" w:rsidP="00F502E2">
            <w:pPr>
              <w:spacing w:after="120" w:line="240" w:lineRule="auto"/>
              <w:jc w:val="center"/>
            </w:pPr>
            <w:r w:rsidRPr="0059570B">
              <w:t xml:space="preserve">začne do </w:t>
            </w:r>
            <w:r>
              <w:t>2</w:t>
            </w:r>
            <w:r w:rsidRPr="0059570B">
              <w:t>0 kalendářních dnů od ukončení pilotního šetření a bude trvat nejdéle 28 kalendářních dní</w:t>
            </w:r>
          </w:p>
        </w:tc>
      </w:tr>
      <w:tr w:rsidR="009E3BD7" w:rsidRPr="0059570B" w14:paraId="32FE6E83" w14:textId="77777777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90A2" w14:textId="77777777" w:rsidR="009E3BD7" w:rsidRPr="0059570B" w:rsidRDefault="009E3BD7" w:rsidP="004E73EA">
            <w:pPr>
              <w:spacing w:after="120" w:line="240" w:lineRule="auto"/>
            </w:pPr>
            <w:r w:rsidRPr="0059570B">
              <w:t xml:space="preserve">Technická zpráva o průběhu </w:t>
            </w:r>
            <w:r w:rsidR="009B46C7">
              <w:t>rekrutace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5A5C" w14:textId="77777777" w:rsidR="009E3BD7" w:rsidRPr="0059570B" w:rsidRDefault="009E3BD7" w:rsidP="0075193E">
            <w:pPr>
              <w:spacing w:after="120" w:line="240" w:lineRule="auto"/>
              <w:jc w:val="center"/>
            </w:pPr>
            <w:r w:rsidRPr="0059570B">
              <w:t xml:space="preserve">do 14 kalendářních dnů od skončení </w:t>
            </w:r>
            <w:r w:rsidR="0075193E">
              <w:t>rekrutace</w:t>
            </w:r>
          </w:p>
        </w:tc>
      </w:tr>
    </w:tbl>
    <w:p w14:paraId="65E2716D" w14:textId="77777777" w:rsidR="009E3BD7" w:rsidRPr="005505B7" w:rsidRDefault="009E3BD7" w:rsidP="009E3BD7">
      <w:pPr>
        <w:autoSpaceDE w:val="0"/>
        <w:autoSpaceDN w:val="0"/>
        <w:adjustRightInd w:val="0"/>
        <w:spacing w:line="240" w:lineRule="auto"/>
        <w:ind w:left="360"/>
        <w:jc w:val="both"/>
      </w:pPr>
    </w:p>
    <w:p w14:paraId="3B265AA2" w14:textId="77777777" w:rsidR="00D35CB3" w:rsidRPr="005505B7" w:rsidRDefault="00D35CB3" w:rsidP="00915F97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5505B7">
        <w:t xml:space="preserve">Předmět smlouvy bude splněn předáním </w:t>
      </w:r>
      <w:r>
        <w:t>posledního z</w:t>
      </w:r>
      <w:r w:rsidR="00F94775">
        <w:t> </w:t>
      </w:r>
      <w:r w:rsidRPr="005505B7">
        <w:t>výstupů</w:t>
      </w:r>
      <w:r w:rsidR="00F94775">
        <w:t xml:space="preserve"> (</w:t>
      </w:r>
      <w:r w:rsidR="009B46C7">
        <w:t>technické zprávy</w:t>
      </w:r>
      <w:r w:rsidR="00F94775">
        <w:t>)</w:t>
      </w:r>
      <w:r w:rsidRPr="005505B7">
        <w:t xml:space="preserve"> </w:t>
      </w:r>
      <w:r w:rsidR="00C95908">
        <w:t>zhotovitelem</w:t>
      </w:r>
      <w:r w:rsidR="004B1361">
        <w:t xml:space="preserve"> </w:t>
      </w:r>
      <w:r w:rsidR="006576A6">
        <w:t>pověřené osobě</w:t>
      </w:r>
      <w:r w:rsidR="00C95908">
        <w:t xml:space="preserve"> objednatele</w:t>
      </w:r>
      <w:r w:rsidRPr="005505B7">
        <w:t xml:space="preserve">. O převzetí a předání díla bude pořízen písemný protokol, který bude podepsán za objednatele a zhotovitele </w:t>
      </w:r>
      <w:r w:rsidR="006576A6">
        <w:t>pověřeným</w:t>
      </w:r>
      <w:r w:rsidR="000F0E99">
        <w:t>i</w:t>
      </w:r>
      <w:r w:rsidR="006576A6">
        <w:t xml:space="preserve"> osobami</w:t>
      </w:r>
      <w:r w:rsidR="009B46C7">
        <w:t>, a budou v něm</w:t>
      </w:r>
      <w:r w:rsidR="009B46C7" w:rsidRPr="005505B7">
        <w:t xml:space="preserve"> uvedeny případné vady </w:t>
      </w:r>
      <w:r w:rsidR="009B46C7">
        <w:t xml:space="preserve">a nedodělky </w:t>
      </w:r>
      <w:r w:rsidR="009B46C7" w:rsidRPr="005505B7">
        <w:t>díla</w:t>
      </w:r>
      <w:r w:rsidRPr="005505B7">
        <w:t>.</w:t>
      </w:r>
    </w:p>
    <w:p w14:paraId="496FD23E" w14:textId="77777777" w:rsidR="00D35CB3" w:rsidRPr="005505B7" w:rsidRDefault="00D35CB3" w:rsidP="00D35CB3">
      <w:pPr>
        <w:autoSpaceDE w:val="0"/>
        <w:autoSpaceDN w:val="0"/>
        <w:adjustRightInd w:val="0"/>
      </w:pPr>
    </w:p>
    <w:p w14:paraId="61E162BF" w14:textId="77777777" w:rsidR="00D35CB3" w:rsidRPr="005505B7" w:rsidRDefault="00D35CB3" w:rsidP="00D35CB3">
      <w:pPr>
        <w:pStyle w:val="Nadpis3"/>
      </w:pPr>
      <w:r w:rsidRPr="005505B7">
        <w:t>Článek III.</w:t>
      </w:r>
      <w:r w:rsidRPr="005505B7">
        <w:br/>
        <w:t>Práva a povinnosti zhotovitele</w:t>
      </w:r>
    </w:p>
    <w:p w14:paraId="1E962B81" w14:textId="77777777" w:rsidR="00D35CB3" w:rsidRPr="005505B7" w:rsidRDefault="00D35CB3" w:rsidP="00915F97">
      <w:pPr>
        <w:numPr>
          <w:ilvl w:val="0"/>
          <w:numId w:val="28"/>
        </w:numPr>
        <w:jc w:val="both"/>
      </w:pPr>
      <w:r w:rsidRPr="005505B7">
        <w:t xml:space="preserve">Zhotovitel je povinen provést dílo na svůj náklad a na své nebezpečí za cenu, v termínech a podmínek ve smlouvě uvedených. </w:t>
      </w:r>
    </w:p>
    <w:p w14:paraId="020FBFD8" w14:textId="77777777" w:rsidR="00D35CB3" w:rsidRPr="000E5397" w:rsidRDefault="00D35CB3" w:rsidP="00915F97">
      <w:pPr>
        <w:numPr>
          <w:ilvl w:val="0"/>
          <w:numId w:val="28"/>
        </w:numPr>
        <w:jc w:val="both"/>
      </w:pPr>
      <w:r w:rsidRPr="000E5397">
        <w:t xml:space="preserve">Zhotovitel nesmí zahájit vlastní realizaci díla bez </w:t>
      </w:r>
      <w:r w:rsidR="009B46C7">
        <w:t>vyrozumění</w:t>
      </w:r>
      <w:r w:rsidR="009B46C7" w:rsidRPr="000E5397">
        <w:t xml:space="preserve"> </w:t>
      </w:r>
      <w:r w:rsidRPr="000E5397">
        <w:t>objednatele</w:t>
      </w:r>
      <w:r w:rsidR="009B46C7">
        <w:t>m</w:t>
      </w:r>
      <w:r w:rsidRPr="000E5397">
        <w:t xml:space="preserve"> </w:t>
      </w:r>
      <w:r w:rsidR="009B46C7">
        <w:t xml:space="preserve">o dokončení </w:t>
      </w:r>
      <w:r w:rsidRPr="000E5397">
        <w:t xml:space="preserve">dotazníku pro </w:t>
      </w:r>
      <w:r w:rsidR="009B46C7">
        <w:t>pilotní šetření a pro hlavní vlnu</w:t>
      </w:r>
      <w:r w:rsidRPr="000E5397">
        <w:t>.</w:t>
      </w:r>
    </w:p>
    <w:p w14:paraId="313F7BFD" w14:textId="77777777" w:rsidR="00D35CB3" w:rsidRPr="000E5397" w:rsidRDefault="00D35CB3" w:rsidP="00915F97">
      <w:pPr>
        <w:numPr>
          <w:ilvl w:val="0"/>
          <w:numId w:val="28"/>
        </w:numPr>
        <w:jc w:val="both"/>
      </w:pPr>
      <w:r w:rsidRPr="000E5397">
        <w:t xml:space="preserve">Při provádění díla postupuje zhotovitel samostatně při určení způsobu provedení díla. Zavazuje se však respektovat </w:t>
      </w:r>
      <w:r w:rsidR="00113B9C" w:rsidRPr="000E5397">
        <w:t xml:space="preserve">dílčí </w:t>
      </w:r>
      <w:r w:rsidRPr="000E5397">
        <w:t xml:space="preserve">požadavky objednatele na provedení </w:t>
      </w:r>
      <w:r w:rsidR="009B46C7">
        <w:t>rekrutace</w:t>
      </w:r>
      <w:r w:rsidRPr="000E5397">
        <w:t>, pokud náklady nepřekročí</w:t>
      </w:r>
      <w:r w:rsidR="00113B9C" w:rsidRPr="000E5397">
        <w:t xml:space="preserve"> dohodnutou cenu za předmět plnění</w:t>
      </w:r>
      <w:r w:rsidRPr="000E5397">
        <w:t xml:space="preserve">, a pokud neodporují zákonným normám a </w:t>
      </w:r>
      <w:r w:rsidR="004A5F1D" w:rsidRPr="000E5397">
        <w:t>této smlouvě</w:t>
      </w:r>
      <w:r w:rsidRPr="000E5397">
        <w:t xml:space="preserve">. </w:t>
      </w:r>
    </w:p>
    <w:p w14:paraId="6B846D6E" w14:textId="77777777" w:rsidR="00D35CB3" w:rsidRPr="00650C16" w:rsidRDefault="00D35CB3" w:rsidP="00915F97">
      <w:pPr>
        <w:numPr>
          <w:ilvl w:val="0"/>
          <w:numId w:val="28"/>
        </w:numPr>
        <w:jc w:val="both"/>
      </w:pPr>
      <w:r w:rsidRPr="00650C16">
        <w:lastRenderedPageBreak/>
        <w:t>Zhotovitel díla může pověřit zhotovením části díla jinou osobu</w:t>
      </w:r>
      <w:r w:rsidR="002922F1">
        <w:t xml:space="preserve">, pouze pokud v nabídce k příslušné veřejné zakázce uvedl plnění prostřednictvím </w:t>
      </w:r>
      <w:r w:rsidR="009B46C7">
        <w:t>poddodavatele</w:t>
      </w:r>
      <w:r w:rsidR="00813022">
        <w:t xml:space="preserve">, současně platí, že zhotovitel nemůže pověřit zhotovením části díla jinou třetí osobu než </w:t>
      </w:r>
      <w:r w:rsidR="009B46C7">
        <w:t>poddodavatele</w:t>
      </w:r>
      <w:r w:rsidR="00813022">
        <w:t xml:space="preserve">. </w:t>
      </w:r>
      <w:r w:rsidRPr="00650C16">
        <w:t>Při provádění díla jinou osobou má zhotovitel odpovědnost, jako by dílo prováděl sám.</w:t>
      </w:r>
    </w:p>
    <w:p w14:paraId="5267019B" w14:textId="77777777" w:rsidR="00D35CB3" w:rsidRPr="005505B7" w:rsidRDefault="00D35CB3" w:rsidP="00915F97">
      <w:pPr>
        <w:numPr>
          <w:ilvl w:val="0"/>
          <w:numId w:val="28"/>
        </w:numPr>
        <w:jc w:val="both"/>
      </w:pPr>
      <w:r w:rsidRPr="005505B7">
        <w:t>Zhotovitel n</w:t>
      </w:r>
      <w:r w:rsidR="00A5719C">
        <w:t>e</w:t>
      </w:r>
      <w:r w:rsidRPr="005505B7">
        <w:t>odpovídá za uplatnění výsledků dotazníkov</w:t>
      </w:r>
      <w:r>
        <w:t>ých</w:t>
      </w:r>
      <w:r w:rsidRPr="005505B7">
        <w:t xml:space="preserve"> šetření ve vědecké nebo výzkumné praxi objednatele a neodpovídá za interpretace dat a výsledků objednatelem. </w:t>
      </w:r>
    </w:p>
    <w:p w14:paraId="54B57FD5" w14:textId="77777777" w:rsidR="00874E8F" w:rsidRDefault="00D35CB3" w:rsidP="00915F97">
      <w:pPr>
        <w:numPr>
          <w:ilvl w:val="0"/>
          <w:numId w:val="28"/>
        </w:numPr>
        <w:jc w:val="both"/>
      </w:pPr>
      <w:r w:rsidRPr="005505B7">
        <w:t>Zhotovitel odpovídá za vady, jež má dílo v době předání.</w:t>
      </w:r>
    </w:p>
    <w:p w14:paraId="1B7648E2" w14:textId="77777777" w:rsidR="00425972" w:rsidRPr="00915F97" w:rsidRDefault="00425972" w:rsidP="00915F97">
      <w:pPr>
        <w:jc w:val="both"/>
      </w:pPr>
    </w:p>
    <w:p w14:paraId="64168447" w14:textId="77777777" w:rsidR="00D35CB3" w:rsidRDefault="00D35CB3" w:rsidP="00D35CB3">
      <w:pPr>
        <w:pStyle w:val="Nadpis3"/>
      </w:pPr>
      <w:r w:rsidRPr="005505B7">
        <w:t>Článek IV.</w:t>
      </w:r>
      <w:r w:rsidRPr="005505B7">
        <w:br/>
        <w:t>Práva a povinnosti objednatele</w:t>
      </w:r>
    </w:p>
    <w:p w14:paraId="4EDD8915" w14:textId="77777777" w:rsidR="00113B9C" w:rsidRPr="00065977" w:rsidRDefault="00113B9C" w:rsidP="00915F97">
      <w:pPr>
        <w:numPr>
          <w:ilvl w:val="0"/>
          <w:numId w:val="29"/>
        </w:numPr>
        <w:jc w:val="both"/>
      </w:pPr>
      <w:r>
        <w:t>Objednatel se zavazuje</w:t>
      </w:r>
      <w:r w:rsidR="00B13B3B">
        <w:t xml:space="preserve"> převzít předmět </w:t>
      </w:r>
      <w:r w:rsidR="00854B6F">
        <w:t>plnění a zaplatit</w:t>
      </w:r>
      <w:r>
        <w:t xml:space="preserve"> zhotoviteli </w:t>
      </w:r>
      <w:r w:rsidR="00B13B3B">
        <w:t>dohodnutou cenu v souladu s čl. V. této smlouvy.</w:t>
      </w:r>
    </w:p>
    <w:p w14:paraId="23E0DD0C" w14:textId="77777777" w:rsidR="00D35CB3" w:rsidRPr="00065977" w:rsidRDefault="00B13B3B" w:rsidP="00915F97">
      <w:pPr>
        <w:numPr>
          <w:ilvl w:val="0"/>
          <w:numId w:val="29"/>
        </w:numPr>
        <w:jc w:val="both"/>
      </w:pPr>
      <w:r>
        <w:t xml:space="preserve">Objednatel se zavazuje poskytnout zhotoviteli součinnost v rozsahu nezbytném pro dosažení splnění předmětu a účelu této smlouvy. </w:t>
      </w:r>
      <w:r w:rsidR="00D35CB3" w:rsidRPr="005505B7">
        <w:t>Objednatel se zavazuje reagovat na požadavky zhotovitele o potvrzení instrumentů výzkumu</w:t>
      </w:r>
      <w:r w:rsidR="00E54399">
        <w:t xml:space="preserve"> a použité</w:t>
      </w:r>
      <w:r w:rsidR="00D35CB3" w:rsidRPr="005505B7">
        <w:t xml:space="preserve"> metodologie a snažit se předejít zbytečným časovým zdržením.</w:t>
      </w:r>
    </w:p>
    <w:p w14:paraId="048CD6DA" w14:textId="77777777" w:rsidR="00D35CB3" w:rsidRPr="00065977" w:rsidRDefault="00D35CB3" w:rsidP="00915F97">
      <w:pPr>
        <w:numPr>
          <w:ilvl w:val="0"/>
          <w:numId w:val="29"/>
        </w:numPr>
        <w:jc w:val="both"/>
      </w:pPr>
      <w:r w:rsidRPr="005505B7">
        <w:t xml:space="preserve">Objednatel se zavazuje poskytnout zhotoviteli všechny informace nutné pro splnění svých požadavků a pro </w:t>
      </w:r>
      <w:r w:rsidR="002C5E97">
        <w:t>řádné</w:t>
      </w:r>
      <w:r w:rsidR="002C5E97" w:rsidRPr="005505B7">
        <w:t xml:space="preserve"> </w:t>
      </w:r>
      <w:r w:rsidRPr="005505B7">
        <w:t>vykonání díla. Toto ustanovení se vztahuje i na informování zhotovitele o všech skutečnostech, které by mohly ovlivnit předmět plnění smlouvy, tak aby tyto skutečnosti mohl vzít zhotovitel v úvahu při zpracování díla.</w:t>
      </w:r>
    </w:p>
    <w:p w14:paraId="2A1B133B" w14:textId="77777777" w:rsidR="001010AD" w:rsidRPr="00065977" w:rsidRDefault="00D35CB3" w:rsidP="00915F97">
      <w:pPr>
        <w:numPr>
          <w:ilvl w:val="0"/>
          <w:numId w:val="29"/>
        </w:numPr>
        <w:jc w:val="both"/>
      </w:pPr>
      <w:r w:rsidRPr="005505B7">
        <w:t>Objednatel neodpovídá za škody, které zhotovitel při provádění předmětu plnění smlouvy způsobí třetím osobám.</w:t>
      </w:r>
    </w:p>
    <w:p w14:paraId="23D6C797" w14:textId="77777777" w:rsidR="00425972" w:rsidRPr="00C3739F" w:rsidRDefault="00425972" w:rsidP="00D35CB3">
      <w:pPr>
        <w:autoSpaceDE w:val="0"/>
        <w:autoSpaceDN w:val="0"/>
        <w:adjustRightInd w:val="0"/>
      </w:pPr>
    </w:p>
    <w:p w14:paraId="62F4EDB2" w14:textId="77777777" w:rsidR="00D35CB3" w:rsidRDefault="00D35CB3" w:rsidP="00D35CB3">
      <w:pPr>
        <w:pStyle w:val="Nadpis3"/>
      </w:pPr>
      <w:r w:rsidRPr="005505B7">
        <w:t>Článek V.</w:t>
      </w:r>
      <w:r w:rsidRPr="005505B7">
        <w:br/>
        <w:t xml:space="preserve">Cena </w:t>
      </w:r>
      <w:r w:rsidR="001F420A">
        <w:t>díla</w:t>
      </w:r>
      <w:r w:rsidRPr="005505B7">
        <w:t>, fakturační a platební podmínky</w:t>
      </w:r>
    </w:p>
    <w:p w14:paraId="694FB17C" w14:textId="77777777" w:rsidR="00854B6F" w:rsidRDefault="00854B6F" w:rsidP="00915F97">
      <w:pPr>
        <w:numPr>
          <w:ilvl w:val="0"/>
          <w:numId w:val="30"/>
        </w:numPr>
      </w:pPr>
      <w:r>
        <w:t>C</w:t>
      </w:r>
      <w:r w:rsidR="001F420A">
        <w:t>elková c</w:t>
      </w:r>
      <w:r>
        <w:t xml:space="preserve">ena za </w:t>
      </w:r>
      <w:r w:rsidR="001F420A">
        <w:t>dílo</w:t>
      </w:r>
      <w:r>
        <w:t xml:space="preserve"> </w:t>
      </w:r>
      <w:r w:rsidR="00E54399">
        <w:t xml:space="preserve">je sjednána </w:t>
      </w:r>
      <w:r>
        <w:t>ve výši:</w:t>
      </w:r>
    </w:p>
    <w:p w14:paraId="3158CA80" w14:textId="77777777" w:rsidR="00854B6F" w:rsidRDefault="005434C3" w:rsidP="00774958">
      <w:r>
        <w:t xml:space="preserve">      </w:t>
      </w:r>
      <w:r w:rsidR="00854B6F">
        <w:t>Cena bez DPH:</w:t>
      </w:r>
      <w:r w:rsidR="00F91A4E">
        <w:t xml:space="preserve"> </w:t>
      </w:r>
      <w:r w:rsidR="00544FE7">
        <w:t>1 250 </w:t>
      </w:r>
      <w:r w:rsidR="000A5229">
        <w:t xml:space="preserve">000,- </w:t>
      </w:r>
      <w:r w:rsidR="00F91A4E">
        <w:t>Kč</w:t>
      </w:r>
      <w:r w:rsidR="00544FE7">
        <w:t xml:space="preserve"> (</w:t>
      </w:r>
      <w:r w:rsidR="00544FE7" w:rsidRPr="00DC04B1">
        <w:t>slovy: jeden milion dvě stě padesát tisíc korun českých</w:t>
      </w:r>
      <w:r w:rsidR="00544FE7">
        <w:t>)</w:t>
      </w:r>
    </w:p>
    <w:p w14:paraId="365D4BEB" w14:textId="77777777" w:rsidR="00854B6F" w:rsidRDefault="005434C3" w:rsidP="00774958">
      <w:r>
        <w:t xml:space="preserve">      </w:t>
      </w:r>
      <w:r w:rsidR="00854B6F">
        <w:t>DPH 21 %:</w:t>
      </w:r>
      <w:r w:rsidR="00F91A4E">
        <w:t xml:space="preserve"> </w:t>
      </w:r>
      <w:r w:rsidR="00544FE7">
        <w:t>262 5</w:t>
      </w:r>
      <w:r w:rsidR="00A85BE0">
        <w:t>0</w:t>
      </w:r>
      <w:r w:rsidR="000A5229">
        <w:t xml:space="preserve">0,- </w:t>
      </w:r>
      <w:r w:rsidR="00F91A4E">
        <w:t>Kč</w:t>
      </w:r>
      <w:r w:rsidR="00544FE7">
        <w:t xml:space="preserve"> (slovy: dvě stě šedesát tisíc pět set korun českých)</w:t>
      </w:r>
    </w:p>
    <w:p w14:paraId="343651C9" w14:textId="77777777" w:rsidR="00854B6F" w:rsidRDefault="005434C3" w:rsidP="00794D7F">
      <w:pPr>
        <w:jc w:val="both"/>
      </w:pPr>
      <w:r>
        <w:t xml:space="preserve">      </w:t>
      </w:r>
      <w:r w:rsidR="00854B6F">
        <w:t>Cena včetně DPH:</w:t>
      </w:r>
      <w:r w:rsidR="00F91A4E">
        <w:t xml:space="preserve"> </w:t>
      </w:r>
      <w:r w:rsidR="00794D7F">
        <w:t xml:space="preserve">1 </w:t>
      </w:r>
      <w:r w:rsidR="00544FE7">
        <w:t>512 5</w:t>
      </w:r>
      <w:r w:rsidR="00794D7F">
        <w:t>00</w:t>
      </w:r>
      <w:r w:rsidR="000A5229">
        <w:t xml:space="preserve">,- </w:t>
      </w:r>
      <w:r w:rsidR="00F91A4E">
        <w:t>Kč</w:t>
      </w:r>
      <w:r w:rsidR="00544FE7">
        <w:t xml:space="preserve"> (</w:t>
      </w:r>
      <w:r w:rsidR="00544FE7" w:rsidRPr="00DC04B1">
        <w:t>slovy: jeden milion</w:t>
      </w:r>
      <w:r w:rsidR="00544FE7" w:rsidRPr="00544FE7">
        <w:t xml:space="preserve"> </w:t>
      </w:r>
      <w:r w:rsidR="00544FE7">
        <w:t>pět set dvanáct tisíc pět set korun českých)</w:t>
      </w:r>
    </w:p>
    <w:p w14:paraId="22EC5693" w14:textId="77777777" w:rsidR="00854B6F" w:rsidRDefault="00854B6F" w:rsidP="00915F97">
      <w:pPr>
        <w:numPr>
          <w:ilvl w:val="0"/>
          <w:numId w:val="30"/>
        </w:numPr>
        <w:jc w:val="both"/>
      </w:pPr>
      <w:r>
        <w:t>V</w:t>
      </w:r>
      <w:r w:rsidR="001F420A">
        <w:t xml:space="preserve"> celkové </w:t>
      </w:r>
      <w:r>
        <w:t>ceně</w:t>
      </w:r>
      <w:r w:rsidR="001F420A">
        <w:t xml:space="preserve"> dle odst. 1 tohoto článku</w:t>
      </w:r>
      <w:r>
        <w:t xml:space="preserve"> jsou započteny veškeré náklady související s plněním předmětu smlouvy. Cena je nejvýše přípustná a lze ji překročit pouze v souvislosti </w:t>
      </w:r>
      <w:r w:rsidR="00494267">
        <w:t>s</w:t>
      </w:r>
      <w:r>
        <w:t xml:space="preserve">e </w:t>
      </w:r>
      <w:r w:rsidR="00494267">
        <w:t>změnou</w:t>
      </w:r>
      <w:r>
        <w:t xml:space="preserve"> daňo</w:t>
      </w:r>
      <w:r w:rsidR="00494267">
        <w:t>vých předpisů týkajících se DPH.</w:t>
      </w:r>
    </w:p>
    <w:p w14:paraId="5FC214F9" w14:textId="77777777" w:rsidR="009A37A0" w:rsidRDefault="009A37A0" w:rsidP="00915F97">
      <w:pPr>
        <w:numPr>
          <w:ilvl w:val="0"/>
          <w:numId w:val="30"/>
        </w:numPr>
        <w:jc w:val="both"/>
      </w:pPr>
      <w:r>
        <w:t xml:space="preserve">Platba bude provedena bankovním převodem na základě faktury – daňového dokladu vystaveného zhotovitelem po převzetí předmětu smlouvy, resp. podpisu předávacího protokolu. Splatnost faktury je 30 dnů ode dne jejího doručení objednateli. </w:t>
      </w:r>
    </w:p>
    <w:p w14:paraId="33AB90EA" w14:textId="77777777" w:rsidR="00494267" w:rsidRDefault="00494267" w:rsidP="00915F97">
      <w:pPr>
        <w:numPr>
          <w:ilvl w:val="0"/>
          <w:numId w:val="30"/>
        </w:numPr>
        <w:jc w:val="both"/>
      </w:pPr>
      <w:r>
        <w:t>Cen</w:t>
      </w:r>
      <w:r w:rsidR="00E75AD1">
        <w:t>a</w:t>
      </w:r>
      <w:r>
        <w:t xml:space="preserve"> za předmět plnění bude </w:t>
      </w:r>
      <w:r w:rsidR="00F967A5">
        <w:t>objednatelem u</w:t>
      </w:r>
      <w:r>
        <w:t xml:space="preserve">hrazena </w:t>
      </w:r>
      <w:r w:rsidR="00F967A5">
        <w:t xml:space="preserve">na základě faktury, kterou </w:t>
      </w:r>
      <w:r>
        <w:t xml:space="preserve">zhotovitel vystaví ke dni převzetí předmětu smlouvy </w:t>
      </w:r>
      <w:r w:rsidR="000B16E1">
        <w:t xml:space="preserve">bez vad a nedodělků. </w:t>
      </w:r>
    </w:p>
    <w:p w14:paraId="57E32F88" w14:textId="77777777" w:rsidR="009A37A0" w:rsidRDefault="00650C16" w:rsidP="00915F97">
      <w:pPr>
        <w:numPr>
          <w:ilvl w:val="0"/>
          <w:numId w:val="30"/>
        </w:numPr>
        <w:jc w:val="both"/>
      </w:pPr>
      <w:r>
        <w:t>F</w:t>
      </w:r>
      <w:r w:rsidR="009A37A0">
        <w:t>aktura musí obsahovat veškeré náležitosti účetního a daňového dokladu ve smyslu příslušných právních před</w:t>
      </w:r>
      <w:r w:rsidR="005434C3">
        <w:t>pisů, zejména zákona č. 235/2004</w:t>
      </w:r>
      <w:r w:rsidR="009A37A0">
        <w:t xml:space="preserve"> Sb., o dani z přidané hodnoty, v platném znění.</w:t>
      </w:r>
    </w:p>
    <w:p w14:paraId="41A35C08" w14:textId="77777777" w:rsidR="000A5229" w:rsidRDefault="000A5229" w:rsidP="000A5229">
      <w:pPr>
        <w:numPr>
          <w:ilvl w:val="0"/>
          <w:numId w:val="30"/>
        </w:numPr>
        <w:jc w:val="both"/>
      </w:pPr>
      <w:r>
        <w:t>Faktura musí obsahovat:</w:t>
      </w:r>
    </w:p>
    <w:p w14:paraId="330E80C4" w14:textId="77777777" w:rsidR="000A5229" w:rsidRDefault="000A5229" w:rsidP="000A5229">
      <w:pPr>
        <w:numPr>
          <w:ilvl w:val="1"/>
          <w:numId w:val="32"/>
        </w:numPr>
        <w:jc w:val="both"/>
      </w:pPr>
      <w:r>
        <w:t>evidenční číslo dokladu,</w:t>
      </w:r>
    </w:p>
    <w:p w14:paraId="4E6E9B38" w14:textId="77777777" w:rsidR="000A5229" w:rsidRDefault="000A5229" w:rsidP="000A5229">
      <w:pPr>
        <w:numPr>
          <w:ilvl w:val="1"/>
          <w:numId w:val="32"/>
        </w:numPr>
        <w:jc w:val="both"/>
      </w:pPr>
      <w:r>
        <w:lastRenderedPageBreak/>
        <w:t>název a sídlo objednatele a zhotovitele,</w:t>
      </w:r>
    </w:p>
    <w:p w14:paraId="0445A025" w14:textId="77777777" w:rsidR="000A5229" w:rsidRDefault="000A5229" w:rsidP="000A5229">
      <w:pPr>
        <w:numPr>
          <w:ilvl w:val="1"/>
          <w:numId w:val="32"/>
        </w:numPr>
        <w:jc w:val="both"/>
      </w:pPr>
      <w:r>
        <w:t>rozsah a předmět díla,</w:t>
      </w:r>
    </w:p>
    <w:p w14:paraId="7E1D5506" w14:textId="77777777" w:rsidR="000A5229" w:rsidRDefault="000A5229" w:rsidP="000A5229">
      <w:pPr>
        <w:numPr>
          <w:ilvl w:val="1"/>
          <w:numId w:val="32"/>
        </w:numPr>
        <w:jc w:val="both"/>
      </w:pPr>
      <w:r>
        <w:t>číslo smlouvy a den jejího uzavření,</w:t>
      </w:r>
    </w:p>
    <w:p w14:paraId="4653C01D" w14:textId="77777777" w:rsidR="000A5229" w:rsidRDefault="000A5229" w:rsidP="000A5229">
      <w:pPr>
        <w:numPr>
          <w:ilvl w:val="1"/>
          <w:numId w:val="32"/>
        </w:numPr>
        <w:jc w:val="both"/>
      </w:pPr>
      <w:r>
        <w:t>datum vystavení daňového dokladu, datum splatnosti a datum uskutečnění zdanitelného plnění,</w:t>
      </w:r>
    </w:p>
    <w:p w14:paraId="15FDF8F9" w14:textId="77777777" w:rsidR="000A5229" w:rsidRDefault="000A5229" w:rsidP="000A5229">
      <w:pPr>
        <w:numPr>
          <w:ilvl w:val="1"/>
          <w:numId w:val="32"/>
        </w:numPr>
        <w:jc w:val="both"/>
      </w:pPr>
      <w:r>
        <w:t>označení banky a číslo účtu, na který má být zaplaceno (viz záhlaví této smlouvy) a který je zveřejněn na stránkách správce daně způsobem umožňujícím dálkový přístup,</w:t>
      </w:r>
    </w:p>
    <w:p w14:paraId="4B45132A" w14:textId="77777777" w:rsidR="000A5229" w:rsidRDefault="000A5229" w:rsidP="000A5229">
      <w:pPr>
        <w:numPr>
          <w:ilvl w:val="1"/>
          <w:numId w:val="32"/>
        </w:numPr>
        <w:jc w:val="both"/>
      </w:pPr>
      <w:r>
        <w:t>jednotkové ceny v Kč bez DPH, množství, základ daně, sazbu daně a její výši, pokud nejde o plnění dle § 92 e) zák. č. 235/2004 Sb., o dani z přidané hodnoty, v platném znění, cenu s DPH,</w:t>
      </w:r>
    </w:p>
    <w:p w14:paraId="33FD20A1" w14:textId="77777777" w:rsidR="000A5229" w:rsidRDefault="000A5229" w:rsidP="000A5229">
      <w:pPr>
        <w:numPr>
          <w:ilvl w:val="1"/>
          <w:numId w:val="32"/>
        </w:numPr>
        <w:jc w:val="both"/>
      </w:pPr>
      <w:r>
        <w:t>číselný kód klasifikace CZ – CPA a v případě plnění dle § 92 e) zák. č. 235/2004 Sb., o dani z přidané hodnoty, v platném znění, údaj „daň odvede zákazník“,</w:t>
      </w:r>
    </w:p>
    <w:p w14:paraId="10D98952" w14:textId="77777777" w:rsidR="000A5229" w:rsidRDefault="000A5229" w:rsidP="000A5229">
      <w:pPr>
        <w:numPr>
          <w:ilvl w:val="1"/>
          <w:numId w:val="32"/>
        </w:numPr>
        <w:jc w:val="both"/>
      </w:pPr>
      <w:r>
        <w:t>čísla a data vyhotovení soupisů provedených prací a zjišťovacích protokolů,</w:t>
      </w:r>
    </w:p>
    <w:p w14:paraId="0475D78C" w14:textId="77777777" w:rsidR="000A5229" w:rsidRDefault="000A5229" w:rsidP="000A5229">
      <w:pPr>
        <w:numPr>
          <w:ilvl w:val="1"/>
          <w:numId w:val="32"/>
        </w:numPr>
        <w:jc w:val="both"/>
      </w:pPr>
      <w:r>
        <w:t>IČO a DIČ zhotovitele a objednatele,</w:t>
      </w:r>
    </w:p>
    <w:p w14:paraId="37DAD7A6" w14:textId="77777777" w:rsidR="000A5229" w:rsidRDefault="000A5229" w:rsidP="000A5229">
      <w:pPr>
        <w:numPr>
          <w:ilvl w:val="1"/>
          <w:numId w:val="32"/>
        </w:numPr>
        <w:jc w:val="both"/>
      </w:pPr>
      <w:r>
        <w:t>podpis oprávněné osoby.</w:t>
      </w:r>
    </w:p>
    <w:p w14:paraId="618FC136" w14:textId="77777777" w:rsidR="009A37A0" w:rsidRDefault="009A37A0" w:rsidP="00915F97">
      <w:pPr>
        <w:numPr>
          <w:ilvl w:val="0"/>
          <w:numId w:val="30"/>
        </w:numPr>
        <w:jc w:val="both"/>
      </w:pPr>
      <w:r>
        <w:t xml:space="preserve">Objednatel je oprávněn ve lhůtě splatnosti vrátit zhotoviteli fakturu k opravě nebo doplnění aniž tím bude v prodlení se zaplacením. V takovém případě běží nová lhůta splatnosti ode dne </w:t>
      </w:r>
      <w:r w:rsidR="00937BA3">
        <w:t xml:space="preserve">doručení řádně </w:t>
      </w:r>
      <w:r>
        <w:t>opravených dokladů objednateli.</w:t>
      </w:r>
    </w:p>
    <w:p w14:paraId="62F42083" w14:textId="77777777" w:rsidR="00D35CB3" w:rsidRDefault="007B719C" w:rsidP="00915F97">
      <w:pPr>
        <w:numPr>
          <w:ilvl w:val="0"/>
          <w:numId w:val="30"/>
        </w:numPr>
        <w:jc w:val="both"/>
      </w:pPr>
      <w:r w:rsidRPr="00E54399">
        <w:t>Fakturační adresa</w:t>
      </w:r>
      <w:r w:rsidR="00D35CB3" w:rsidRPr="00E54399">
        <w:t xml:space="preserve"> je: Univerzita Karlova, Ovocný trh </w:t>
      </w:r>
      <w:r w:rsidR="00E706B3">
        <w:t>560</w:t>
      </w:r>
      <w:r w:rsidR="00D35CB3" w:rsidRPr="00E54399">
        <w:t>/5, Praha 1, 116 36; poštovní adresa pro zaslání faktury: Univerzita Karlova, Centrum pro otázky životního prostředí, J. Martího 2/407, 162 00 Praha 6.</w:t>
      </w:r>
    </w:p>
    <w:p w14:paraId="4A903102" w14:textId="77777777" w:rsidR="000F645E" w:rsidRPr="00E54399" w:rsidRDefault="000F645E" w:rsidP="00627BFD">
      <w:pPr>
        <w:numPr>
          <w:ilvl w:val="0"/>
          <w:numId w:val="30"/>
        </w:numPr>
        <w:jc w:val="both"/>
      </w:pPr>
      <w:r w:rsidRPr="00B13914">
        <w:t>V případě, že se zhotovitel stane nespolehlivým plátcem ve smyslu § 106a zák. č. 235/2004 Sb., o dani z přidané hodnoty, v platném znění, je povinen o tom neprodleně písemně informovat objednatele. Bude-li prodávající ke dni uskutečnění zdanitelného plnění veden jako nespolehlivý plátce, bude část ceny plnění dle této smlouvy, odpovídající nezaplacené dani z přidané hodnoty, uhrazena přímo na účet správce daně v souladu s ust. § 109a zák. č. 235/2004 Sb., o dani z přidané hodnoty, v platném znění. O tuto částku bude ponížena celková cena plnění dle této smlouvy a zhotovitel obdrží cenu objednaného plnění dle této smlouvy bez DPH. V případě, že se zhotovitel stane nespolehlivým plátcem ve smyslu tohoto odstavce, má objednatel současně právo od této smlouvy odstoupit.</w:t>
      </w:r>
    </w:p>
    <w:p w14:paraId="18B4F764" w14:textId="77777777" w:rsidR="00D35CB3" w:rsidRPr="005505B7" w:rsidRDefault="00D35CB3" w:rsidP="00D35CB3">
      <w:pPr>
        <w:autoSpaceDE w:val="0"/>
        <w:autoSpaceDN w:val="0"/>
        <w:adjustRightInd w:val="0"/>
      </w:pPr>
    </w:p>
    <w:p w14:paraId="71836CC0" w14:textId="77777777" w:rsidR="00D35CB3" w:rsidRPr="005505B7" w:rsidRDefault="00D35CB3" w:rsidP="00D35CB3">
      <w:pPr>
        <w:pStyle w:val="Nadpis3"/>
      </w:pPr>
      <w:r w:rsidRPr="005505B7">
        <w:t>Článek VI.</w:t>
      </w:r>
      <w:r w:rsidRPr="005505B7">
        <w:br/>
      </w:r>
      <w:r w:rsidR="003C7919">
        <w:t>Sankce</w:t>
      </w:r>
    </w:p>
    <w:p w14:paraId="59EFEF25" w14:textId="77777777" w:rsidR="000F645E" w:rsidRDefault="000F645E" w:rsidP="000F645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 xml:space="preserve">Objednatel má právo na smluvní pokutu ve výši 0,05 % z celkové ceny díla za každý den prodlení s plněním povinností zhotovitele vyplývajících z čl. II. této smlouvy. </w:t>
      </w:r>
    </w:p>
    <w:p w14:paraId="64B63FC5" w14:textId="77777777" w:rsidR="000F645E" w:rsidRPr="005505B7" w:rsidRDefault="000F645E" w:rsidP="000F645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>Objednatel má právo na smluvní pokutu ve výši 10 % z celkové ceny díla za porušení kterékoliv z povinností zhotovitele uvedených v čl. III. této smlouvy.</w:t>
      </w:r>
    </w:p>
    <w:p w14:paraId="3EB966E5" w14:textId="77777777" w:rsidR="000F645E" w:rsidRPr="005505B7" w:rsidRDefault="000F645E" w:rsidP="000F645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>Zhotovitel má právo na smluvní pokutu ve výši 0,05 % z celkové ceny díla za každý den prodlení s plněním povinností objednatele vyplývajících z čl. V. této smlouvy.</w:t>
      </w:r>
    </w:p>
    <w:p w14:paraId="69AD4278" w14:textId="77777777" w:rsidR="000F645E" w:rsidRDefault="000F645E" w:rsidP="000F645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13914">
        <w:t>Objednatel má právo od této smlouvy odstoupit v případě, že zhotovitel poruší kteroukoliv z povinností uvedených v čl. III. této smlouvy, přičemž účinky odstoupení od smlouvy nastanou dnem doručení písemného oznámení o odstoupení zhotoviteli.</w:t>
      </w:r>
    </w:p>
    <w:p w14:paraId="36DBE949" w14:textId="77777777" w:rsidR="000F645E" w:rsidRPr="004463C7" w:rsidRDefault="000F645E" w:rsidP="000F645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4463C7">
        <w:rPr>
          <w:color w:val="000000"/>
        </w:rPr>
        <w:lastRenderedPageBreak/>
        <w:t>Zaplacení jakékoli</w:t>
      </w:r>
      <w:r>
        <w:rPr>
          <w:color w:val="000000"/>
        </w:rPr>
        <w:t>v</w:t>
      </w:r>
      <w:r w:rsidRPr="00B95301">
        <w:t xml:space="preserve"> </w:t>
      </w:r>
      <w:r>
        <w:t>smluvní pokuty</w:t>
      </w:r>
      <w:r w:rsidRPr="00B95301">
        <w:t xml:space="preserve"> dle této smlouvy se nedotýká práva objednatele na náhradu způsobené škody</w:t>
      </w:r>
      <w:r>
        <w:t xml:space="preserve"> ani určení výše této škody</w:t>
      </w:r>
      <w:r w:rsidRPr="00B95301">
        <w:t>.</w:t>
      </w:r>
    </w:p>
    <w:p w14:paraId="01B3BC42" w14:textId="77777777" w:rsidR="00425972" w:rsidRPr="00B95301" w:rsidRDefault="00425972" w:rsidP="004463C7">
      <w:pPr>
        <w:widowControl w:val="0"/>
        <w:adjustRightInd w:val="0"/>
        <w:spacing w:after="120" w:line="240" w:lineRule="auto"/>
        <w:jc w:val="both"/>
        <w:textAlignment w:val="baseline"/>
        <w:rPr>
          <w:color w:val="000000"/>
          <w:sz w:val="24"/>
        </w:rPr>
      </w:pPr>
    </w:p>
    <w:p w14:paraId="3C45124E" w14:textId="77777777" w:rsidR="00D35CB3" w:rsidRPr="000F2FC0" w:rsidRDefault="00D35CB3" w:rsidP="00D35CB3">
      <w:pPr>
        <w:pStyle w:val="Nadpis3"/>
      </w:pPr>
      <w:r w:rsidRPr="005505B7">
        <w:t>Článek VII.</w:t>
      </w:r>
      <w:r w:rsidR="00E54399">
        <w:br/>
      </w:r>
      <w:r w:rsidRPr="000F2FC0">
        <w:t>Závěrečná ustanovení</w:t>
      </w:r>
    </w:p>
    <w:p w14:paraId="40DC16B9" w14:textId="77777777" w:rsidR="00D35CB3" w:rsidRPr="005505B7" w:rsidRDefault="00D35CB3" w:rsidP="00611D46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505B7">
        <w:t xml:space="preserve">Smluvní strany se vzájemně zavazují, že budou chránit a utajovat před třetími osobami získané osobní údaje, informace povahy obchodního tajemství i jiné informace obchodní, výrobní či technické povahy, pokud nejsou běžně dostupné či všeobecně známé. </w:t>
      </w:r>
    </w:p>
    <w:p w14:paraId="56608F9F" w14:textId="77777777" w:rsidR="00D35CB3" w:rsidRPr="005505B7" w:rsidRDefault="00007B9B" w:rsidP="00185AC7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 xml:space="preserve">Změny nebo dodatky této smlouvy musí být provedeny písemně a musí být odsouhlaseny oběma </w:t>
      </w:r>
      <w:r w:rsidR="00E17B0F">
        <w:t xml:space="preserve">smluvními </w:t>
      </w:r>
      <w:r>
        <w:t>stranami.</w:t>
      </w:r>
    </w:p>
    <w:p w14:paraId="5172AD7D" w14:textId="77777777" w:rsidR="00D35CB3" w:rsidRPr="005505B7" w:rsidRDefault="00D35CB3" w:rsidP="00185AC7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505B7">
        <w:t>Veškeré písemnosti vyplývající ze smlouvy budou zasílány na adresy</w:t>
      </w:r>
      <w:r w:rsidR="00007B9B">
        <w:t xml:space="preserve"> objednatele a zhotovitele</w:t>
      </w:r>
      <w:r w:rsidRPr="005505B7">
        <w:t xml:space="preserve"> uvedené v</w:t>
      </w:r>
      <w:r w:rsidR="005B7B54">
        <w:t xml:space="preserve"> záhlaví </w:t>
      </w:r>
      <w:r w:rsidR="00007B9B">
        <w:t>této</w:t>
      </w:r>
      <w:r w:rsidRPr="005505B7">
        <w:t xml:space="preserve"> </w:t>
      </w:r>
      <w:r w:rsidR="005B7B54" w:rsidRPr="005505B7">
        <w:t>smlouv</w:t>
      </w:r>
      <w:r w:rsidR="005B7B54">
        <w:t>y</w:t>
      </w:r>
      <w:r w:rsidRPr="005505B7">
        <w:t>.</w:t>
      </w:r>
    </w:p>
    <w:p w14:paraId="37766F60" w14:textId="77777777" w:rsidR="00D35CB3" w:rsidRPr="005505B7" w:rsidRDefault="00D35CB3" w:rsidP="00185AC7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505B7">
        <w:t xml:space="preserve">Tato smlouva se vyhotovuje ve čtyřech stejnopisech, po dvou pro každou ze smluvních stran. </w:t>
      </w:r>
    </w:p>
    <w:p w14:paraId="559B7CFB" w14:textId="21BB4A64" w:rsidR="00007B9B" w:rsidRDefault="005434C3" w:rsidP="00185AC7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>Smlouva nabývá platnosti dnem podpisu poslední ze zúčastněných stran</w:t>
      </w:r>
      <w:r w:rsidR="00AF0B53" w:rsidRPr="00AF0B53">
        <w:t xml:space="preserve"> </w:t>
      </w:r>
      <w:r w:rsidR="00AF0B53">
        <w:t>a účinnosti dnem uveřejnění smlouvy v registru smluv dle následujícího odstavce tohoto článku</w:t>
      </w:r>
      <w:r>
        <w:t>.</w:t>
      </w:r>
    </w:p>
    <w:p w14:paraId="14250E5A" w14:textId="35D8220D" w:rsidR="00AF0B53" w:rsidRDefault="00AF0B53" w:rsidP="00185AC7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 xml:space="preserve">Smluvní strany berou na vědomí, že tato smlouva vyžaduje uveřejnění v registru smluv podle zákona č. 340/2015 Sb., ve znění pozdějších předpisů a s tímto uveřejněním souhlasí. Uveřejněn bude celý text smlouvy. Zaslání smlouvy do registru zajistí objednatel neprodleně po nabytí platnosti smlouvy. Objednatel se současně zavazuje informovat zhotovitele o provedení registrace smlouvy tak, že zašle zhotoviteli kopii potvrzení správce registru smluv o uveřejnění smlouvy bez zbytečného odkladu poté, kdy sám potvrzení obdrží, popř. v průvodním formuláři pro registraci smlouvy vyplní příslušnou kolonku s ID datové schránky </w:t>
      </w:r>
      <w:r w:rsidR="00425972">
        <w:t>zhotovi</w:t>
      </w:r>
      <w:r>
        <w:t xml:space="preserve">tele (v takovém případě potvrzení od správce registru smluv o provedení registrace obdrží obě smluvní strany zároveň). </w:t>
      </w:r>
    </w:p>
    <w:p w14:paraId="56EBCB7F" w14:textId="2921B1E0" w:rsidR="002A7FA0" w:rsidRPr="005505B7" w:rsidRDefault="002A7FA0" w:rsidP="0022799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 xml:space="preserve">Nedílnou součástí této smlouvy je následující příloha: Příloha č. 1 – </w:t>
      </w:r>
      <w:r w:rsidRPr="002A7FA0">
        <w:t xml:space="preserve">Parametry aktivních panelů, které použije </w:t>
      </w:r>
      <w:r w:rsidR="00425972">
        <w:t>zhotovi</w:t>
      </w:r>
      <w:r w:rsidR="00425972" w:rsidRPr="002A7FA0">
        <w:t xml:space="preserve">tel </w:t>
      </w:r>
      <w:r w:rsidRPr="002A7FA0">
        <w:t>pro cílové země</w:t>
      </w:r>
      <w:r>
        <w:t>.</w:t>
      </w:r>
    </w:p>
    <w:p w14:paraId="4916917C" w14:textId="77777777" w:rsidR="00D35CB3" w:rsidRPr="005505B7" w:rsidRDefault="00D35CB3" w:rsidP="00D35CB3">
      <w:pPr>
        <w:autoSpaceDE w:val="0"/>
        <w:autoSpaceDN w:val="0"/>
        <w:adjustRightInd w:val="0"/>
        <w:rPr>
          <w:lang w:val="pl-PL"/>
        </w:rPr>
      </w:pPr>
    </w:p>
    <w:p w14:paraId="59CCAF7B" w14:textId="77777777" w:rsidR="009E3BD7" w:rsidRDefault="009E3BD7" w:rsidP="00D35CB3">
      <w:pPr>
        <w:autoSpaceDE w:val="0"/>
        <w:autoSpaceDN w:val="0"/>
        <w:adjustRightInd w:val="0"/>
        <w:rPr>
          <w:lang w:val="pl-PL"/>
        </w:rPr>
      </w:pPr>
    </w:p>
    <w:p w14:paraId="1C74F1DB" w14:textId="77777777" w:rsidR="00D35CB3" w:rsidRDefault="00D35CB3" w:rsidP="00D35CB3">
      <w:pPr>
        <w:autoSpaceDE w:val="0"/>
        <w:autoSpaceDN w:val="0"/>
        <w:adjustRightInd w:val="0"/>
        <w:rPr>
          <w:lang w:val="pl-PL"/>
        </w:rPr>
      </w:pPr>
    </w:p>
    <w:tbl>
      <w:tblPr>
        <w:tblW w:w="9858" w:type="dxa"/>
        <w:tblLook w:val="00A0" w:firstRow="1" w:lastRow="0" w:firstColumn="1" w:lastColumn="0" w:noHBand="0" w:noVBand="0"/>
      </w:tblPr>
      <w:tblGrid>
        <w:gridCol w:w="4929"/>
        <w:gridCol w:w="4929"/>
      </w:tblGrid>
      <w:tr w:rsidR="00D35CB3" w:rsidRPr="00595FFA" w14:paraId="7CAE8E12" w14:textId="77777777">
        <w:trPr>
          <w:trHeight w:val="264"/>
        </w:trPr>
        <w:tc>
          <w:tcPr>
            <w:tcW w:w="4929" w:type="dxa"/>
          </w:tcPr>
          <w:p w14:paraId="4D6F25D1" w14:textId="77777777" w:rsidR="00D35CB3" w:rsidRDefault="00D35CB3" w:rsidP="00EB7B62">
            <w:pPr>
              <w:pStyle w:val="NoSpacing1"/>
            </w:pPr>
            <w:r>
              <w:t>V Praze dne</w:t>
            </w:r>
          </w:p>
        </w:tc>
        <w:tc>
          <w:tcPr>
            <w:tcW w:w="4929" w:type="dxa"/>
          </w:tcPr>
          <w:p w14:paraId="3C0A92CD" w14:textId="582BCAD2" w:rsidR="00D35CB3" w:rsidRDefault="00425972" w:rsidP="00C01317">
            <w:pPr>
              <w:pStyle w:val="NoSpacing1"/>
            </w:pPr>
            <w:r>
              <w:t>V Praze dne</w:t>
            </w:r>
          </w:p>
        </w:tc>
      </w:tr>
      <w:tr w:rsidR="00D35CB3" w:rsidRPr="00595FFA" w14:paraId="29707788" w14:textId="77777777">
        <w:trPr>
          <w:trHeight w:val="1432"/>
        </w:trPr>
        <w:tc>
          <w:tcPr>
            <w:tcW w:w="4929" w:type="dxa"/>
          </w:tcPr>
          <w:p w14:paraId="4F8D534E" w14:textId="77777777" w:rsidR="00D35CB3" w:rsidRPr="00DD5289" w:rsidRDefault="00D35CB3" w:rsidP="00EB7B62">
            <w:pPr>
              <w:pStyle w:val="NoSpacing1"/>
            </w:pPr>
          </w:p>
          <w:p w14:paraId="7BC1C075" w14:textId="77777777" w:rsidR="001B5FED" w:rsidRPr="00DD5289" w:rsidRDefault="001B5FED" w:rsidP="00EB7B62">
            <w:pPr>
              <w:pStyle w:val="NoSpacing1"/>
            </w:pPr>
          </w:p>
          <w:p w14:paraId="530142A3" w14:textId="77777777" w:rsidR="00D35CB3" w:rsidRPr="00DD5289" w:rsidRDefault="00D35CB3" w:rsidP="00EB7B62">
            <w:pPr>
              <w:pStyle w:val="NoSpacing1"/>
            </w:pPr>
            <w:r w:rsidRPr="00DD5289">
              <w:t>_______________________________</w:t>
            </w:r>
          </w:p>
          <w:p w14:paraId="7266440C" w14:textId="77777777" w:rsidR="00E8277F" w:rsidRPr="00DD5289" w:rsidRDefault="00D35CB3" w:rsidP="00E8277F">
            <w:r w:rsidRPr="00DD5289">
              <w:t>Za objednatele</w:t>
            </w:r>
            <w:r w:rsidR="00E8277F" w:rsidRPr="00DD5289">
              <w:t xml:space="preserve"> </w:t>
            </w:r>
          </w:p>
          <w:p w14:paraId="584D8295" w14:textId="77777777" w:rsidR="00D35CB3" w:rsidRPr="00DD5289" w:rsidRDefault="00837113" w:rsidP="00837113">
            <w:r w:rsidRPr="00076F84">
              <w:t>Ing. Miroslava Oliveriusová</w:t>
            </w:r>
          </w:p>
        </w:tc>
        <w:tc>
          <w:tcPr>
            <w:tcW w:w="4929" w:type="dxa"/>
          </w:tcPr>
          <w:p w14:paraId="309782A5" w14:textId="77777777" w:rsidR="00D35CB3" w:rsidRDefault="00D35CB3" w:rsidP="00EB7B62">
            <w:pPr>
              <w:pStyle w:val="NoSpacing1"/>
            </w:pPr>
          </w:p>
          <w:p w14:paraId="3F7BB8BA" w14:textId="77777777" w:rsidR="001B5FED" w:rsidRDefault="001B5FED" w:rsidP="00EB7B62">
            <w:pPr>
              <w:pStyle w:val="NoSpacing1"/>
            </w:pPr>
          </w:p>
          <w:p w14:paraId="086A87AC" w14:textId="77777777" w:rsidR="00D35CB3" w:rsidRDefault="00D35CB3" w:rsidP="00EB7B62">
            <w:pPr>
              <w:pStyle w:val="NoSpacing1"/>
            </w:pPr>
            <w:r>
              <w:t>______________________</w:t>
            </w:r>
            <w:r w:rsidR="00F91A4E">
              <w:t>________</w:t>
            </w:r>
          </w:p>
          <w:p w14:paraId="1C62E77E" w14:textId="77777777" w:rsidR="00D35CB3" w:rsidRPr="00425972" w:rsidRDefault="00D35CB3" w:rsidP="00425972">
            <w:r w:rsidRPr="00425972">
              <w:t>Za zhotovitele</w:t>
            </w:r>
          </w:p>
          <w:p w14:paraId="79E38BA0" w14:textId="19579C93" w:rsidR="00425972" w:rsidRDefault="00425972" w:rsidP="00425972">
            <w:r>
              <w:t>Ing. Jan Tuček, ředitel a prokurista</w:t>
            </w:r>
          </w:p>
        </w:tc>
      </w:tr>
    </w:tbl>
    <w:p w14:paraId="5AA6605D" w14:textId="77777777" w:rsidR="00EB7B62" w:rsidRDefault="00EB7B62" w:rsidP="00D35CB3">
      <w:pPr>
        <w:rPr>
          <w:b/>
        </w:rPr>
      </w:pPr>
    </w:p>
    <w:p w14:paraId="3BCBC653" w14:textId="77777777" w:rsidR="001978D6" w:rsidRDefault="001978D6" w:rsidP="00D35CB3">
      <w:pPr>
        <w:rPr>
          <w:b/>
        </w:rPr>
      </w:pPr>
      <w:r>
        <w:rPr>
          <w:b/>
        </w:rPr>
        <w:br w:type="page"/>
      </w:r>
    </w:p>
    <w:p w14:paraId="13841F45" w14:textId="77777777" w:rsidR="001978D6" w:rsidRDefault="007D076F" w:rsidP="007D076F">
      <w:pPr>
        <w:tabs>
          <w:tab w:val="left" w:pos="5205"/>
        </w:tabs>
        <w:rPr>
          <w:b/>
        </w:rPr>
      </w:pPr>
      <w:r>
        <w:rPr>
          <w:b/>
        </w:rPr>
        <w:lastRenderedPageBreak/>
        <w:t xml:space="preserve">Příloha č. 1 </w:t>
      </w:r>
    </w:p>
    <w:p w14:paraId="4EB0479F" w14:textId="77777777" w:rsidR="007D076F" w:rsidRDefault="007D076F" w:rsidP="001978D6">
      <w:pPr>
        <w:tabs>
          <w:tab w:val="left" w:pos="3750"/>
        </w:tabs>
        <w:rPr>
          <w:b/>
        </w:rPr>
      </w:pPr>
    </w:p>
    <w:p w14:paraId="5BB88962" w14:textId="0CB1A629" w:rsidR="007D076F" w:rsidRPr="0022799D" w:rsidRDefault="007D076F" w:rsidP="0022799D">
      <w:pPr>
        <w:tabs>
          <w:tab w:val="left" w:pos="3750"/>
        </w:tabs>
        <w:jc w:val="center"/>
        <w:rPr>
          <w:b/>
          <w:u w:val="single"/>
        </w:rPr>
      </w:pPr>
      <w:r w:rsidRPr="0022799D">
        <w:rPr>
          <w:b/>
          <w:u w:val="single"/>
        </w:rPr>
        <w:t xml:space="preserve">Parametry aktivních panelů, které použije </w:t>
      </w:r>
      <w:r w:rsidR="00425972">
        <w:rPr>
          <w:b/>
          <w:u w:val="single"/>
        </w:rPr>
        <w:t>zhotovit</w:t>
      </w:r>
      <w:r w:rsidR="00425972" w:rsidRPr="0022799D">
        <w:rPr>
          <w:b/>
          <w:u w:val="single"/>
        </w:rPr>
        <w:t xml:space="preserve">el </w:t>
      </w:r>
      <w:r w:rsidRPr="0022799D">
        <w:rPr>
          <w:b/>
          <w:u w:val="single"/>
        </w:rPr>
        <w:t xml:space="preserve">pro </w:t>
      </w:r>
      <w:r w:rsidR="00F3418E" w:rsidRPr="0022799D">
        <w:rPr>
          <w:b/>
          <w:u w:val="single"/>
        </w:rPr>
        <w:t xml:space="preserve">cílové </w:t>
      </w:r>
      <w:r w:rsidRPr="0022799D">
        <w:rPr>
          <w:b/>
          <w:u w:val="single"/>
        </w:rPr>
        <w:t>země</w:t>
      </w:r>
    </w:p>
    <w:p w14:paraId="517B60A6" w14:textId="77777777" w:rsidR="001978D6" w:rsidRDefault="001978D6" w:rsidP="001978D6">
      <w:pPr>
        <w:tabs>
          <w:tab w:val="left" w:pos="3750"/>
        </w:tabs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7"/>
        <w:gridCol w:w="1203"/>
        <w:gridCol w:w="1203"/>
        <w:gridCol w:w="1204"/>
        <w:gridCol w:w="1203"/>
        <w:gridCol w:w="1204"/>
      </w:tblGrid>
      <w:tr w:rsidR="001978D6" w:rsidRPr="00BC21E2" w14:paraId="27A39FFE" w14:textId="77777777" w:rsidTr="001978D6">
        <w:trPr>
          <w:trHeight w:val="510"/>
        </w:trPr>
        <w:tc>
          <w:tcPr>
            <w:tcW w:w="39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37974D" w14:textId="77777777" w:rsidR="001978D6" w:rsidRPr="00BC21E2" w:rsidRDefault="001978D6" w:rsidP="001978D6">
            <w:pPr>
              <w:spacing w:after="0"/>
            </w:pPr>
          </w:p>
        </w:tc>
        <w:tc>
          <w:tcPr>
            <w:tcW w:w="1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B41407" w14:textId="77777777" w:rsidR="001978D6" w:rsidRPr="003A27A8" w:rsidRDefault="001978D6" w:rsidP="001978D6">
            <w:pPr>
              <w:spacing w:after="0"/>
              <w:jc w:val="center"/>
              <w:rPr>
                <w:b/>
              </w:rPr>
            </w:pPr>
            <w:r w:rsidRPr="003A27A8">
              <w:rPr>
                <w:b/>
              </w:rPr>
              <w:t>ČR</w:t>
            </w:r>
          </w:p>
        </w:tc>
        <w:tc>
          <w:tcPr>
            <w:tcW w:w="1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712D14" w14:textId="77777777" w:rsidR="001978D6" w:rsidRPr="003A27A8" w:rsidRDefault="001978D6" w:rsidP="001978D6">
            <w:pPr>
              <w:spacing w:after="0"/>
              <w:jc w:val="center"/>
              <w:rPr>
                <w:b/>
              </w:rPr>
            </w:pPr>
            <w:r w:rsidRPr="003A27A8">
              <w:rPr>
                <w:b/>
              </w:rPr>
              <w:t>Lotyšsko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DB3E9F" w14:textId="77777777" w:rsidR="001978D6" w:rsidRPr="003A27A8" w:rsidRDefault="001978D6" w:rsidP="001978D6">
            <w:pPr>
              <w:spacing w:after="0"/>
              <w:jc w:val="center"/>
              <w:rPr>
                <w:b/>
              </w:rPr>
            </w:pPr>
            <w:r w:rsidRPr="003A27A8">
              <w:rPr>
                <w:b/>
              </w:rPr>
              <w:t>Portugalsko</w:t>
            </w:r>
          </w:p>
        </w:tc>
        <w:tc>
          <w:tcPr>
            <w:tcW w:w="1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FE11E3" w14:textId="77777777" w:rsidR="001978D6" w:rsidRPr="003A27A8" w:rsidRDefault="001978D6" w:rsidP="001978D6">
            <w:pPr>
              <w:spacing w:after="0"/>
              <w:jc w:val="center"/>
              <w:rPr>
                <w:b/>
              </w:rPr>
            </w:pPr>
            <w:r w:rsidRPr="003A27A8">
              <w:rPr>
                <w:b/>
              </w:rPr>
              <w:t>Španělsko</w:t>
            </w:r>
          </w:p>
        </w:tc>
        <w:tc>
          <w:tcPr>
            <w:tcW w:w="12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0E6D0" w14:textId="77777777" w:rsidR="001978D6" w:rsidRPr="003A27A8" w:rsidRDefault="001978D6" w:rsidP="001978D6">
            <w:pPr>
              <w:spacing w:after="0"/>
              <w:jc w:val="center"/>
              <w:rPr>
                <w:b/>
              </w:rPr>
            </w:pPr>
            <w:r w:rsidRPr="003A27A8">
              <w:rPr>
                <w:b/>
              </w:rPr>
              <w:t>V. Británie</w:t>
            </w:r>
          </w:p>
        </w:tc>
      </w:tr>
      <w:tr w:rsidR="001978D6" w:rsidRPr="00BC21E2" w14:paraId="04B928F7" w14:textId="77777777" w:rsidTr="001978D6">
        <w:trPr>
          <w:trHeight w:val="737"/>
        </w:trPr>
        <w:tc>
          <w:tcPr>
            <w:tcW w:w="39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3D9270" w14:textId="77777777" w:rsidR="001978D6" w:rsidRPr="003A27A8" w:rsidRDefault="001978D6" w:rsidP="001978D6">
            <w:pPr>
              <w:spacing w:after="0"/>
            </w:pPr>
            <w:r w:rsidRPr="009343B4">
              <w:rPr>
                <w:b/>
              </w:rPr>
              <w:t>Způsob ověřování identity respondentů</w:t>
            </w:r>
            <w:r>
              <w:t xml:space="preserve"> (</w:t>
            </w:r>
            <w:r>
              <w:rPr>
                <w:i/>
              </w:rPr>
              <w:t>realizované způsoby</w:t>
            </w:r>
            <w:r>
              <w:t xml:space="preserve"> </w:t>
            </w:r>
            <w:r w:rsidRPr="003A27A8">
              <w:rPr>
                <w:i/>
              </w:rPr>
              <w:t>ověř</w:t>
            </w:r>
            <w:r>
              <w:rPr>
                <w:i/>
              </w:rPr>
              <w:t>ová</w:t>
            </w:r>
            <w:r w:rsidRPr="003A27A8">
              <w:rPr>
                <w:i/>
              </w:rPr>
              <w:t>ní</w:t>
            </w:r>
            <w:r>
              <w:t xml:space="preserve"> </w:t>
            </w:r>
            <w:r w:rsidRPr="003A27A8">
              <w:rPr>
                <w:i/>
              </w:rPr>
              <w:t>označte</w:t>
            </w:r>
            <w:r>
              <w:t xml:space="preserve"> </w:t>
            </w:r>
            <w:r w:rsidRPr="003A27A8">
              <w:rPr>
                <w:i/>
              </w:rPr>
              <w:t>X</w:t>
            </w:r>
            <w:r>
              <w:t>)</w:t>
            </w:r>
          </w:p>
        </w:tc>
        <w:tc>
          <w:tcPr>
            <w:tcW w:w="1203" w:type="dxa"/>
            <w:shd w:val="clear" w:color="auto" w:fill="767171"/>
            <w:vAlign w:val="center"/>
          </w:tcPr>
          <w:p w14:paraId="1427B140" w14:textId="77777777" w:rsidR="001978D6" w:rsidRPr="00BC21E2" w:rsidRDefault="001978D6" w:rsidP="001978D6">
            <w:pPr>
              <w:spacing w:after="0"/>
            </w:pPr>
          </w:p>
        </w:tc>
        <w:tc>
          <w:tcPr>
            <w:tcW w:w="1203" w:type="dxa"/>
            <w:shd w:val="clear" w:color="auto" w:fill="767171"/>
            <w:vAlign w:val="center"/>
          </w:tcPr>
          <w:p w14:paraId="51C7A091" w14:textId="77777777" w:rsidR="001978D6" w:rsidRPr="00BC21E2" w:rsidRDefault="001978D6" w:rsidP="001978D6">
            <w:pPr>
              <w:spacing w:after="0"/>
            </w:pPr>
          </w:p>
        </w:tc>
        <w:tc>
          <w:tcPr>
            <w:tcW w:w="1204" w:type="dxa"/>
            <w:shd w:val="clear" w:color="auto" w:fill="767171"/>
            <w:vAlign w:val="center"/>
          </w:tcPr>
          <w:p w14:paraId="7267BCFB" w14:textId="77777777" w:rsidR="001978D6" w:rsidRPr="00BC21E2" w:rsidRDefault="001978D6" w:rsidP="001978D6">
            <w:pPr>
              <w:spacing w:after="0"/>
            </w:pPr>
          </w:p>
        </w:tc>
        <w:tc>
          <w:tcPr>
            <w:tcW w:w="1203" w:type="dxa"/>
            <w:shd w:val="clear" w:color="auto" w:fill="767171"/>
            <w:vAlign w:val="center"/>
          </w:tcPr>
          <w:p w14:paraId="10C9CF04" w14:textId="77777777" w:rsidR="001978D6" w:rsidRPr="00BC21E2" w:rsidRDefault="001978D6" w:rsidP="001978D6">
            <w:pPr>
              <w:spacing w:after="0"/>
            </w:pPr>
          </w:p>
        </w:tc>
        <w:tc>
          <w:tcPr>
            <w:tcW w:w="1204" w:type="dxa"/>
            <w:tcBorders>
              <w:right w:val="single" w:sz="12" w:space="0" w:color="auto"/>
            </w:tcBorders>
            <w:shd w:val="clear" w:color="auto" w:fill="767171"/>
            <w:vAlign w:val="center"/>
          </w:tcPr>
          <w:p w14:paraId="29177A3C" w14:textId="77777777" w:rsidR="001978D6" w:rsidRPr="00BC21E2" w:rsidRDefault="001978D6" w:rsidP="001978D6">
            <w:pPr>
              <w:spacing w:after="0"/>
            </w:pPr>
          </w:p>
        </w:tc>
      </w:tr>
      <w:tr w:rsidR="001978D6" w:rsidRPr="00BC21E2" w14:paraId="0679A441" w14:textId="77777777" w:rsidTr="001978D6">
        <w:trPr>
          <w:trHeight w:val="510"/>
        </w:trPr>
        <w:tc>
          <w:tcPr>
            <w:tcW w:w="39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65450D" w14:textId="77777777" w:rsidR="001978D6" w:rsidRPr="009343B4" w:rsidRDefault="001978D6" w:rsidP="001978D6">
            <w:pPr>
              <w:numPr>
                <w:ilvl w:val="0"/>
                <w:numId w:val="36"/>
              </w:numPr>
              <w:spacing w:after="0" w:line="240" w:lineRule="auto"/>
              <w:ind w:hanging="184"/>
            </w:pPr>
            <w:r w:rsidRPr="00BC21E2">
              <w:t>pouze na vstupu při rekrutaci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E16DBD7" w14:textId="77777777" w:rsidR="001978D6" w:rsidRPr="00BC21E2" w:rsidRDefault="001978D6" w:rsidP="001978D6">
            <w:pPr>
              <w:spacing w:after="0"/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DFC91F5" w14:textId="77777777" w:rsidR="001978D6" w:rsidRPr="00BC21E2" w:rsidRDefault="001978D6" w:rsidP="001978D6">
            <w:pPr>
              <w:spacing w:after="0"/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D784F74" w14:textId="77777777" w:rsidR="001978D6" w:rsidRPr="00BC21E2" w:rsidRDefault="001978D6" w:rsidP="001978D6">
            <w:pPr>
              <w:spacing w:after="0"/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B8CDAE6" w14:textId="77777777" w:rsidR="001978D6" w:rsidRPr="00BC21E2" w:rsidRDefault="001978D6" w:rsidP="001978D6">
            <w:pPr>
              <w:spacing w:after="0"/>
            </w:pPr>
          </w:p>
        </w:tc>
        <w:tc>
          <w:tcPr>
            <w:tcW w:w="12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B68784" w14:textId="77777777" w:rsidR="001978D6" w:rsidRPr="00BC21E2" w:rsidRDefault="001978D6" w:rsidP="001978D6">
            <w:pPr>
              <w:spacing w:after="0"/>
            </w:pPr>
          </w:p>
        </w:tc>
      </w:tr>
      <w:tr w:rsidR="001978D6" w:rsidRPr="00BC21E2" w14:paraId="580C47A9" w14:textId="77777777" w:rsidTr="001978D6">
        <w:trPr>
          <w:trHeight w:val="624"/>
        </w:trPr>
        <w:tc>
          <w:tcPr>
            <w:tcW w:w="39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9F082A" w14:textId="77777777" w:rsidR="001978D6" w:rsidRPr="00BC21E2" w:rsidRDefault="001978D6" w:rsidP="001978D6">
            <w:pPr>
              <w:numPr>
                <w:ilvl w:val="0"/>
                <w:numId w:val="36"/>
              </w:numPr>
              <w:spacing w:after="0" w:line="240" w:lineRule="auto"/>
              <w:ind w:hanging="184"/>
            </w:pPr>
            <w:r w:rsidRPr="00BC21E2">
              <w:t>alespoň jednou ročně kontrola oproti údajům v registračním dotazníku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708EFBB" w14:textId="77777777" w:rsidR="001978D6" w:rsidRPr="00BC21E2" w:rsidRDefault="001978D6" w:rsidP="001978D6">
            <w:pPr>
              <w:spacing w:after="0"/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CE17C72" w14:textId="77777777" w:rsidR="001978D6" w:rsidRPr="00BC21E2" w:rsidRDefault="001978D6" w:rsidP="001978D6">
            <w:pPr>
              <w:spacing w:after="0"/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170255C" w14:textId="77777777" w:rsidR="001978D6" w:rsidRPr="00BC21E2" w:rsidRDefault="001978D6" w:rsidP="001978D6">
            <w:pPr>
              <w:spacing w:after="0"/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65635AD" w14:textId="77777777" w:rsidR="001978D6" w:rsidRPr="00BC21E2" w:rsidRDefault="001978D6" w:rsidP="001978D6">
            <w:pPr>
              <w:spacing w:after="0"/>
            </w:pPr>
          </w:p>
        </w:tc>
        <w:tc>
          <w:tcPr>
            <w:tcW w:w="12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562668" w14:textId="77777777" w:rsidR="001978D6" w:rsidRPr="00BC21E2" w:rsidRDefault="001978D6" w:rsidP="001978D6">
            <w:pPr>
              <w:spacing w:after="0"/>
            </w:pPr>
          </w:p>
        </w:tc>
      </w:tr>
      <w:tr w:rsidR="00425972" w:rsidRPr="00BC21E2" w14:paraId="6AA9D024" w14:textId="77777777" w:rsidTr="001978D6">
        <w:trPr>
          <w:trHeight w:val="510"/>
        </w:trPr>
        <w:tc>
          <w:tcPr>
            <w:tcW w:w="39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5FD1A" w14:textId="77777777" w:rsidR="00425972" w:rsidRPr="00BC21E2" w:rsidRDefault="00425972" w:rsidP="00425972">
            <w:pPr>
              <w:numPr>
                <w:ilvl w:val="0"/>
                <w:numId w:val="36"/>
              </w:numPr>
              <w:spacing w:after="0" w:line="240" w:lineRule="auto"/>
              <w:ind w:hanging="184"/>
            </w:pPr>
            <w:r w:rsidRPr="00BC21E2">
              <w:t>navíc k předchozímu telefonická kontrola nebo kontrola unikátnosti čísla bankovního účtu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E6BBF10" w14:textId="29434D58" w:rsidR="00425972" w:rsidRPr="00BC21E2" w:rsidRDefault="00425972" w:rsidP="00425972">
            <w:pPr>
              <w:spacing w:after="0"/>
              <w:jc w:val="center"/>
            </w:pPr>
            <w:r>
              <w:t>X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68DA2E1" w14:textId="15FAF852" w:rsidR="00425972" w:rsidRPr="00BC21E2" w:rsidRDefault="00425972" w:rsidP="00425972">
            <w:pPr>
              <w:spacing w:after="0"/>
              <w:jc w:val="center"/>
            </w:pPr>
            <w:r>
              <w:t>X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2AE51F3" w14:textId="581522FA" w:rsidR="00425972" w:rsidRPr="00BC21E2" w:rsidRDefault="00425972" w:rsidP="00425972">
            <w:pPr>
              <w:spacing w:after="0"/>
              <w:jc w:val="center"/>
            </w:pPr>
            <w:r>
              <w:t>X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48ACAAC" w14:textId="3DEBABB5" w:rsidR="00425972" w:rsidRPr="00BC21E2" w:rsidRDefault="00425972" w:rsidP="00425972">
            <w:pPr>
              <w:spacing w:after="0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8DD178" w14:textId="15272542" w:rsidR="00425972" w:rsidRPr="00BC21E2" w:rsidRDefault="00425972" w:rsidP="00425972">
            <w:pPr>
              <w:spacing w:after="0"/>
              <w:jc w:val="center"/>
            </w:pPr>
            <w:r>
              <w:t>X</w:t>
            </w:r>
          </w:p>
        </w:tc>
      </w:tr>
      <w:tr w:rsidR="00425972" w:rsidRPr="00BC21E2" w14:paraId="26DE4EA5" w14:textId="77777777" w:rsidTr="007E1109">
        <w:trPr>
          <w:trHeight w:val="694"/>
        </w:trPr>
        <w:tc>
          <w:tcPr>
            <w:tcW w:w="39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A2F655" w14:textId="77777777" w:rsidR="00425972" w:rsidRPr="009343B4" w:rsidRDefault="00425972" w:rsidP="00425972">
            <w:pPr>
              <w:spacing w:after="0"/>
              <w:rPr>
                <w:b/>
              </w:rPr>
            </w:pPr>
            <w:r>
              <w:rPr>
                <w:b/>
              </w:rPr>
              <w:t>Velikost panelu (počet aktivních panelistů)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9D0DB04" w14:textId="19CD1B0A" w:rsidR="00425972" w:rsidRPr="00BC21E2" w:rsidRDefault="00425972" w:rsidP="00425972">
            <w:pPr>
              <w:spacing w:after="0"/>
              <w:jc w:val="center"/>
            </w:pPr>
            <w:r>
              <w:t>51 354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C6F14DF" w14:textId="6C92FBBD" w:rsidR="00425972" w:rsidRPr="00BC21E2" w:rsidRDefault="00425972" w:rsidP="00425972">
            <w:pPr>
              <w:spacing w:after="0"/>
              <w:jc w:val="center"/>
            </w:pPr>
            <w:r w:rsidRPr="001E2483">
              <w:t>50 202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C80A8EC" w14:textId="5DD068D6" w:rsidR="00425972" w:rsidRPr="00BC21E2" w:rsidRDefault="00425972" w:rsidP="00425972">
            <w:pPr>
              <w:spacing w:after="0"/>
              <w:jc w:val="center"/>
            </w:pPr>
            <w:r>
              <w:t>42 016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EDD2D84" w14:textId="1F52B83B" w:rsidR="00425972" w:rsidRPr="00BC21E2" w:rsidRDefault="00425972" w:rsidP="00425972">
            <w:pPr>
              <w:spacing w:after="0"/>
              <w:jc w:val="center"/>
            </w:pPr>
            <w:r>
              <w:t>468 005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7FB3D" w14:textId="437264C8" w:rsidR="00425972" w:rsidRPr="00BC21E2" w:rsidRDefault="00425972" w:rsidP="00425972">
            <w:pPr>
              <w:spacing w:after="0"/>
              <w:jc w:val="center"/>
            </w:pPr>
            <w:r>
              <w:t>1 122 620</w:t>
            </w:r>
          </w:p>
        </w:tc>
      </w:tr>
      <w:tr w:rsidR="00425972" w:rsidRPr="00BC21E2" w14:paraId="408E08C0" w14:textId="77777777" w:rsidTr="001978D6">
        <w:trPr>
          <w:trHeight w:val="680"/>
        </w:trPr>
        <w:tc>
          <w:tcPr>
            <w:tcW w:w="39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7BD09B" w14:textId="77777777" w:rsidR="00425972" w:rsidRPr="003A27A8" w:rsidRDefault="00425972" w:rsidP="00425972">
            <w:pPr>
              <w:spacing w:after="0"/>
              <w:rPr>
                <w:b/>
              </w:rPr>
            </w:pPr>
            <w:r>
              <w:rPr>
                <w:b/>
              </w:rPr>
              <w:t>P</w:t>
            </w:r>
            <w:r w:rsidRPr="003A27A8">
              <w:rPr>
                <w:b/>
              </w:rPr>
              <w:t>očet aktivních panelistů s nejnižší úrovní vzdělání</w:t>
            </w:r>
            <w:r>
              <w:rPr>
                <w:b/>
              </w:rPr>
              <w:t>*</w:t>
            </w:r>
          </w:p>
        </w:tc>
        <w:tc>
          <w:tcPr>
            <w:tcW w:w="1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FE9AC8" w14:textId="16913316" w:rsidR="00425972" w:rsidRPr="00BC21E2" w:rsidRDefault="00425972" w:rsidP="00425972">
            <w:pPr>
              <w:spacing w:after="0"/>
              <w:jc w:val="center"/>
            </w:pPr>
            <w:r>
              <w:t>8 842</w:t>
            </w:r>
          </w:p>
        </w:tc>
        <w:tc>
          <w:tcPr>
            <w:tcW w:w="1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84C7A5" w14:textId="5B619215" w:rsidR="00425972" w:rsidRPr="00BC21E2" w:rsidRDefault="00425972" w:rsidP="00425972">
            <w:pPr>
              <w:spacing w:after="0"/>
              <w:jc w:val="center"/>
            </w:pPr>
            <w:r w:rsidRPr="00354B5A">
              <w:t>750</w:t>
            </w: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EBC860" w14:textId="492E0738" w:rsidR="00425972" w:rsidRPr="00BC21E2" w:rsidRDefault="00425972" w:rsidP="00425972">
            <w:pPr>
              <w:spacing w:after="0"/>
              <w:jc w:val="center"/>
            </w:pPr>
            <w:r>
              <w:t>5 602</w:t>
            </w:r>
          </w:p>
        </w:tc>
        <w:tc>
          <w:tcPr>
            <w:tcW w:w="1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72F700" w14:textId="05D7D626" w:rsidR="00425972" w:rsidRPr="00BC21E2" w:rsidRDefault="00425972" w:rsidP="00425972">
            <w:pPr>
              <w:spacing w:after="0"/>
              <w:jc w:val="center"/>
            </w:pPr>
            <w:r>
              <w:t>50 003</w:t>
            </w:r>
          </w:p>
        </w:tc>
        <w:tc>
          <w:tcPr>
            <w:tcW w:w="12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A72AC" w14:textId="443F2B5F" w:rsidR="00425972" w:rsidRPr="00BC21E2" w:rsidRDefault="00425972" w:rsidP="00425972">
            <w:pPr>
              <w:spacing w:after="0"/>
              <w:jc w:val="center"/>
            </w:pPr>
            <w:r>
              <w:t>136 403</w:t>
            </w:r>
          </w:p>
        </w:tc>
      </w:tr>
      <w:tr w:rsidR="00425972" w:rsidRPr="00BC21E2" w14:paraId="322AB2F7" w14:textId="77777777" w:rsidTr="001978D6">
        <w:trPr>
          <w:trHeight w:val="510"/>
        </w:trPr>
        <w:tc>
          <w:tcPr>
            <w:tcW w:w="39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F2868B" w14:textId="77777777" w:rsidR="00425972" w:rsidRPr="001978D6" w:rsidRDefault="00425972" w:rsidP="00425972">
            <w:pPr>
              <w:spacing w:after="0"/>
              <w:rPr>
                <w:b/>
              </w:rPr>
            </w:pPr>
            <w:r w:rsidRPr="001978D6">
              <w:rPr>
                <w:b/>
              </w:rPr>
              <w:t>Rekrutace do panelu použitého ve Velké Británii na základě pravděpodobnostního výběru</w:t>
            </w:r>
          </w:p>
        </w:tc>
        <w:tc>
          <w:tcPr>
            <w:tcW w:w="601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03F57" w14:textId="48E01499" w:rsidR="00425972" w:rsidRPr="00BC21E2" w:rsidRDefault="00425972" w:rsidP="00425972">
            <w:pPr>
              <w:spacing w:after="0"/>
              <w:jc w:val="center"/>
            </w:pPr>
            <w:r w:rsidRPr="00BC21E2">
              <w:t xml:space="preserve">ANO – </w:t>
            </w:r>
            <w:r w:rsidRPr="0083721C">
              <w:rPr>
                <w:strike/>
              </w:rPr>
              <w:t>NE</w:t>
            </w:r>
            <w:r w:rsidRPr="00BC21E2">
              <w:t xml:space="preserve"> </w:t>
            </w:r>
            <w:r w:rsidRPr="00BC21E2">
              <w:rPr>
                <w:i/>
              </w:rPr>
              <w:t>(nehodící se škrtněte)</w:t>
            </w:r>
          </w:p>
        </w:tc>
      </w:tr>
    </w:tbl>
    <w:p w14:paraId="2B2076B6" w14:textId="30D5D428" w:rsidR="001978D6" w:rsidRPr="002A7FA0" w:rsidRDefault="007D076F" w:rsidP="00D35CB3">
      <w:r w:rsidRPr="007D076F">
        <w:t xml:space="preserve">* viz </w:t>
      </w:r>
      <w:r>
        <w:t xml:space="preserve">pozn. pod čarou č. </w:t>
      </w:r>
      <w:r>
        <w:fldChar w:fldCharType="begin"/>
      </w:r>
      <w:r>
        <w:instrText xml:space="preserve"> NOTEREF _Ref507069952 \h </w:instrText>
      </w:r>
      <w:r>
        <w:fldChar w:fldCharType="separate"/>
      </w:r>
      <w:r>
        <w:t>2</w:t>
      </w:r>
      <w:r>
        <w:fldChar w:fldCharType="end"/>
      </w:r>
      <w:r w:rsidR="002A7FA0">
        <w:t xml:space="preserve"> v textu smlouvy</w:t>
      </w:r>
    </w:p>
    <w:sectPr w:rsidR="001978D6" w:rsidRPr="002A7FA0" w:rsidSect="00E25E13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9F9C3" w14:textId="77777777" w:rsidR="00F97BFD" w:rsidRDefault="00F97BFD">
      <w:r>
        <w:separator/>
      </w:r>
    </w:p>
  </w:endnote>
  <w:endnote w:type="continuationSeparator" w:id="0">
    <w:p w14:paraId="2458A328" w14:textId="77777777" w:rsidR="00F97BFD" w:rsidRDefault="00F97BFD">
      <w:r>
        <w:continuationSeparator/>
      </w:r>
    </w:p>
  </w:endnote>
  <w:endnote w:type="continuationNotice" w:id="1">
    <w:p w14:paraId="4E2A23C9" w14:textId="77777777" w:rsidR="00F97BFD" w:rsidRDefault="00F97B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402C0" w14:textId="77777777" w:rsidR="00896D05" w:rsidRDefault="00896D05" w:rsidP="00EB7B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AA5EB0" w14:textId="77777777" w:rsidR="00896D05" w:rsidRDefault="00896D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884208"/>
      <w:docPartObj>
        <w:docPartGallery w:val="Page Numbers (Bottom of Page)"/>
        <w:docPartUnique/>
      </w:docPartObj>
    </w:sdtPr>
    <w:sdtEndPr/>
    <w:sdtContent>
      <w:p w14:paraId="68A1CBB9" w14:textId="1B019350" w:rsidR="002A58B9" w:rsidRDefault="002A58B9" w:rsidP="002A58B9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1C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E0514" w14:textId="77777777" w:rsidR="00F97BFD" w:rsidRDefault="00F97BFD">
      <w:r>
        <w:separator/>
      </w:r>
    </w:p>
  </w:footnote>
  <w:footnote w:type="continuationSeparator" w:id="0">
    <w:p w14:paraId="7A37E622" w14:textId="77777777" w:rsidR="00F97BFD" w:rsidRDefault="00F97BFD">
      <w:r>
        <w:continuationSeparator/>
      </w:r>
    </w:p>
  </w:footnote>
  <w:footnote w:type="continuationNotice" w:id="1">
    <w:p w14:paraId="71F12A32" w14:textId="77777777" w:rsidR="00F97BFD" w:rsidRDefault="00F97BFD">
      <w:pPr>
        <w:spacing w:after="0" w:line="240" w:lineRule="auto"/>
      </w:pPr>
    </w:p>
  </w:footnote>
  <w:footnote w:id="2">
    <w:p w14:paraId="1776FAD0" w14:textId="77777777" w:rsidR="008477B9" w:rsidRPr="00611D46" w:rsidRDefault="008477B9" w:rsidP="008477B9">
      <w:pPr>
        <w:pStyle w:val="Textpoznpodarou"/>
      </w:pPr>
      <w:r w:rsidRPr="00611D46">
        <w:rPr>
          <w:rStyle w:val="Znakapoznpodarou"/>
        </w:rPr>
        <w:footnoteRef/>
      </w:r>
      <w:r w:rsidRPr="00611D46">
        <w:t xml:space="preserve"> Tomu odpovídá rozlišení podle NUTS 1 pro Velkou Británii a Španělsko, NUTS 2 pro Portugalsko a NUTS 3 pro Českou republiku.</w:t>
      </w:r>
    </w:p>
  </w:footnote>
  <w:footnote w:id="3">
    <w:p w14:paraId="4A80B71B" w14:textId="77777777" w:rsidR="008477B9" w:rsidRPr="00611D46" w:rsidRDefault="008477B9" w:rsidP="008477B9">
      <w:pPr>
        <w:pStyle w:val="Textpoznpodarou"/>
      </w:pPr>
      <w:r w:rsidRPr="00611D46">
        <w:rPr>
          <w:rStyle w:val="Znakapoznpodarou"/>
        </w:rPr>
        <w:footnoteRef/>
      </w:r>
      <w:r w:rsidRPr="00611D46">
        <w:t xml:space="preserve"> Nejnižší úroveň vzdělání zahrne pro ČR neúplné základní, základní, vyučení a středoškolské bez maturity a pro ostatní země odpovídající ekvivalenty.</w:t>
      </w:r>
    </w:p>
  </w:footnote>
  <w:footnote w:id="4">
    <w:p w14:paraId="46FD73D4" w14:textId="77777777" w:rsidR="008477B9" w:rsidRPr="00611D46" w:rsidRDefault="008477B9" w:rsidP="008477B9">
      <w:pPr>
        <w:pStyle w:val="Textpoznpodarou"/>
        <w:rPr>
          <w:sz w:val="18"/>
        </w:rPr>
      </w:pPr>
      <w:r w:rsidRPr="00611D46">
        <w:rPr>
          <w:rStyle w:val="Znakapoznpodarou"/>
          <w:sz w:val="18"/>
        </w:rPr>
        <w:footnoteRef/>
      </w:r>
      <w:r w:rsidRPr="00611D46">
        <w:rPr>
          <w:sz w:val="18"/>
        </w:rPr>
        <w:t xml:space="preserve"> </w:t>
      </w:r>
      <w:r w:rsidRPr="00611D46">
        <w:rPr>
          <w:szCs w:val="22"/>
        </w:rPr>
        <w:t>Survey Sampling International. (2013). Speeding (SSI POV). Dostupné z http://www.surveysampling.com/ssi-media/Corporate/POVs-2012/Speeding_POV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68000" w14:textId="77777777" w:rsidR="00896D05" w:rsidRDefault="00896D05" w:rsidP="006D2793">
    <w:pPr>
      <w:pStyle w:val="Zhlav"/>
      <w:pBdr>
        <w:bottom w:val="single" w:sz="4" w:space="1" w:color="auto"/>
      </w:pBdr>
      <w:jc w:val="right"/>
    </w:pPr>
    <w:r>
      <w:t>Příloha č. 2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504"/>
    <w:multiLevelType w:val="hybridMultilevel"/>
    <w:tmpl w:val="D9A08D12"/>
    <w:lvl w:ilvl="0" w:tplc="A5E244C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52E5535"/>
    <w:multiLevelType w:val="hybridMultilevel"/>
    <w:tmpl w:val="54E42C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80DF9"/>
    <w:multiLevelType w:val="hybridMultilevel"/>
    <w:tmpl w:val="269214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7C19AB"/>
    <w:multiLevelType w:val="hybridMultilevel"/>
    <w:tmpl w:val="ECA05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DE3C22"/>
    <w:multiLevelType w:val="hybridMultilevel"/>
    <w:tmpl w:val="6D027E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50BD6"/>
    <w:multiLevelType w:val="hybridMultilevel"/>
    <w:tmpl w:val="7876BF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E67CF7"/>
    <w:multiLevelType w:val="hybridMultilevel"/>
    <w:tmpl w:val="4C26C19E"/>
    <w:lvl w:ilvl="0" w:tplc="A5E244CC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11CF4"/>
    <w:multiLevelType w:val="hybridMultilevel"/>
    <w:tmpl w:val="DB9461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B6393B"/>
    <w:multiLevelType w:val="hybridMultilevel"/>
    <w:tmpl w:val="81F06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52C2F"/>
    <w:multiLevelType w:val="hybridMultilevel"/>
    <w:tmpl w:val="7770A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46165"/>
    <w:multiLevelType w:val="hybridMultilevel"/>
    <w:tmpl w:val="0A1E6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AABBB6">
      <w:start w:val="1"/>
      <w:numFmt w:val="lowerRoman"/>
      <w:lvlText w:val="%2."/>
      <w:lvlJc w:val="left"/>
      <w:pPr>
        <w:tabs>
          <w:tab w:val="num" w:pos="737"/>
        </w:tabs>
        <w:ind w:left="851" w:hanging="39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5C0B92"/>
    <w:multiLevelType w:val="multilevel"/>
    <w:tmpl w:val="0405001D"/>
    <w:numStyleLink w:val="1ai"/>
  </w:abstractNum>
  <w:abstractNum w:abstractNumId="12" w15:restartNumberingAfterBreak="0">
    <w:nsid w:val="1F9844C2"/>
    <w:multiLevelType w:val="multilevel"/>
    <w:tmpl w:val="1E98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D7F99"/>
    <w:multiLevelType w:val="hybridMultilevel"/>
    <w:tmpl w:val="B4BE6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380A23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4226E"/>
    <w:multiLevelType w:val="multilevel"/>
    <w:tmpl w:val="ECA0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E84E7A"/>
    <w:multiLevelType w:val="hybridMultilevel"/>
    <w:tmpl w:val="C660E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156AA"/>
    <w:multiLevelType w:val="hybridMultilevel"/>
    <w:tmpl w:val="1FF8CA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E244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82572A"/>
    <w:multiLevelType w:val="hybridMultilevel"/>
    <w:tmpl w:val="501A78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3A5AB7"/>
    <w:multiLevelType w:val="multilevel"/>
    <w:tmpl w:val="9088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186EDE"/>
    <w:multiLevelType w:val="hybridMultilevel"/>
    <w:tmpl w:val="A3EAD9CA"/>
    <w:lvl w:ilvl="0" w:tplc="5E4AA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9167AA"/>
    <w:multiLevelType w:val="hybridMultilevel"/>
    <w:tmpl w:val="6F548296"/>
    <w:lvl w:ilvl="0" w:tplc="040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A86F54"/>
    <w:multiLevelType w:val="hybridMultilevel"/>
    <w:tmpl w:val="1E9806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524E7D"/>
    <w:multiLevelType w:val="multilevel"/>
    <w:tmpl w:val="0405001D"/>
    <w:numStyleLink w:val="1ai"/>
  </w:abstractNum>
  <w:abstractNum w:abstractNumId="24" w15:restartNumberingAfterBreak="0">
    <w:nsid w:val="465F7D94"/>
    <w:multiLevelType w:val="multilevel"/>
    <w:tmpl w:val="23DA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25E3D"/>
    <w:multiLevelType w:val="hybridMultilevel"/>
    <w:tmpl w:val="81D2DC5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0C1066"/>
    <w:multiLevelType w:val="multilevel"/>
    <w:tmpl w:val="F4F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CA6007"/>
    <w:multiLevelType w:val="hybridMultilevel"/>
    <w:tmpl w:val="6CD80AEC"/>
    <w:lvl w:ilvl="0" w:tplc="0405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8" w15:restartNumberingAfterBreak="0">
    <w:nsid w:val="55E27E28"/>
    <w:multiLevelType w:val="hybridMultilevel"/>
    <w:tmpl w:val="1E9806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8F0377C"/>
    <w:multiLevelType w:val="hybridMultilevel"/>
    <w:tmpl w:val="8D905686"/>
    <w:lvl w:ilvl="0" w:tplc="6D9C5C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163842"/>
    <w:multiLevelType w:val="hybridMultilevel"/>
    <w:tmpl w:val="D07840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A55562"/>
    <w:multiLevelType w:val="hybridMultilevel"/>
    <w:tmpl w:val="CED8E4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633B8F"/>
    <w:multiLevelType w:val="multilevel"/>
    <w:tmpl w:val="E17A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340500"/>
    <w:multiLevelType w:val="hybridMultilevel"/>
    <w:tmpl w:val="1E980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617D19"/>
    <w:multiLevelType w:val="hybridMultilevel"/>
    <w:tmpl w:val="F220768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344557"/>
    <w:multiLevelType w:val="hybridMultilevel"/>
    <w:tmpl w:val="1E9806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3"/>
  </w:num>
  <w:num w:numId="3">
    <w:abstractNumId w:val="7"/>
  </w:num>
  <w:num w:numId="4">
    <w:abstractNumId w:val="10"/>
  </w:num>
  <w:num w:numId="5">
    <w:abstractNumId w:val="13"/>
  </w:num>
  <w:num w:numId="6">
    <w:abstractNumId w:val="18"/>
  </w:num>
  <w:num w:numId="7">
    <w:abstractNumId w:val="2"/>
  </w:num>
  <w:num w:numId="8">
    <w:abstractNumId w:val="5"/>
  </w:num>
  <w:num w:numId="9">
    <w:abstractNumId w:val="20"/>
  </w:num>
  <w:num w:numId="10">
    <w:abstractNumId w:val="26"/>
  </w:num>
  <w:num w:numId="11">
    <w:abstractNumId w:val="19"/>
  </w:num>
  <w:num w:numId="12">
    <w:abstractNumId w:val="32"/>
  </w:num>
  <w:num w:numId="13">
    <w:abstractNumId w:val="24"/>
  </w:num>
  <w:num w:numId="14">
    <w:abstractNumId w:val="1"/>
  </w:num>
  <w:num w:numId="15">
    <w:abstractNumId w:val="14"/>
  </w:num>
  <w:num w:numId="16">
    <w:abstractNumId w:val="11"/>
  </w:num>
  <w:num w:numId="17">
    <w:abstractNumId w:val="23"/>
  </w:num>
  <w:num w:numId="18">
    <w:abstractNumId w:val="25"/>
  </w:num>
  <w:num w:numId="19">
    <w:abstractNumId w:val="15"/>
  </w:num>
  <w:num w:numId="20">
    <w:abstractNumId w:val="4"/>
  </w:num>
  <w:num w:numId="21">
    <w:abstractNumId w:val="16"/>
  </w:num>
  <w:num w:numId="22">
    <w:abstractNumId w:val="33"/>
  </w:num>
  <w:num w:numId="23">
    <w:abstractNumId w:val="31"/>
  </w:num>
  <w:num w:numId="24">
    <w:abstractNumId w:val="8"/>
  </w:num>
  <w:num w:numId="25">
    <w:abstractNumId w:val="12"/>
  </w:num>
  <w:num w:numId="26">
    <w:abstractNumId w:val="29"/>
  </w:num>
  <w:num w:numId="27">
    <w:abstractNumId w:val="27"/>
  </w:num>
  <w:num w:numId="28">
    <w:abstractNumId w:val="28"/>
  </w:num>
  <w:num w:numId="29">
    <w:abstractNumId w:val="22"/>
  </w:num>
  <w:num w:numId="30">
    <w:abstractNumId w:val="35"/>
  </w:num>
  <w:num w:numId="31">
    <w:abstractNumId w:val="0"/>
  </w:num>
  <w:num w:numId="32">
    <w:abstractNumId w:val="17"/>
  </w:num>
  <w:num w:numId="33">
    <w:abstractNumId w:val="9"/>
  </w:num>
  <w:num w:numId="34">
    <w:abstractNumId w:val="34"/>
  </w:num>
  <w:num w:numId="35">
    <w:abstractNumId w:val="2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B3"/>
    <w:rsid w:val="00007B9B"/>
    <w:rsid w:val="00026F41"/>
    <w:rsid w:val="000328D9"/>
    <w:rsid w:val="00065977"/>
    <w:rsid w:val="00071F52"/>
    <w:rsid w:val="0007652E"/>
    <w:rsid w:val="00076F84"/>
    <w:rsid w:val="0008020A"/>
    <w:rsid w:val="00095D01"/>
    <w:rsid w:val="000A3D3B"/>
    <w:rsid w:val="000A5229"/>
    <w:rsid w:val="000B16E1"/>
    <w:rsid w:val="000B1824"/>
    <w:rsid w:val="000B2C69"/>
    <w:rsid w:val="000C1039"/>
    <w:rsid w:val="000D4B01"/>
    <w:rsid w:val="000E5397"/>
    <w:rsid w:val="000F05D6"/>
    <w:rsid w:val="000F0E99"/>
    <w:rsid w:val="000F645E"/>
    <w:rsid w:val="001010AD"/>
    <w:rsid w:val="00113B9C"/>
    <w:rsid w:val="00117E85"/>
    <w:rsid w:val="00120FEC"/>
    <w:rsid w:val="00131AF2"/>
    <w:rsid w:val="0013248A"/>
    <w:rsid w:val="00132F35"/>
    <w:rsid w:val="001623A8"/>
    <w:rsid w:val="00176AA4"/>
    <w:rsid w:val="00185AC7"/>
    <w:rsid w:val="00185B8F"/>
    <w:rsid w:val="001977FC"/>
    <w:rsid w:val="001978D6"/>
    <w:rsid w:val="001B2BE2"/>
    <w:rsid w:val="001B5FED"/>
    <w:rsid w:val="001E0994"/>
    <w:rsid w:val="001F420A"/>
    <w:rsid w:val="00203451"/>
    <w:rsid w:val="0022799D"/>
    <w:rsid w:val="0023226A"/>
    <w:rsid w:val="00252F7E"/>
    <w:rsid w:val="002532D6"/>
    <w:rsid w:val="0025336C"/>
    <w:rsid w:val="002922F1"/>
    <w:rsid w:val="00292FAE"/>
    <w:rsid w:val="002A58B9"/>
    <w:rsid w:val="002A7FA0"/>
    <w:rsid w:val="002C037A"/>
    <w:rsid w:val="002C3515"/>
    <w:rsid w:val="002C4BB8"/>
    <w:rsid w:val="002C5E97"/>
    <w:rsid w:val="002E2700"/>
    <w:rsid w:val="002E58B0"/>
    <w:rsid w:val="002F2BF2"/>
    <w:rsid w:val="0030000E"/>
    <w:rsid w:val="00317CAE"/>
    <w:rsid w:val="003210BB"/>
    <w:rsid w:val="00331DA0"/>
    <w:rsid w:val="003344FA"/>
    <w:rsid w:val="0033658C"/>
    <w:rsid w:val="00374DFB"/>
    <w:rsid w:val="00385827"/>
    <w:rsid w:val="003B04AA"/>
    <w:rsid w:val="003C0E86"/>
    <w:rsid w:val="003C5C0D"/>
    <w:rsid w:val="003C7919"/>
    <w:rsid w:val="003E63AD"/>
    <w:rsid w:val="003F2EA9"/>
    <w:rsid w:val="003F46A5"/>
    <w:rsid w:val="00400441"/>
    <w:rsid w:val="00405B2C"/>
    <w:rsid w:val="00425972"/>
    <w:rsid w:val="00433E92"/>
    <w:rsid w:val="004463C7"/>
    <w:rsid w:val="00446C3D"/>
    <w:rsid w:val="00455324"/>
    <w:rsid w:val="0046339D"/>
    <w:rsid w:val="00470C7C"/>
    <w:rsid w:val="004723A8"/>
    <w:rsid w:val="00494267"/>
    <w:rsid w:val="004A5F1D"/>
    <w:rsid w:val="004B1361"/>
    <w:rsid w:val="004B4197"/>
    <w:rsid w:val="004C5858"/>
    <w:rsid w:val="004E73EA"/>
    <w:rsid w:val="004F28D5"/>
    <w:rsid w:val="004F7D4E"/>
    <w:rsid w:val="004F7EC3"/>
    <w:rsid w:val="005434C3"/>
    <w:rsid w:val="00544FE7"/>
    <w:rsid w:val="005457D5"/>
    <w:rsid w:val="005700C9"/>
    <w:rsid w:val="005733C6"/>
    <w:rsid w:val="0059144F"/>
    <w:rsid w:val="005B7B54"/>
    <w:rsid w:val="005C2323"/>
    <w:rsid w:val="005E74B1"/>
    <w:rsid w:val="005E74C4"/>
    <w:rsid w:val="006018CA"/>
    <w:rsid w:val="00602E36"/>
    <w:rsid w:val="00603C9B"/>
    <w:rsid w:val="00611D46"/>
    <w:rsid w:val="00627BFD"/>
    <w:rsid w:val="0063372B"/>
    <w:rsid w:val="00650C16"/>
    <w:rsid w:val="00653EEC"/>
    <w:rsid w:val="006576A6"/>
    <w:rsid w:val="006A3C56"/>
    <w:rsid w:val="006A7607"/>
    <w:rsid w:val="006C01C5"/>
    <w:rsid w:val="006D2793"/>
    <w:rsid w:val="006D4BD5"/>
    <w:rsid w:val="00700B85"/>
    <w:rsid w:val="007167C5"/>
    <w:rsid w:val="00717BAF"/>
    <w:rsid w:val="00723BF6"/>
    <w:rsid w:val="007428C1"/>
    <w:rsid w:val="0075193E"/>
    <w:rsid w:val="00760BFF"/>
    <w:rsid w:val="007721E9"/>
    <w:rsid w:val="00774831"/>
    <w:rsid w:val="00774958"/>
    <w:rsid w:val="0078097D"/>
    <w:rsid w:val="00793F1A"/>
    <w:rsid w:val="00794978"/>
    <w:rsid w:val="00794D7F"/>
    <w:rsid w:val="007B719C"/>
    <w:rsid w:val="007C0035"/>
    <w:rsid w:val="007C0095"/>
    <w:rsid w:val="007C1097"/>
    <w:rsid w:val="007C6478"/>
    <w:rsid w:val="007D076F"/>
    <w:rsid w:val="007D7B36"/>
    <w:rsid w:val="007E1109"/>
    <w:rsid w:val="007F1181"/>
    <w:rsid w:val="0080602D"/>
    <w:rsid w:val="00813022"/>
    <w:rsid w:val="00814AA4"/>
    <w:rsid w:val="008322BA"/>
    <w:rsid w:val="00837113"/>
    <w:rsid w:val="00844957"/>
    <w:rsid w:val="008477B9"/>
    <w:rsid w:val="00854B6F"/>
    <w:rsid w:val="008701CA"/>
    <w:rsid w:val="00874E8F"/>
    <w:rsid w:val="00875E01"/>
    <w:rsid w:val="008908A3"/>
    <w:rsid w:val="00896D05"/>
    <w:rsid w:val="0089708E"/>
    <w:rsid w:val="008A1E02"/>
    <w:rsid w:val="008A395F"/>
    <w:rsid w:val="008A5D56"/>
    <w:rsid w:val="008D31F3"/>
    <w:rsid w:val="008D7D68"/>
    <w:rsid w:val="008F1AA1"/>
    <w:rsid w:val="008F5BB9"/>
    <w:rsid w:val="00905E5F"/>
    <w:rsid w:val="00915F97"/>
    <w:rsid w:val="009353DA"/>
    <w:rsid w:val="00937BA3"/>
    <w:rsid w:val="00940299"/>
    <w:rsid w:val="00957835"/>
    <w:rsid w:val="00963BDF"/>
    <w:rsid w:val="00974096"/>
    <w:rsid w:val="00996296"/>
    <w:rsid w:val="009A37A0"/>
    <w:rsid w:val="009A699E"/>
    <w:rsid w:val="009B46C7"/>
    <w:rsid w:val="009D3294"/>
    <w:rsid w:val="009D6961"/>
    <w:rsid w:val="009E2E66"/>
    <w:rsid w:val="009E3BD7"/>
    <w:rsid w:val="009E5FE9"/>
    <w:rsid w:val="009F5006"/>
    <w:rsid w:val="00A06D55"/>
    <w:rsid w:val="00A074F2"/>
    <w:rsid w:val="00A11720"/>
    <w:rsid w:val="00A134C4"/>
    <w:rsid w:val="00A5719C"/>
    <w:rsid w:val="00A65D55"/>
    <w:rsid w:val="00A71180"/>
    <w:rsid w:val="00A844CA"/>
    <w:rsid w:val="00A85BE0"/>
    <w:rsid w:val="00A94BCF"/>
    <w:rsid w:val="00AA429B"/>
    <w:rsid w:val="00AB32C1"/>
    <w:rsid w:val="00AB6D1D"/>
    <w:rsid w:val="00AB6ECB"/>
    <w:rsid w:val="00AC08E1"/>
    <w:rsid w:val="00AC0C43"/>
    <w:rsid w:val="00AE3FAF"/>
    <w:rsid w:val="00AE5181"/>
    <w:rsid w:val="00AF0B53"/>
    <w:rsid w:val="00B13B3B"/>
    <w:rsid w:val="00B26DCE"/>
    <w:rsid w:val="00B56D35"/>
    <w:rsid w:val="00B576B6"/>
    <w:rsid w:val="00B71050"/>
    <w:rsid w:val="00B86CC2"/>
    <w:rsid w:val="00B87235"/>
    <w:rsid w:val="00B902AC"/>
    <w:rsid w:val="00BA2B8C"/>
    <w:rsid w:val="00BA6822"/>
    <w:rsid w:val="00BF2E90"/>
    <w:rsid w:val="00C01317"/>
    <w:rsid w:val="00C0718E"/>
    <w:rsid w:val="00C461E3"/>
    <w:rsid w:val="00C46A55"/>
    <w:rsid w:val="00C51068"/>
    <w:rsid w:val="00C51BAD"/>
    <w:rsid w:val="00C909A4"/>
    <w:rsid w:val="00C95908"/>
    <w:rsid w:val="00CA3771"/>
    <w:rsid w:val="00CA693C"/>
    <w:rsid w:val="00CB31A3"/>
    <w:rsid w:val="00CC76BE"/>
    <w:rsid w:val="00CF1B80"/>
    <w:rsid w:val="00D07E79"/>
    <w:rsid w:val="00D1628A"/>
    <w:rsid w:val="00D35CB3"/>
    <w:rsid w:val="00D63795"/>
    <w:rsid w:val="00D73288"/>
    <w:rsid w:val="00D74B8A"/>
    <w:rsid w:val="00D82E77"/>
    <w:rsid w:val="00D92B1D"/>
    <w:rsid w:val="00D937F5"/>
    <w:rsid w:val="00DA41CC"/>
    <w:rsid w:val="00DD5289"/>
    <w:rsid w:val="00E1443F"/>
    <w:rsid w:val="00E17B0F"/>
    <w:rsid w:val="00E25C59"/>
    <w:rsid w:val="00E25E13"/>
    <w:rsid w:val="00E407E8"/>
    <w:rsid w:val="00E54399"/>
    <w:rsid w:val="00E5522C"/>
    <w:rsid w:val="00E706B3"/>
    <w:rsid w:val="00E7337A"/>
    <w:rsid w:val="00E75AD1"/>
    <w:rsid w:val="00E75DE9"/>
    <w:rsid w:val="00E8277F"/>
    <w:rsid w:val="00E9083D"/>
    <w:rsid w:val="00EA2241"/>
    <w:rsid w:val="00EB7B62"/>
    <w:rsid w:val="00F04868"/>
    <w:rsid w:val="00F04A36"/>
    <w:rsid w:val="00F13FF2"/>
    <w:rsid w:val="00F3418E"/>
    <w:rsid w:val="00F37B8D"/>
    <w:rsid w:val="00F474CF"/>
    <w:rsid w:val="00F502E2"/>
    <w:rsid w:val="00F57A59"/>
    <w:rsid w:val="00F65C20"/>
    <w:rsid w:val="00F66BD7"/>
    <w:rsid w:val="00F70E53"/>
    <w:rsid w:val="00F83041"/>
    <w:rsid w:val="00F84336"/>
    <w:rsid w:val="00F91405"/>
    <w:rsid w:val="00F91A4E"/>
    <w:rsid w:val="00F93268"/>
    <w:rsid w:val="00F93CF9"/>
    <w:rsid w:val="00F94775"/>
    <w:rsid w:val="00F967A5"/>
    <w:rsid w:val="00F97BFD"/>
    <w:rsid w:val="00FA510D"/>
    <w:rsid w:val="00FB1E6D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6AC6F953-3452-4214-A6AD-30D40D50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CB3"/>
    <w:pPr>
      <w:spacing w:after="6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D35CB3"/>
    <w:pPr>
      <w:keepNext/>
      <w:keepLines/>
      <w:spacing w:before="200" w:after="240"/>
      <w:jc w:val="center"/>
      <w:outlineLvl w:val="2"/>
    </w:pPr>
    <w:rPr>
      <w:rFonts w:eastAsia="Calibr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D35CB3"/>
    <w:rPr>
      <w:rFonts w:eastAsia="Calibri"/>
      <w:b/>
      <w:bCs/>
      <w:sz w:val="24"/>
      <w:szCs w:val="22"/>
      <w:lang w:val="cs-CZ" w:eastAsia="en-US" w:bidi="ar-SA"/>
    </w:rPr>
  </w:style>
  <w:style w:type="character" w:styleId="Hypertextovodkaz">
    <w:name w:val="Hyperlink"/>
    <w:rsid w:val="00D35CB3"/>
    <w:rPr>
      <w:rFonts w:cs="Times New Roman"/>
      <w:color w:val="0000FF"/>
      <w:u w:val="single"/>
    </w:rPr>
  </w:style>
  <w:style w:type="paragraph" w:customStyle="1" w:styleId="NoSpacing1">
    <w:name w:val="No Spacing1"/>
    <w:rsid w:val="00D35CB3"/>
    <w:pPr>
      <w:widowControl w:val="0"/>
      <w:suppressAutoHyphens/>
      <w:jc w:val="both"/>
    </w:pPr>
    <w:rPr>
      <w:rFonts w:eastAsia="Arial Unicode MS"/>
      <w:kern w:val="2"/>
      <w:sz w:val="22"/>
      <w:szCs w:val="24"/>
    </w:rPr>
  </w:style>
  <w:style w:type="paragraph" w:styleId="Zpat">
    <w:name w:val="footer"/>
    <w:basedOn w:val="Normln"/>
    <w:link w:val="ZpatChar"/>
    <w:uiPriority w:val="99"/>
    <w:rsid w:val="00D35C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5CB3"/>
  </w:style>
  <w:style w:type="paragraph" w:styleId="Textbubliny">
    <w:name w:val="Balloon Text"/>
    <w:basedOn w:val="Normln"/>
    <w:semiHidden/>
    <w:rsid w:val="003F2EA9"/>
    <w:rPr>
      <w:rFonts w:ascii="Tahoma" w:hAnsi="Tahoma" w:cs="Tahoma"/>
      <w:sz w:val="16"/>
      <w:szCs w:val="16"/>
    </w:rPr>
  </w:style>
  <w:style w:type="numbering" w:styleId="1ai">
    <w:name w:val="Outline List 1"/>
    <w:basedOn w:val="Bezseznamu"/>
    <w:rsid w:val="00494267"/>
    <w:pPr>
      <w:numPr>
        <w:numId w:val="15"/>
      </w:numPr>
    </w:pPr>
  </w:style>
  <w:style w:type="paragraph" w:styleId="Rozloendokumentu">
    <w:name w:val="Document Map"/>
    <w:basedOn w:val="Normln"/>
    <w:semiHidden/>
    <w:rsid w:val="009E2E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6D279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6D2793"/>
    <w:rPr>
      <w:sz w:val="22"/>
      <w:szCs w:val="22"/>
      <w:lang w:eastAsia="en-US"/>
    </w:rPr>
  </w:style>
  <w:style w:type="paragraph" w:customStyle="1" w:styleId="right">
    <w:name w:val="right"/>
    <w:basedOn w:val="Normln"/>
    <w:rsid w:val="00F91A4E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Odkaznakoment">
    <w:name w:val="annotation reference"/>
    <w:rsid w:val="00F474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74C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F474C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474CF"/>
    <w:rPr>
      <w:b/>
      <w:bCs/>
    </w:rPr>
  </w:style>
  <w:style w:type="character" w:customStyle="1" w:styleId="PedmtkomenteChar">
    <w:name w:val="Předmět komentáře Char"/>
    <w:link w:val="Pedmtkomente"/>
    <w:rsid w:val="00F474CF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rsid w:val="009E3BD7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9E3BD7"/>
    <w:rPr>
      <w:rFonts w:eastAsia="Calibri"/>
      <w:lang w:eastAsia="en-US"/>
    </w:rPr>
  </w:style>
  <w:style w:type="character" w:styleId="Znakapoznpodarou">
    <w:name w:val="footnote reference"/>
    <w:rsid w:val="009E3BD7"/>
    <w:rPr>
      <w:rFonts w:cs="Times New Roman"/>
      <w:vertAlign w:val="superscript"/>
    </w:rPr>
  </w:style>
  <w:style w:type="paragraph" w:styleId="Titulek">
    <w:name w:val="caption"/>
    <w:basedOn w:val="Normln"/>
    <w:next w:val="Normln"/>
    <w:qFormat/>
    <w:rsid w:val="009E3BD7"/>
    <w:rPr>
      <w:rFonts w:eastAsia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D7D68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A58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scasny@czp.c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monik@stemmar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6C8D-6D78-419F-97A2-732C4E72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4348C3E0</Template>
  <TotalTime>0</TotalTime>
  <Pages>7</Pages>
  <Words>2199</Words>
  <Characters>12980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3</vt:lpstr>
      <vt:lpstr>Příloha 3</vt:lpstr>
    </vt:vector>
  </TitlesOfParts>
  <Company>Univerzita Karlova v Praze</Company>
  <LinksUpToDate>false</LinksUpToDate>
  <CharactersWithSpaces>15149</CharactersWithSpaces>
  <SharedDoc>false</SharedDoc>
  <HLinks>
    <vt:vector size="6" baseType="variant"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mailto:milan.scasny@czp.cuni.cz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3</dc:title>
  <dc:creator>COZP UK</dc:creator>
  <cp:lastModifiedBy>czpmaca</cp:lastModifiedBy>
  <cp:revision>2</cp:revision>
  <cp:lastPrinted>2015-09-21T11:34:00Z</cp:lastPrinted>
  <dcterms:created xsi:type="dcterms:W3CDTF">2018-05-24T08:41:00Z</dcterms:created>
  <dcterms:modified xsi:type="dcterms:W3CDTF">2018-05-24T08:41:00Z</dcterms:modified>
</cp:coreProperties>
</file>