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E7F" w:rsidRDefault="004B77F2">
      <w:pPr>
        <w:spacing w:after="0" w:line="240" w:lineRule="auto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641985</wp:posOffset>
                </wp:positionH>
                <wp:positionV relativeFrom="paragraph">
                  <wp:posOffset>-8357870</wp:posOffset>
                </wp:positionV>
                <wp:extent cx="2095500" cy="395605"/>
                <wp:effectExtent l="0" t="0" r="0" b="0"/>
                <wp:wrapNone/>
                <wp:docPr id="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1E7F" w:rsidRDefault="004B77F2">
                            <w:pPr>
                              <w:spacing w:before="0" w:after="0"/>
                              <w:rPr>
                                <w:rFonts w:asciiTheme="majorHAnsi" w:hAnsiTheme="majorHAnsi"/>
                                <w:b/>
                                <w:color w:val="ED1A3B"/>
                                <w:sz w:val="4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ED1A3B"/>
                                <w:sz w:val="40"/>
                                <w:szCs w:val="20"/>
                              </w:rPr>
                              <w:t>ORIGINÁL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50.55pt;margin-top:-658.1pt;width:165pt;height:31.1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" filled="f" stroked="f">
                <v:textbox>
                  <w:txbxContent>
                    <w:p>
                      <w:pPr>
                        <w:spacing w:before="0" w:after="0"/>
                        <w:rPr>
                          <w:rFonts w:asciiTheme="majorHAnsi" w:hAnsiTheme="majorHAnsi"/>
                          <w:b/>
                          <w:color w:val="ED1A3B"/>
                          <w:sz w:val="4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ED1A3B"/>
                          <w:sz w:val="40"/>
                          <w:szCs w:val="20"/>
                        </w:rPr>
                        <w:t>ORIGINÁL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Address"/>
      <w:bookmarkStart w:id="1" w:name="_Toc406401713"/>
      <w:bookmarkEnd w:id="0"/>
    </w:p>
    <w:p w:rsidR="00C41E7F" w:rsidRDefault="004B77F2">
      <w:pPr>
        <w:spacing w:before="106"/>
        <w:jc w:val="center"/>
        <w:outlineLvl w:val="0"/>
        <w:rPr>
          <w:rFonts w:ascii="Trebuchet MS" w:eastAsia="+mj-ea" w:hAnsi="Trebuchet MS" w:cs="+mj-cs"/>
          <w:bCs/>
          <w:caps/>
          <w:smallCaps/>
          <w:color w:val="685040" w:themeColor="text2"/>
          <w:sz w:val="44"/>
          <w:szCs w:val="36"/>
          <w:lang w:val="en-GB" w:eastAsia="cs-CZ"/>
        </w:rPr>
      </w:pPr>
      <w:bookmarkStart w:id="2" w:name="_Toc378854009"/>
      <w:bookmarkStart w:id="3" w:name="_Toc453269049"/>
      <w:r>
        <w:rPr>
          <w:rFonts w:ascii="Trebuchet MS" w:eastAsia="+mj-ea" w:hAnsi="Trebuchet MS" w:cs="+mj-cs"/>
          <w:bCs/>
          <w:caps/>
          <w:color w:val="685040" w:themeColor="text2"/>
          <w:sz w:val="44"/>
          <w:szCs w:val="36"/>
          <w:lang w:val="en-GB" w:eastAsia="cs-CZ"/>
        </w:rPr>
        <w:t>smlouva o</w:t>
      </w:r>
      <w:bookmarkEnd w:id="2"/>
      <w:r>
        <w:rPr>
          <w:rFonts w:ascii="Trebuchet MS" w:eastAsia="+mj-ea" w:hAnsi="Trebuchet MS" w:cs="+mj-cs"/>
          <w:bCs/>
          <w:caps/>
          <w:color w:val="685040" w:themeColor="text2"/>
          <w:sz w:val="44"/>
          <w:szCs w:val="36"/>
          <w:lang w:val="en-GB" w:eastAsia="cs-CZ"/>
        </w:rPr>
        <w:t xml:space="preserve"> DÍLO</w:t>
      </w:r>
    </w:p>
    <w:p w:rsidR="00C41E7F" w:rsidRDefault="004B77F2">
      <w:pPr>
        <w:rPr>
          <w:rFonts w:ascii="Trebuchet MS" w:hAnsi="Trebuchet MS"/>
          <w:smallCaps/>
          <w:noProof/>
          <w:color w:val="685040" w:themeColor="text2"/>
          <w:sz w:val="20"/>
          <w:lang w:eastAsia="cs-CZ"/>
        </w:rPr>
      </w:pPr>
      <w:r>
        <w:rPr>
          <w:rFonts w:ascii="Trebuchet MS" w:hAnsi="Trebuchet MS"/>
          <w:noProof/>
          <w:color w:val="685040" w:themeColor="text2"/>
          <w:sz w:val="20"/>
          <w:lang w:eastAsia="cs-CZ"/>
        </w:rPr>
        <w:t>S M L U V N Í     S T R A N Y</w:t>
      </w:r>
    </w:p>
    <w:p w:rsidR="00C41E7F" w:rsidRDefault="004B77F2">
      <w:pPr>
        <w:spacing w:before="0" w:after="0" w:line="240" w:lineRule="auto"/>
        <w:rPr>
          <w:rFonts w:ascii="Trebuchet MS" w:hAnsi="Trebuchet MS"/>
          <w:bCs/>
          <w:color w:val="685040" w:themeColor="text2"/>
          <w:sz w:val="20"/>
          <w:lang w:eastAsia="cs-CZ"/>
        </w:rPr>
      </w:pPr>
      <w:r>
        <w:rPr>
          <w:rFonts w:ascii="Trebuchet MS" w:hAnsi="Trebuchet MS"/>
          <w:bCs/>
          <w:color w:val="685040" w:themeColor="text2"/>
          <w:sz w:val="20"/>
          <w:lang w:eastAsia="cs-CZ"/>
        </w:rPr>
        <w:t>Obchodní firma:</w:t>
      </w:r>
      <w:r>
        <w:rPr>
          <w:rFonts w:ascii="Trebuchet MS" w:hAnsi="Trebuchet MS"/>
          <w:bCs/>
          <w:color w:val="685040" w:themeColor="text2"/>
          <w:sz w:val="20"/>
          <w:lang w:eastAsia="cs-CZ"/>
        </w:rPr>
        <w:tab/>
      </w:r>
      <w:r>
        <w:rPr>
          <w:rFonts w:ascii="Trebuchet MS" w:hAnsi="Trebuchet MS"/>
          <w:bCs/>
          <w:color w:val="685040" w:themeColor="text2"/>
          <w:sz w:val="20"/>
          <w:lang w:eastAsia="cs-CZ"/>
        </w:rPr>
        <w:tab/>
      </w:r>
      <w:r>
        <w:rPr>
          <w:rFonts w:ascii="Trebuchet MS" w:hAnsi="Trebuchet MS"/>
          <w:b/>
          <w:bCs/>
          <w:color w:val="685040" w:themeColor="text2"/>
          <w:sz w:val="20"/>
          <w:lang w:eastAsia="cs-CZ"/>
        </w:rPr>
        <w:t>Nemocnice Na Homolce</w:t>
      </w:r>
    </w:p>
    <w:p w:rsidR="00C41E7F" w:rsidRDefault="004B77F2">
      <w:pPr>
        <w:spacing w:before="0" w:after="0" w:line="240" w:lineRule="auto"/>
        <w:rPr>
          <w:rFonts w:ascii="Trebuchet MS" w:hAnsi="Trebuchet MS"/>
          <w:bCs/>
          <w:color w:val="685040" w:themeColor="text2"/>
          <w:sz w:val="20"/>
          <w:lang w:eastAsia="cs-CZ"/>
        </w:rPr>
      </w:pPr>
      <w:r>
        <w:rPr>
          <w:rFonts w:ascii="Trebuchet MS" w:hAnsi="Trebuchet MS"/>
          <w:bCs/>
          <w:color w:val="685040" w:themeColor="text2"/>
          <w:sz w:val="20"/>
          <w:lang w:eastAsia="cs-CZ"/>
        </w:rPr>
        <w:t>IČO:</w:t>
      </w:r>
      <w:r>
        <w:rPr>
          <w:rFonts w:ascii="Trebuchet MS" w:hAnsi="Trebuchet MS"/>
          <w:bCs/>
          <w:color w:val="685040" w:themeColor="text2"/>
          <w:sz w:val="20"/>
          <w:lang w:eastAsia="cs-CZ"/>
        </w:rPr>
        <w:tab/>
      </w:r>
      <w:r>
        <w:rPr>
          <w:rFonts w:ascii="Trebuchet MS" w:hAnsi="Trebuchet MS"/>
          <w:bCs/>
          <w:color w:val="685040" w:themeColor="text2"/>
          <w:sz w:val="20"/>
          <w:lang w:eastAsia="cs-CZ"/>
        </w:rPr>
        <w:tab/>
      </w:r>
      <w:r>
        <w:rPr>
          <w:rFonts w:ascii="Trebuchet MS" w:hAnsi="Trebuchet MS"/>
          <w:bCs/>
          <w:color w:val="685040" w:themeColor="text2"/>
          <w:sz w:val="20"/>
          <w:lang w:eastAsia="cs-CZ"/>
        </w:rPr>
        <w:tab/>
      </w:r>
      <w:r>
        <w:rPr>
          <w:rFonts w:ascii="Trebuchet MS" w:hAnsi="Trebuchet MS"/>
          <w:bCs/>
          <w:color w:val="685040" w:themeColor="text2"/>
          <w:sz w:val="20"/>
          <w:lang w:eastAsia="cs-CZ"/>
        </w:rPr>
        <w:tab/>
        <w:t>00023884</w:t>
      </w:r>
    </w:p>
    <w:p w:rsidR="00C41E7F" w:rsidRDefault="004B77F2">
      <w:pPr>
        <w:spacing w:before="0" w:after="0" w:line="240" w:lineRule="auto"/>
        <w:rPr>
          <w:rFonts w:ascii="Trebuchet MS" w:hAnsi="Trebuchet MS"/>
          <w:bCs/>
          <w:color w:val="685040" w:themeColor="text2"/>
          <w:sz w:val="20"/>
          <w:lang w:eastAsia="cs-CZ"/>
        </w:rPr>
      </w:pPr>
      <w:r>
        <w:rPr>
          <w:rFonts w:ascii="Trebuchet MS" w:hAnsi="Trebuchet MS"/>
          <w:bCs/>
          <w:color w:val="685040" w:themeColor="text2"/>
          <w:sz w:val="20"/>
          <w:lang w:eastAsia="cs-CZ"/>
        </w:rPr>
        <w:t>Se sídlem:</w:t>
      </w:r>
      <w:r>
        <w:rPr>
          <w:rFonts w:ascii="Trebuchet MS" w:hAnsi="Trebuchet MS"/>
          <w:bCs/>
          <w:color w:val="685040" w:themeColor="text2"/>
          <w:sz w:val="20"/>
          <w:lang w:eastAsia="cs-CZ"/>
        </w:rPr>
        <w:tab/>
      </w:r>
      <w:r>
        <w:rPr>
          <w:rFonts w:ascii="Trebuchet MS" w:hAnsi="Trebuchet MS"/>
          <w:bCs/>
          <w:color w:val="685040" w:themeColor="text2"/>
          <w:sz w:val="20"/>
          <w:lang w:eastAsia="cs-CZ"/>
        </w:rPr>
        <w:tab/>
      </w:r>
      <w:r>
        <w:rPr>
          <w:rFonts w:ascii="Trebuchet MS" w:hAnsi="Trebuchet MS"/>
          <w:bCs/>
          <w:color w:val="685040" w:themeColor="text2"/>
          <w:sz w:val="20"/>
          <w:lang w:eastAsia="cs-CZ"/>
        </w:rPr>
        <w:tab/>
        <w:t>Roentgenova 37/2, 150 30 Praha 5</w:t>
      </w:r>
    </w:p>
    <w:p w:rsidR="00C41E7F" w:rsidRDefault="004B77F2">
      <w:pPr>
        <w:spacing w:before="0" w:after="0" w:line="240" w:lineRule="auto"/>
        <w:rPr>
          <w:rFonts w:ascii="Trebuchet MS" w:hAnsi="Trebuchet MS"/>
          <w:bCs/>
          <w:color w:val="685040" w:themeColor="text2"/>
          <w:sz w:val="20"/>
          <w:lang w:eastAsia="cs-CZ"/>
        </w:rPr>
      </w:pPr>
      <w:r>
        <w:rPr>
          <w:rFonts w:ascii="Trebuchet MS" w:hAnsi="Trebuchet MS"/>
          <w:bCs/>
          <w:color w:val="685040" w:themeColor="text2"/>
          <w:sz w:val="20"/>
          <w:lang w:eastAsia="cs-CZ"/>
        </w:rPr>
        <w:t>Zastoupena:</w:t>
      </w:r>
      <w:r>
        <w:rPr>
          <w:rFonts w:ascii="Trebuchet MS" w:hAnsi="Trebuchet MS"/>
          <w:bCs/>
          <w:color w:val="685040" w:themeColor="text2"/>
          <w:sz w:val="20"/>
          <w:lang w:eastAsia="cs-CZ"/>
        </w:rPr>
        <w:tab/>
      </w:r>
      <w:r>
        <w:rPr>
          <w:rFonts w:ascii="Trebuchet MS" w:hAnsi="Trebuchet MS"/>
          <w:bCs/>
          <w:color w:val="685040" w:themeColor="text2"/>
          <w:sz w:val="20"/>
          <w:lang w:eastAsia="cs-CZ"/>
        </w:rPr>
        <w:tab/>
      </w:r>
      <w:r>
        <w:rPr>
          <w:rFonts w:ascii="Trebuchet MS" w:hAnsi="Trebuchet MS"/>
          <w:bCs/>
          <w:color w:val="685040" w:themeColor="text2"/>
          <w:sz w:val="20"/>
          <w:lang w:eastAsia="cs-CZ"/>
        </w:rPr>
        <w:tab/>
        <w:t xml:space="preserve">Dr. Ing. </w:t>
      </w:r>
      <w:r>
        <w:rPr>
          <w:rFonts w:ascii="Trebuchet MS" w:hAnsi="Trebuchet MS"/>
          <w:bCs/>
          <w:color w:val="685040" w:themeColor="text2"/>
          <w:sz w:val="20"/>
          <w:lang w:eastAsia="cs-CZ"/>
        </w:rPr>
        <w:t>Ivanem Olivou, ředitelem nemocnice</w:t>
      </w:r>
    </w:p>
    <w:p w:rsidR="00C41E7F" w:rsidRDefault="004B77F2">
      <w:pPr>
        <w:spacing w:before="0" w:after="0" w:line="240" w:lineRule="auto"/>
        <w:rPr>
          <w:rFonts w:ascii="Trebuchet MS" w:hAnsi="Trebuchet MS"/>
          <w:bCs/>
          <w:color w:val="685040" w:themeColor="text2"/>
          <w:sz w:val="20"/>
          <w:lang w:eastAsia="cs-CZ"/>
        </w:rPr>
      </w:pPr>
      <w:r>
        <w:rPr>
          <w:rFonts w:ascii="Trebuchet MS" w:hAnsi="Trebuchet MS"/>
          <w:bCs/>
          <w:color w:val="685040" w:themeColor="text2"/>
          <w:sz w:val="20"/>
          <w:lang w:eastAsia="cs-CZ"/>
        </w:rPr>
        <w:t>Bankovní spojení:</w:t>
      </w:r>
      <w:r>
        <w:rPr>
          <w:rFonts w:ascii="Trebuchet MS" w:hAnsi="Trebuchet MS"/>
          <w:bCs/>
          <w:color w:val="685040" w:themeColor="text2"/>
          <w:sz w:val="20"/>
          <w:lang w:eastAsia="cs-CZ"/>
        </w:rPr>
        <w:tab/>
      </w:r>
      <w:r>
        <w:rPr>
          <w:rFonts w:ascii="Trebuchet MS" w:hAnsi="Trebuchet MS"/>
          <w:bCs/>
          <w:color w:val="685040" w:themeColor="text2"/>
          <w:sz w:val="20"/>
          <w:lang w:eastAsia="cs-CZ"/>
        </w:rPr>
        <w:tab/>
        <w:t>ČSOB, a.s., Praha 5</w:t>
      </w:r>
    </w:p>
    <w:p w:rsidR="00C41E7F" w:rsidRDefault="004B77F2">
      <w:pPr>
        <w:spacing w:before="0" w:after="0" w:line="240" w:lineRule="auto"/>
        <w:rPr>
          <w:rFonts w:ascii="Trebuchet MS" w:hAnsi="Trebuchet MS" w:cs="Arial"/>
          <w:color w:val="685040" w:themeColor="text2"/>
          <w:sz w:val="20"/>
          <w:lang w:eastAsia="cs-CZ"/>
        </w:rPr>
      </w:pPr>
      <w:r>
        <w:rPr>
          <w:rFonts w:ascii="Trebuchet MS" w:hAnsi="Trebuchet MS"/>
          <w:bCs/>
          <w:color w:val="685040" w:themeColor="text2"/>
          <w:sz w:val="20"/>
          <w:lang w:eastAsia="cs-CZ"/>
        </w:rPr>
        <w:t>Číslo účtu:</w:t>
      </w:r>
      <w:r>
        <w:rPr>
          <w:rFonts w:ascii="Trebuchet MS" w:hAnsi="Trebuchet MS"/>
          <w:bCs/>
          <w:color w:val="685040" w:themeColor="text2"/>
          <w:sz w:val="20"/>
          <w:lang w:eastAsia="cs-CZ"/>
        </w:rPr>
        <w:tab/>
      </w:r>
      <w:r>
        <w:rPr>
          <w:rFonts w:ascii="Trebuchet MS" w:hAnsi="Trebuchet MS"/>
          <w:bCs/>
          <w:color w:val="685040" w:themeColor="text2"/>
          <w:sz w:val="20"/>
          <w:lang w:eastAsia="cs-CZ"/>
        </w:rPr>
        <w:tab/>
      </w:r>
      <w:r>
        <w:rPr>
          <w:rFonts w:ascii="Trebuchet MS" w:hAnsi="Trebuchet MS"/>
          <w:bCs/>
          <w:color w:val="685040" w:themeColor="text2"/>
          <w:sz w:val="20"/>
          <w:lang w:eastAsia="cs-CZ"/>
        </w:rPr>
        <w:tab/>
        <w:t>5012-1816024093/0300</w:t>
      </w:r>
      <w:hyperlink r:id="rId9" w:history="1"/>
    </w:p>
    <w:p w:rsidR="00C41E7F" w:rsidRDefault="004B77F2">
      <w:pPr>
        <w:spacing w:before="0" w:after="0"/>
        <w:jc w:val="both"/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dále jen "Objednatel''</w:t>
      </w:r>
    </w:p>
    <w:p w:rsidR="00C41E7F" w:rsidRDefault="004B77F2">
      <w:pPr>
        <w:jc w:val="both"/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a</w:t>
      </w:r>
    </w:p>
    <w:p w:rsidR="00C41E7F" w:rsidRDefault="004B77F2">
      <w:pPr>
        <w:tabs>
          <w:tab w:val="left" w:pos="504"/>
          <w:tab w:val="left" w:pos="720"/>
          <w:tab w:val="left" w:pos="1368"/>
          <w:tab w:val="left" w:pos="1584"/>
          <w:tab w:val="left" w:pos="2232"/>
          <w:tab w:val="left" w:pos="2448"/>
          <w:tab w:val="left" w:pos="3096"/>
          <w:tab w:val="left" w:pos="3312"/>
          <w:tab w:val="left" w:pos="3960"/>
          <w:tab w:val="left" w:pos="4176"/>
          <w:tab w:val="left" w:pos="4824"/>
          <w:tab w:val="left" w:pos="5040"/>
          <w:tab w:val="left" w:pos="5688"/>
          <w:tab w:val="left" w:pos="5904"/>
          <w:tab w:val="left" w:pos="6552"/>
          <w:tab w:val="left" w:pos="6768"/>
          <w:tab w:val="left" w:pos="7416"/>
          <w:tab w:val="left" w:pos="7632"/>
          <w:tab w:val="left" w:pos="8280"/>
          <w:tab w:val="left" w:pos="8496"/>
          <w:tab w:val="left" w:pos="9360"/>
          <w:tab w:val="left" w:pos="10224"/>
        </w:tabs>
        <w:spacing w:after="0"/>
        <w:rPr>
          <w:rFonts w:ascii="Trebuchet MS" w:hAnsi="Trebuchet MS"/>
          <w:b/>
          <w:bCs/>
          <w:color w:val="685040" w:themeColor="text2"/>
          <w:sz w:val="20"/>
          <w:lang w:eastAsia="cs-CZ"/>
        </w:rPr>
      </w:pPr>
      <w:r>
        <w:rPr>
          <w:rFonts w:ascii="Trebuchet MS" w:hAnsi="Trebuchet MS"/>
          <w:b/>
          <w:bCs/>
          <w:color w:val="685040" w:themeColor="text2"/>
          <w:sz w:val="20"/>
          <w:lang w:eastAsia="cs-CZ"/>
        </w:rPr>
        <w:t xml:space="preserve">BDO Audit s.r.o. </w:t>
      </w:r>
    </w:p>
    <w:p w:rsidR="00C41E7F" w:rsidRDefault="004B77F2">
      <w:pPr>
        <w:spacing w:before="0" w:after="0"/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 xml:space="preserve">se sídlem Praha 4, Olbrachtova 1980/5, PSČ 140 00 </w:t>
      </w:r>
    </w:p>
    <w:p w:rsidR="00C41E7F" w:rsidRDefault="004B77F2">
      <w:pPr>
        <w:spacing w:before="0" w:after="0"/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zapsaná do obchodního rejstříku vedeného Městským soudem v Praze, oddíl C, vložka 7279</w:t>
      </w:r>
    </w:p>
    <w:p w:rsidR="00C41E7F" w:rsidRDefault="004B77F2">
      <w:pPr>
        <w:spacing w:before="0" w:after="0"/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zastoupená Ing. Petrem Slavíčkem, jednatelem společnosti a</w:t>
      </w:r>
      <w:r>
        <w:rPr>
          <w:rFonts w:ascii="Trebuchet MS" w:hAnsi="Trebuchet MS" w:cs="Arial"/>
          <w:color w:val="685040" w:themeColor="text2"/>
          <w:sz w:val="20"/>
          <w:lang w:eastAsia="cs-CZ"/>
        </w:rPr>
        <w:br/>
        <w:t>Ing. Vlastimilem Hokrem, CSc., jednatelem společnosti</w:t>
      </w:r>
    </w:p>
    <w:p w:rsidR="00C41E7F" w:rsidRDefault="004B77F2">
      <w:pPr>
        <w:spacing w:before="0" w:after="0"/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IČ: 453 14 381</w:t>
      </w:r>
    </w:p>
    <w:p w:rsidR="00C41E7F" w:rsidRDefault="004B77F2">
      <w:pPr>
        <w:spacing w:before="0" w:after="0"/>
        <w:jc w:val="both"/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dále jen “Zhotovitel“</w:t>
      </w:r>
    </w:p>
    <w:p w:rsidR="00C41E7F" w:rsidRDefault="00C41E7F">
      <w:pPr>
        <w:jc w:val="both"/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</w:p>
    <w:p w:rsidR="00C41E7F" w:rsidRDefault="004B77F2">
      <w:pPr>
        <w:jc w:val="both"/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uzavřely níže uved</w:t>
      </w:r>
      <w:r>
        <w:rPr>
          <w:rFonts w:ascii="Trebuchet MS" w:hAnsi="Trebuchet MS" w:cs="Arial"/>
          <w:color w:val="685040" w:themeColor="text2"/>
          <w:sz w:val="20"/>
          <w:lang w:eastAsia="cs-CZ"/>
        </w:rPr>
        <w:t>eného dne, měsíce a roku v souladu s § 2586 a násl. zákona č. 89/2012 Sb. (občanský zákoník)</w:t>
      </w:r>
    </w:p>
    <w:p w:rsidR="00C41E7F" w:rsidRDefault="004B77F2">
      <w:pPr>
        <w:jc w:val="both"/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t u t o</w:t>
      </w:r>
    </w:p>
    <w:p w:rsidR="00C41E7F" w:rsidRDefault="004B77F2">
      <w:pPr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  <w:r>
        <w:rPr>
          <w:rFonts w:ascii="Trebuchet MS" w:hAnsi="Trebuchet MS"/>
          <w:b/>
          <w:noProof/>
          <w:color w:val="685040" w:themeColor="text2"/>
          <w:sz w:val="20"/>
          <w:lang w:eastAsia="cs-CZ"/>
        </w:rPr>
        <w:t>Smlouvu o dílo</w:t>
      </w:r>
    </w:p>
    <w:p w:rsidR="00C41E7F" w:rsidRDefault="004B77F2">
      <w:pPr>
        <w:spacing w:line="288" w:lineRule="auto"/>
        <w:jc w:val="center"/>
        <w:rPr>
          <w:rFonts w:ascii="Trebuchet MS" w:hAnsi="Trebuchet MS" w:cs="Arial"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Článek I.</w:t>
      </w:r>
    </w:p>
    <w:p w:rsidR="00C41E7F" w:rsidRDefault="004B77F2">
      <w:pPr>
        <w:spacing w:line="288" w:lineRule="auto"/>
        <w:jc w:val="center"/>
        <w:rPr>
          <w:rFonts w:ascii="Trebuchet MS" w:hAnsi="Trebuchet MS" w:cs="Arial"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Předmět Smlouvy</w:t>
      </w:r>
    </w:p>
    <w:p w:rsidR="00C41E7F" w:rsidRDefault="004B77F2">
      <w:pPr>
        <w:pStyle w:val="Odstavecseseznamem"/>
        <w:numPr>
          <w:ilvl w:val="0"/>
          <w:numId w:val="27"/>
        </w:numPr>
        <w:spacing w:before="0" w:after="0" w:line="240" w:lineRule="auto"/>
        <w:ind w:left="426" w:hanging="426"/>
        <w:jc w:val="both"/>
        <w:rPr>
          <w:rFonts w:ascii="Trebuchet MS" w:hAnsi="Trebuchet MS" w:cs="Arial"/>
          <w:color w:val="685040" w:themeColor="text2"/>
        </w:rPr>
      </w:pPr>
      <w:r>
        <w:rPr>
          <w:rFonts w:ascii="Trebuchet MS" w:hAnsi="Trebuchet MS" w:cs="Arial"/>
          <w:color w:val="685040" w:themeColor="text2"/>
        </w:rPr>
        <w:t xml:space="preserve">Předmětem této Smlouvy je závazek zhotovitele zpracovat studii ekonomických dopadů na Nemocnici Na Homolce, po </w:t>
      </w:r>
      <w:r>
        <w:rPr>
          <w:rFonts w:ascii="Trebuchet MS" w:hAnsi="Trebuchet MS" w:cs="Arial"/>
          <w:color w:val="685040" w:themeColor="text2"/>
        </w:rPr>
        <w:t xml:space="preserve">vstupu Holte </w:t>
      </w:r>
      <w:proofErr w:type="spellStart"/>
      <w:r>
        <w:rPr>
          <w:rFonts w:ascii="Trebuchet MS" w:hAnsi="Trebuchet MS" w:cs="Arial"/>
          <w:color w:val="685040" w:themeColor="text2"/>
        </w:rPr>
        <w:t>Medical</w:t>
      </w:r>
      <w:proofErr w:type="spellEnd"/>
      <w:r>
        <w:rPr>
          <w:rFonts w:ascii="Trebuchet MS" w:hAnsi="Trebuchet MS" w:cs="Arial"/>
          <w:color w:val="685040" w:themeColor="text2"/>
        </w:rPr>
        <w:t>, a.s., do likvidace. Předmětem této Smlouvy je rovněž závazek objednatele zaplatit zhotoviteli za řádně a včas zpracované a předané dílo sjednanou cenu.</w:t>
      </w:r>
    </w:p>
    <w:p w:rsidR="00C41E7F" w:rsidRDefault="004B77F2">
      <w:pPr>
        <w:pStyle w:val="Odstavecseseznamem"/>
        <w:numPr>
          <w:ilvl w:val="0"/>
          <w:numId w:val="27"/>
        </w:numPr>
        <w:spacing w:before="0" w:after="0" w:line="240" w:lineRule="auto"/>
        <w:ind w:left="426" w:hanging="426"/>
        <w:jc w:val="both"/>
        <w:rPr>
          <w:rFonts w:ascii="Trebuchet MS" w:hAnsi="Trebuchet MS" w:cs="Arial"/>
          <w:smallCaps/>
          <w:color w:val="685040" w:themeColor="text2"/>
        </w:rPr>
      </w:pPr>
      <w:r>
        <w:rPr>
          <w:rFonts w:ascii="Trebuchet MS" w:hAnsi="Trebuchet MS" w:cs="Arial"/>
          <w:color w:val="685040" w:themeColor="text2"/>
        </w:rPr>
        <w:t>Předmětem studie dle odstavce 1 bude:</w:t>
      </w:r>
    </w:p>
    <w:p w:rsidR="00C41E7F" w:rsidRDefault="004B77F2">
      <w:pPr>
        <w:pStyle w:val="Odstavecseseznamem"/>
        <w:numPr>
          <w:ilvl w:val="0"/>
          <w:numId w:val="30"/>
        </w:numPr>
        <w:spacing w:before="0" w:after="0" w:line="240" w:lineRule="auto"/>
        <w:jc w:val="both"/>
        <w:rPr>
          <w:rFonts w:ascii="Trebuchet MS" w:hAnsi="Trebuchet MS" w:cs="Arial"/>
          <w:color w:val="685040" w:themeColor="text2"/>
        </w:rPr>
      </w:pPr>
      <w:r>
        <w:rPr>
          <w:rFonts w:ascii="Trebuchet MS" w:hAnsi="Trebuchet MS" w:cs="Arial"/>
          <w:color w:val="685040" w:themeColor="text2"/>
        </w:rPr>
        <w:t>Kvantifikace objemu zdravotních služeb, kter</w:t>
      </w:r>
      <w:r>
        <w:rPr>
          <w:rFonts w:ascii="Trebuchet MS" w:hAnsi="Trebuchet MS" w:cs="Arial"/>
          <w:color w:val="685040" w:themeColor="text2"/>
        </w:rPr>
        <w:t xml:space="preserve">ou by NNH nemohla vykonávat v případě, že nebude nakupovat </w:t>
      </w:r>
      <w:proofErr w:type="spellStart"/>
      <w:r>
        <w:rPr>
          <w:rFonts w:ascii="Trebuchet MS" w:hAnsi="Trebuchet MS" w:cs="Arial"/>
          <w:color w:val="685040" w:themeColor="text2"/>
        </w:rPr>
        <w:t>nevysoutěžený</w:t>
      </w:r>
      <w:proofErr w:type="spellEnd"/>
      <w:r>
        <w:rPr>
          <w:rFonts w:ascii="Trebuchet MS" w:hAnsi="Trebuchet MS" w:cs="Arial"/>
          <w:color w:val="685040" w:themeColor="text2"/>
        </w:rPr>
        <w:t xml:space="preserve"> materiál.</w:t>
      </w:r>
    </w:p>
    <w:p w:rsidR="00C41E7F" w:rsidRDefault="004B77F2">
      <w:pPr>
        <w:pStyle w:val="Odstavecseseznamem"/>
        <w:numPr>
          <w:ilvl w:val="0"/>
          <w:numId w:val="30"/>
        </w:numPr>
        <w:spacing w:before="0" w:after="0" w:line="240" w:lineRule="auto"/>
        <w:jc w:val="both"/>
        <w:rPr>
          <w:rFonts w:ascii="Trebuchet MS" w:hAnsi="Trebuchet MS" w:cs="Arial"/>
          <w:color w:val="685040" w:themeColor="text2"/>
        </w:rPr>
      </w:pPr>
      <w:r>
        <w:rPr>
          <w:rFonts w:ascii="Trebuchet MS" w:hAnsi="Trebuchet MS" w:cs="Arial"/>
          <w:color w:val="685040" w:themeColor="text2"/>
        </w:rPr>
        <w:t>Kvantifikace a rozčlenění škod, které by mohly vzniknout NNH neposkytováním služeb dle předchozího odstavce.</w:t>
      </w:r>
    </w:p>
    <w:p w:rsidR="00C41E7F" w:rsidRDefault="004B77F2">
      <w:pPr>
        <w:pStyle w:val="Odstavecseseznamem"/>
        <w:numPr>
          <w:ilvl w:val="0"/>
          <w:numId w:val="30"/>
        </w:numPr>
        <w:spacing w:before="0" w:after="0" w:line="240" w:lineRule="auto"/>
        <w:jc w:val="both"/>
        <w:rPr>
          <w:rFonts w:ascii="Trebuchet MS" w:hAnsi="Trebuchet MS" w:cs="Arial"/>
          <w:color w:val="685040" w:themeColor="text2"/>
        </w:rPr>
      </w:pPr>
      <w:r>
        <w:rPr>
          <w:rFonts w:ascii="Trebuchet MS" w:hAnsi="Trebuchet MS" w:cs="Arial"/>
          <w:color w:val="685040" w:themeColor="text2"/>
        </w:rPr>
        <w:t>Kvantifikace a rozčlenění škod a jiných ekonomicko-právních nega</w:t>
      </w:r>
      <w:r>
        <w:rPr>
          <w:rFonts w:ascii="Trebuchet MS" w:hAnsi="Trebuchet MS" w:cs="Arial"/>
          <w:color w:val="685040" w:themeColor="text2"/>
        </w:rPr>
        <w:t>tivních následků, které by mohly NNH vzniknout, pokud by zachovala stávající rozsah zdravotních služeb i v době, kdy by nemohla nakupovat potřebný materiál v souladu s platnou legislativou. Bude využit a zohledněn externí právní rozbor uvedené problematiky</w:t>
      </w:r>
      <w:r>
        <w:rPr>
          <w:rFonts w:ascii="Trebuchet MS" w:hAnsi="Trebuchet MS" w:cs="Arial"/>
          <w:color w:val="685040" w:themeColor="text2"/>
        </w:rPr>
        <w:t xml:space="preserve"> (bude předán při podpisu smlouvy).</w:t>
      </w:r>
    </w:p>
    <w:p w:rsidR="00C41E7F" w:rsidRDefault="004B77F2">
      <w:pPr>
        <w:pStyle w:val="Odstavecseseznamem"/>
        <w:numPr>
          <w:ilvl w:val="0"/>
          <w:numId w:val="30"/>
        </w:numPr>
        <w:spacing w:before="0" w:after="0" w:line="240" w:lineRule="auto"/>
        <w:jc w:val="both"/>
        <w:rPr>
          <w:rFonts w:ascii="Trebuchet MS" w:hAnsi="Trebuchet MS" w:cs="Arial"/>
          <w:b/>
          <w:color w:val="685040" w:themeColor="text2"/>
          <w:szCs w:val="24"/>
        </w:rPr>
      </w:pPr>
      <w:r>
        <w:rPr>
          <w:rFonts w:ascii="Trebuchet MS" w:hAnsi="Trebuchet MS" w:cs="Arial"/>
          <w:color w:val="685040" w:themeColor="text2"/>
        </w:rPr>
        <w:t>Závěr a doporučení.</w:t>
      </w:r>
    </w:p>
    <w:p w:rsidR="00C41E7F" w:rsidRDefault="004B77F2">
      <w:pPr>
        <w:pStyle w:val="Zkladntext2"/>
        <w:numPr>
          <w:ilvl w:val="0"/>
          <w:numId w:val="27"/>
        </w:numPr>
        <w:spacing w:after="0" w:line="240" w:lineRule="auto"/>
        <w:ind w:left="426" w:hanging="426"/>
        <w:jc w:val="both"/>
        <w:rPr>
          <w:rFonts w:ascii="Trebuchet MS" w:hAnsi="Trebuchet MS"/>
          <w:color w:val="685040" w:themeColor="text2"/>
          <w:sz w:val="20"/>
          <w:szCs w:val="22"/>
        </w:rPr>
      </w:pPr>
      <w:r>
        <w:rPr>
          <w:rFonts w:ascii="Trebuchet MS" w:hAnsi="Trebuchet MS"/>
          <w:color w:val="685040" w:themeColor="text2"/>
          <w:sz w:val="20"/>
          <w:szCs w:val="22"/>
        </w:rPr>
        <w:t xml:space="preserve">Studie bude zpracována ve dvou vyhotoveních v listinné formě a jednou v elektronické formě na CD/CVD. </w:t>
      </w:r>
    </w:p>
    <w:p w:rsidR="00C41E7F" w:rsidRDefault="004B77F2">
      <w:pPr>
        <w:pStyle w:val="Zkladntext2"/>
        <w:numPr>
          <w:ilvl w:val="0"/>
          <w:numId w:val="27"/>
        </w:numPr>
        <w:spacing w:after="0" w:line="240" w:lineRule="auto"/>
        <w:ind w:left="426" w:hanging="426"/>
        <w:jc w:val="both"/>
        <w:rPr>
          <w:rFonts w:ascii="Trebuchet MS" w:hAnsi="Trebuchet MS"/>
          <w:color w:val="685040" w:themeColor="text2"/>
          <w:sz w:val="20"/>
          <w:szCs w:val="22"/>
        </w:rPr>
      </w:pPr>
      <w:r>
        <w:rPr>
          <w:rFonts w:ascii="Trebuchet MS" w:hAnsi="Trebuchet MS"/>
          <w:color w:val="685040" w:themeColor="text2"/>
          <w:sz w:val="20"/>
          <w:szCs w:val="22"/>
        </w:rPr>
        <w:t xml:space="preserve">Vypracování studie bude předcházet nejvýše 10 koordinačních hodin pro předání podkladů a upřesnění zadání a formy zpracování studie </w:t>
      </w:r>
    </w:p>
    <w:p w:rsidR="00C41E7F" w:rsidRDefault="004B77F2">
      <w:pPr>
        <w:pStyle w:val="Zkladntext2"/>
        <w:numPr>
          <w:ilvl w:val="0"/>
          <w:numId w:val="27"/>
        </w:numPr>
        <w:spacing w:after="0" w:line="240" w:lineRule="auto"/>
        <w:ind w:left="426" w:hanging="426"/>
        <w:jc w:val="both"/>
        <w:rPr>
          <w:rFonts w:ascii="Trebuchet MS" w:hAnsi="Trebuchet MS"/>
          <w:color w:val="685040" w:themeColor="text2"/>
          <w:sz w:val="20"/>
          <w:szCs w:val="22"/>
        </w:rPr>
      </w:pPr>
      <w:r>
        <w:rPr>
          <w:rFonts w:ascii="Trebuchet MS" w:hAnsi="Trebuchet MS"/>
          <w:color w:val="685040" w:themeColor="text2"/>
          <w:sz w:val="20"/>
          <w:szCs w:val="22"/>
        </w:rPr>
        <w:t>Objednatel je oprávněn si vyžádat až 10 konzultačních hodin, které proběhnou nejpozději do 2 měsíců od předání a převzetí s</w:t>
      </w:r>
      <w:r>
        <w:rPr>
          <w:rFonts w:ascii="Trebuchet MS" w:hAnsi="Trebuchet MS"/>
          <w:color w:val="685040" w:themeColor="text2"/>
          <w:sz w:val="20"/>
          <w:szCs w:val="22"/>
        </w:rPr>
        <w:t xml:space="preserve">tudie. </w:t>
      </w:r>
    </w:p>
    <w:p w:rsidR="00C41E7F" w:rsidRDefault="00C41E7F">
      <w:pPr>
        <w:spacing w:line="288" w:lineRule="auto"/>
        <w:jc w:val="both"/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</w:p>
    <w:p w:rsidR="00C41E7F" w:rsidRDefault="004B77F2">
      <w:pPr>
        <w:jc w:val="center"/>
        <w:rPr>
          <w:rFonts w:ascii="Trebuchet MS" w:hAnsi="Trebuchet MS" w:cs="Arial"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Článek II.</w:t>
      </w:r>
    </w:p>
    <w:p w:rsidR="00C41E7F" w:rsidRDefault="004B77F2">
      <w:pPr>
        <w:jc w:val="center"/>
        <w:rPr>
          <w:rFonts w:ascii="Trebuchet MS" w:hAnsi="Trebuchet MS" w:cs="Arial"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Práva a povinnosti smluvních stran</w:t>
      </w:r>
    </w:p>
    <w:p w:rsidR="00C41E7F" w:rsidRDefault="004B77F2">
      <w:pPr>
        <w:numPr>
          <w:ilvl w:val="0"/>
          <w:numId w:val="23"/>
        </w:numPr>
        <w:spacing w:before="0" w:after="0" w:line="240" w:lineRule="auto"/>
        <w:jc w:val="both"/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Zhotovitel se zavazuje provést předmět této Smlouvy v rozsahu definovaném v čl. I. této Smlouvy a odevzdat vypracovanou studii objednateli nejpozději 31. 7. 2016.</w:t>
      </w:r>
    </w:p>
    <w:p w:rsidR="00C41E7F" w:rsidRDefault="004B77F2">
      <w:pPr>
        <w:numPr>
          <w:ilvl w:val="0"/>
          <w:numId w:val="23"/>
        </w:numPr>
        <w:spacing w:before="0" w:after="0" w:line="240" w:lineRule="auto"/>
        <w:jc w:val="both"/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Zhotovitel se zavazuje uskutečňovat sv</w:t>
      </w:r>
      <w:r>
        <w:rPr>
          <w:rFonts w:ascii="Trebuchet MS" w:hAnsi="Trebuchet MS" w:cs="Arial"/>
          <w:color w:val="685040" w:themeColor="text2"/>
          <w:sz w:val="20"/>
          <w:lang w:eastAsia="cs-CZ"/>
        </w:rPr>
        <w:t>ou činnost podle pokynů objednatele a v souladu s jeho zájmy, pokud tyto nebudou v rozporu s obecně platnými právními předpisy.</w:t>
      </w:r>
    </w:p>
    <w:p w:rsidR="00C41E7F" w:rsidRDefault="004B77F2">
      <w:pPr>
        <w:numPr>
          <w:ilvl w:val="0"/>
          <w:numId w:val="23"/>
        </w:numPr>
        <w:spacing w:before="0" w:after="0" w:line="240" w:lineRule="auto"/>
        <w:jc w:val="both"/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Zhotovitel se zavazuje předat veškeré informace, zjištění a závěry plynoucí z provedení předmětu této Smlouvy výhradně k tomu ur</w:t>
      </w:r>
      <w:r>
        <w:rPr>
          <w:rFonts w:ascii="Trebuchet MS" w:hAnsi="Trebuchet MS" w:cs="Arial"/>
          <w:color w:val="685040" w:themeColor="text2"/>
          <w:sz w:val="20"/>
          <w:lang w:eastAsia="cs-CZ"/>
        </w:rPr>
        <w:t>čenému pracovníkovi objednatele – kontaktní osobě.</w:t>
      </w:r>
    </w:p>
    <w:p w:rsidR="00C41E7F" w:rsidRDefault="004B77F2">
      <w:pPr>
        <w:numPr>
          <w:ilvl w:val="0"/>
          <w:numId w:val="23"/>
        </w:numPr>
        <w:spacing w:before="0" w:after="0" w:line="240" w:lineRule="auto"/>
        <w:jc w:val="both"/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Zhotovitel se zavazuje provést práce dle této Smlouvy s veškerou potřebnou péčí, chránit jemu známé zájmy objednatele a průběžně objednatele informovat o plnění předmětu této Smlouvy.</w:t>
      </w:r>
    </w:p>
    <w:p w:rsidR="00C41E7F" w:rsidRDefault="004B77F2">
      <w:pPr>
        <w:numPr>
          <w:ilvl w:val="0"/>
          <w:numId w:val="23"/>
        </w:numPr>
        <w:spacing w:before="0" w:after="0" w:line="240" w:lineRule="auto"/>
        <w:jc w:val="both"/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Objednatel je povinen</w:t>
      </w:r>
      <w:r>
        <w:rPr>
          <w:rFonts w:ascii="Trebuchet MS" w:hAnsi="Trebuchet MS" w:cs="Arial"/>
          <w:color w:val="685040" w:themeColor="text2"/>
          <w:sz w:val="20"/>
          <w:lang w:eastAsia="cs-CZ"/>
        </w:rPr>
        <w:t xml:space="preserve"> zajistit zhotoviteli veškerou potřebnou součinnost svých pracovníků, pracovníků a případně i členů vedení a zajistit veškeré informace a podklady potřebné k plnění předmětu Smlouvy.</w:t>
      </w:r>
    </w:p>
    <w:p w:rsidR="00C41E7F" w:rsidRDefault="004B77F2">
      <w:pPr>
        <w:numPr>
          <w:ilvl w:val="0"/>
          <w:numId w:val="23"/>
        </w:numPr>
        <w:spacing w:before="0" w:after="0" w:line="240" w:lineRule="auto"/>
        <w:jc w:val="both"/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Smluvní strany sjednaly, že budou vzájemně spolupracovat a aktivně přistu</w:t>
      </w:r>
      <w:r>
        <w:rPr>
          <w:rFonts w:ascii="Trebuchet MS" w:hAnsi="Trebuchet MS" w:cs="Arial"/>
          <w:color w:val="685040" w:themeColor="text2"/>
          <w:sz w:val="20"/>
          <w:lang w:eastAsia="cs-CZ"/>
        </w:rPr>
        <w:t>povat k řešení jednotlivých oblastí služeb prováděných dle této Smlouvy.</w:t>
      </w:r>
    </w:p>
    <w:p w:rsidR="00C41E7F" w:rsidRDefault="004B77F2">
      <w:pPr>
        <w:numPr>
          <w:ilvl w:val="0"/>
          <w:numId w:val="23"/>
        </w:numPr>
        <w:spacing w:before="0" w:after="0" w:line="240" w:lineRule="auto"/>
        <w:jc w:val="both"/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Zhotovitel je povinen neprodleně informovat objednatele o závažných důvodech bránících provedení nebo dokončení předmětu Smlouvy v dohodnutém rozsahu a v dohodnutých termínech. V tako</w:t>
      </w:r>
      <w:r>
        <w:rPr>
          <w:rFonts w:ascii="Trebuchet MS" w:hAnsi="Trebuchet MS" w:cs="Arial"/>
          <w:color w:val="685040" w:themeColor="text2"/>
          <w:sz w:val="20"/>
          <w:lang w:eastAsia="cs-CZ"/>
        </w:rPr>
        <w:t>vém případě se zhotovitel a objednatel písemně dohodnou, jakým způsobem se zhotovitel s těmito důvody vypořádá a jak se případně změní touto Smlouvou sjednané termíny.</w:t>
      </w:r>
    </w:p>
    <w:p w:rsidR="00C41E7F" w:rsidRDefault="004B77F2">
      <w:pPr>
        <w:numPr>
          <w:ilvl w:val="0"/>
          <w:numId w:val="23"/>
        </w:numPr>
        <w:spacing w:before="0" w:after="0" w:line="240" w:lineRule="auto"/>
        <w:jc w:val="both"/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Každá ze smluvních stran určuje kontaktní osobu, která bude zabezpečovat vzájemné předáv</w:t>
      </w:r>
      <w:r>
        <w:rPr>
          <w:rFonts w:ascii="Trebuchet MS" w:hAnsi="Trebuchet MS" w:cs="Arial"/>
          <w:color w:val="685040" w:themeColor="text2"/>
          <w:sz w:val="20"/>
          <w:lang w:eastAsia="cs-CZ"/>
        </w:rPr>
        <w:t>ání informací a spolupráci, předávání potřebných dokumentů, podkladů a výsledků činnosti dle této Smlouvy. Dojde-li ke změně kontaktní osoby, je kterákoli ze smluvních stran oprávněna změnu nebo doplnění písemně oznámit druhé smluvní straně. Smluvní strany</w:t>
      </w:r>
      <w:r>
        <w:rPr>
          <w:rFonts w:ascii="Trebuchet MS" w:hAnsi="Trebuchet MS" w:cs="Arial"/>
          <w:color w:val="685040" w:themeColor="text2"/>
          <w:sz w:val="20"/>
          <w:lang w:eastAsia="cs-CZ"/>
        </w:rPr>
        <w:t xml:space="preserve"> sjednaly, že změna a doplnění kontaktní osoby nejsou považovány za změny této Smlouvy a nebudou prováděny formou dodatku k této Smlouvě.</w:t>
      </w:r>
    </w:p>
    <w:p w:rsidR="00C41E7F" w:rsidRDefault="00C41E7F">
      <w:pPr>
        <w:ind w:left="540"/>
        <w:jc w:val="both"/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</w:p>
    <w:p w:rsidR="00C41E7F" w:rsidRDefault="004B77F2">
      <w:pPr>
        <w:pStyle w:val="Odstavecseseznamem"/>
        <w:ind w:left="540"/>
        <w:jc w:val="both"/>
        <w:rPr>
          <w:rFonts w:ascii="Trebuchet MS" w:hAnsi="Trebuchet MS" w:cs="Arial"/>
          <w:b/>
          <w:smallCaps/>
          <w:color w:val="685040" w:themeColor="text2"/>
        </w:rPr>
      </w:pPr>
      <w:r>
        <w:rPr>
          <w:rFonts w:ascii="Trebuchet MS" w:hAnsi="Trebuchet MS" w:cs="Arial"/>
          <w:color w:val="685040" w:themeColor="text2"/>
        </w:rPr>
        <w:t xml:space="preserve">Kontaktní osobou na straně Zhotovitele je: </w:t>
      </w:r>
      <w:hyperlink r:id="rId10" w:history="1">
        <w:r>
          <w:rPr>
            <w:rStyle w:val="Hypertextovodkaz"/>
            <w:rFonts w:ascii="Trebuchet MS" w:hAnsi="Trebuchet MS" w:cs="Arial"/>
            <w:color w:val="685040" w:themeColor="text2"/>
          </w:rPr>
          <w:t>petr.slavicek@bdo.cz</w:t>
        </w:r>
      </w:hyperlink>
      <w:r>
        <w:rPr>
          <w:rFonts w:ascii="Trebuchet MS" w:hAnsi="Trebuchet MS" w:cs="Arial"/>
          <w:color w:val="685040" w:themeColor="text2"/>
        </w:rPr>
        <w:t>,</w:t>
      </w:r>
    </w:p>
    <w:p w:rsidR="00C41E7F" w:rsidRDefault="004B77F2">
      <w:pPr>
        <w:pStyle w:val="Odstavecseseznamem"/>
        <w:ind w:left="540"/>
        <w:jc w:val="both"/>
        <w:rPr>
          <w:rFonts w:ascii="Trebuchet MS" w:hAnsi="Trebuchet MS" w:cs="Arial"/>
          <w:b/>
          <w:smallCaps/>
          <w:color w:val="685040" w:themeColor="text2"/>
        </w:rPr>
      </w:pPr>
      <w:r>
        <w:rPr>
          <w:rFonts w:ascii="Trebuchet MS" w:hAnsi="Trebuchet MS" w:cs="Arial"/>
          <w:color w:val="685040" w:themeColor="text2"/>
        </w:rPr>
        <w:t xml:space="preserve">Petr Slavíček (+420 732 632 918) </w:t>
      </w:r>
    </w:p>
    <w:p w:rsidR="00C41E7F" w:rsidRDefault="00C41E7F">
      <w:pPr>
        <w:pStyle w:val="Odstavecseseznamem"/>
        <w:ind w:left="540"/>
        <w:jc w:val="both"/>
        <w:rPr>
          <w:rFonts w:ascii="Trebuchet MS" w:hAnsi="Trebuchet MS" w:cs="Arial"/>
          <w:b/>
          <w:smallCaps/>
          <w:color w:val="685040" w:themeColor="text2"/>
        </w:rPr>
      </w:pPr>
    </w:p>
    <w:p w:rsidR="00C41E7F" w:rsidRDefault="004B77F2">
      <w:pPr>
        <w:pStyle w:val="Odstavecseseznamem"/>
        <w:ind w:left="540"/>
        <w:jc w:val="both"/>
        <w:rPr>
          <w:rFonts w:ascii="Trebuchet MS" w:hAnsi="Trebuchet MS" w:cs="Arial"/>
          <w:color w:val="685040" w:themeColor="text2"/>
        </w:rPr>
      </w:pPr>
      <w:r>
        <w:rPr>
          <w:rFonts w:ascii="Trebuchet MS" w:hAnsi="Trebuchet MS" w:cs="Arial"/>
          <w:color w:val="685040" w:themeColor="text2"/>
        </w:rPr>
        <w:t>Kontaktní osobou na straně Objednatele je:</w:t>
      </w:r>
    </w:p>
    <w:p w:rsidR="00C41E7F" w:rsidRDefault="004B77F2">
      <w:pPr>
        <w:pStyle w:val="Odstavecseseznamem"/>
        <w:ind w:left="540"/>
        <w:jc w:val="both"/>
        <w:rPr>
          <w:rFonts w:ascii="Trebuchet MS" w:hAnsi="Trebuchet MS" w:cs="Arial"/>
          <w:color w:val="685040" w:themeColor="text2"/>
        </w:rPr>
      </w:pPr>
      <w:r>
        <w:rPr>
          <w:rFonts w:ascii="Trebuchet MS" w:hAnsi="Trebuchet MS" w:cs="Arial"/>
          <w:color w:val="685040" w:themeColor="text2"/>
        </w:rPr>
        <w:t xml:space="preserve">Ing. Tomáš Prchal, GSM: 737231271; e-mail: </w:t>
      </w:r>
      <w:hyperlink r:id="rId11" w:history="1">
        <w:r>
          <w:rPr>
            <w:rStyle w:val="Hypertextovodkaz"/>
            <w:rFonts w:ascii="Trebuchet MS" w:hAnsi="Trebuchet MS" w:cs="Arial"/>
            <w:color w:val="685040" w:themeColor="text2"/>
          </w:rPr>
          <w:t>tomas.prchal@homolka.cz</w:t>
        </w:r>
      </w:hyperlink>
      <w:r>
        <w:rPr>
          <w:rFonts w:ascii="Trebuchet MS" w:hAnsi="Trebuchet MS" w:cs="Arial"/>
          <w:color w:val="685040" w:themeColor="text2"/>
        </w:rPr>
        <w:t xml:space="preserve">, </w:t>
      </w:r>
    </w:p>
    <w:p w:rsidR="00C41E7F" w:rsidRDefault="00C41E7F">
      <w:pPr>
        <w:spacing w:line="288" w:lineRule="auto"/>
        <w:rPr>
          <w:rFonts w:ascii="Trebuchet MS" w:hAnsi="Trebuchet MS" w:cs="Arial"/>
          <w:color w:val="685040" w:themeColor="text2"/>
          <w:sz w:val="20"/>
          <w:lang w:eastAsia="cs-CZ"/>
        </w:rPr>
      </w:pPr>
    </w:p>
    <w:p w:rsidR="00C41E7F" w:rsidRDefault="004B77F2">
      <w:pPr>
        <w:spacing w:line="288" w:lineRule="auto"/>
        <w:jc w:val="center"/>
        <w:rPr>
          <w:rFonts w:ascii="Trebuchet MS" w:hAnsi="Trebuchet MS" w:cs="Arial"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Článek III.</w:t>
      </w:r>
    </w:p>
    <w:p w:rsidR="00C41E7F" w:rsidRDefault="004B77F2">
      <w:pPr>
        <w:spacing w:line="288" w:lineRule="auto"/>
        <w:jc w:val="center"/>
        <w:rPr>
          <w:rFonts w:ascii="Trebuchet MS" w:hAnsi="Trebuchet MS" w:cs="Arial"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Termín a místo plnění předmětu Smlouvy</w:t>
      </w:r>
    </w:p>
    <w:p w:rsidR="00C41E7F" w:rsidRDefault="004B77F2">
      <w:pPr>
        <w:numPr>
          <w:ilvl w:val="0"/>
          <w:numId w:val="25"/>
        </w:numPr>
        <w:spacing w:before="0" w:after="0" w:line="240" w:lineRule="auto"/>
        <w:ind w:left="567" w:hanging="567"/>
        <w:jc w:val="both"/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 xml:space="preserve">Termín </w:t>
      </w:r>
      <w:r>
        <w:rPr>
          <w:rFonts w:ascii="Trebuchet MS" w:hAnsi="Trebuchet MS" w:cs="Arial"/>
          <w:color w:val="685040" w:themeColor="text2"/>
          <w:sz w:val="20"/>
          <w:lang w:eastAsia="cs-CZ"/>
        </w:rPr>
        <w:t>plnění pro provedení auditu včetně předání zprávy dle čl. I. odst. 3 Smlouvy je stanoven do 31. 7. 2016.</w:t>
      </w:r>
    </w:p>
    <w:p w:rsidR="00C41E7F" w:rsidRDefault="004B77F2">
      <w:pPr>
        <w:numPr>
          <w:ilvl w:val="0"/>
          <w:numId w:val="25"/>
        </w:numPr>
        <w:spacing w:before="0" w:after="0" w:line="240" w:lineRule="auto"/>
        <w:ind w:left="567" w:hanging="567"/>
        <w:jc w:val="both"/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Místem plnění je sídlo objednatele. Místem předání zprávy dle čl. I. odst. 3 Smlouvy je kontaktní adresa objednatele. Smluvní strany se dohodly, že zpr</w:t>
      </w:r>
      <w:r>
        <w:rPr>
          <w:rFonts w:ascii="Trebuchet MS" w:hAnsi="Trebuchet MS" w:cs="Arial"/>
          <w:color w:val="685040" w:themeColor="text2"/>
          <w:sz w:val="20"/>
          <w:lang w:eastAsia="cs-CZ"/>
        </w:rPr>
        <w:t>áva bude předána kontaktní osobě objednatele.</w:t>
      </w:r>
    </w:p>
    <w:p w:rsidR="00C41E7F" w:rsidRDefault="00C41E7F">
      <w:pPr>
        <w:spacing w:line="288" w:lineRule="auto"/>
        <w:jc w:val="center"/>
        <w:rPr>
          <w:rFonts w:ascii="Trebuchet MS" w:hAnsi="Trebuchet MS" w:cs="Arial"/>
          <w:color w:val="685040" w:themeColor="text2"/>
          <w:sz w:val="20"/>
          <w:lang w:eastAsia="cs-CZ"/>
        </w:rPr>
      </w:pPr>
    </w:p>
    <w:p w:rsidR="00C41E7F" w:rsidRDefault="004B77F2">
      <w:pPr>
        <w:spacing w:after="0" w:line="240" w:lineRule="auto"/>
        <w:rPr>
          <w:rFonts w:ascii="Trebuchet MS" w:hAnsi="Trebuchet MS" w:cs="Arial"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br w:type="page"/>
      </w:r>
    </w:p>
    <w:p w:rsidR="00C41E7F" w:rsidRDefault="004B77F2">
      <w:pPr>
        <w:spacing w:line="288" w:lineRule="auto"/>
        <w:jc w:val="center"/>
        <w:rPr>
          <w:rFonts w:ascii="Trebuchet MS" w:hAnsi="Trebuchet MS" w:cs="Arial"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lastRenderedPageBreak/>
        <w:t>Článek IV.</w:t>
      </w:r>
    </w:p>
    <w:p w:rsidR="00C41E7F" w:rsidRDefault="004B77F2">
      <w:pPr>
        <w:spacing w:line="288" w:lineRule="auto"/>
        <w:jc w:val="center"/>
        <w:rPr>
          <w:rFonts w:ascii="Trebuchet MS" w:hAnsi="Trebuchet MS" w:cs="Arial"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Cena předmětu Smlouvy a fakturace</w:t>
      </w:r>
    </w:p>
    <w:p w:rsidR="00C41E7F" w:rsidRDefault="004B77F2">
      <w:pPr>
        <w:numPr>
          <w:ilvl w:val="0"/>
          <w:numId w:val="28"/>
        </w:numPr>
        <w:tabs>
          <w:tab w:val="clear" w:pos="720"/>
          <w:tab w:val="num" w:pos="567"/>
        </w:tabs>
        <w:spacing w:before="0" w:after="0" w:line="240" w:lineRule="auto"/>
        <w:ind w:left="567" w:hanging="567"/>
        <w:jc w:val="both"/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 xml:space="preserve">Objednatel se zavazuje zaplatit zhotoviteli za řádně provedený, předaný a převzatý předmět této Smlouvy cenu ve výši 240 000 Kč (slovy </w:t>
      </w:r>
      <w:proofErr w:type="spellStart"/>
      <w:r>
        <w:rPr>
          <w:rFonts w:ascii="Trebuchet MS" w:hAnsi="Trebuchet MS" w:cs="Arial"/>
          <w:color w:val="685040" w:themeColor="text2"/>
          <w:sz w:val="20"/>
          <w:lang w:eastAsia="cs-CZ"/>
        </w:rPr>
        <w:t>dvěstěčtyřicettisíc</w:t>
      </w:r>
      <w:proofErr w:type="spellEnd"/>
      <w:r>
        <w:rPr>
          <w:rFonts w:ascii="Trebuchet MS" w:hAnsi="Trebuchet MS" w:cs="Arial"/>
          <w:color w:val="685040" w:themeColor="text2"/>
          <w:sz w:val="20"/>
          <w:lang w:eastAsia="cs-CZ"/>
        </w:rPr>
        <w:t xml:space="preserve"> korun č</w:t>
      </w:r>
      <w:r>
        <w:rPr>
          <w:rFonts w:ascii="Trebuchet MS" w:hAnsi="Trebuchet MS" w:cs="Arial"/>
          <w:color w:val="685040" w:themeColor="text2"/>
          <w:sz w:val="20"/>
          <w:lang w:eastAsia="cs-CZ"/>
        </w:rPr>
        <w:t>eských) bez DPH. K této ceně bude připočtena DPH ve výši stanovené platnými a účinnými právními předpisy k okamžiku uskutečnění zdanitelného plnění. Cena za řádně provedený, předaný a převzatý předmět této Smlouvy bude objednatelem uhrazena na základě jedi</w:t>
      </w:r>
      <w:r>
        <w:rPr>
          <w:rFonts w:ascii="Trebuchet MS" w:hAnsi="Trebuchet MS" w:cs="Arial"/>
          <w:color w:val="685040" w:themeColor="text2"/>
          <w:sz w:val="20"/>
          <w:lang w:eastAsia="cs-CZ"/>
        </w:rPr>
        <w:t>né faktury vystavené zhotovitelem. Zhotovitel je oprávněn fakturovat cenu díla až po převzetí díla objednatelem. Podkladem pro vystavení faktury je protokol o předání a převzetí díla podepsaný oběma smluvními stranami.</w:t>
      </w:r>
    </w:p>
    <w:p w:rsidR="00C41E7F" w:rsidRDefault="004B77F2">
      <w:pPr>
        <w:numPr>
          <w:ilvl w:val="0"/>
          <w:numId w:val="28"/>
        </w:numPr>
        <w:spacing w:before="0" w:after="0" w:line="240" w:lineRule="auto"/>
        <w:ind w:left="567" w:hanging="567"/>
        <w:jc w:val="both"/>
        <w:rPr>
          <w:rFonts w:ascii="Trebuchet MS" w:hAnsi="Trebuchet MS" w:cs="Arial"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Cena stanovená v odst. 1 tohoto článk</w:t>
      </w:r>
      <w:r>
        <w:rPr>
          <w:rFonts w:ascii="Trebuchet MS" w:hAnsi="Trebuchet MS" w:cs="Arial"/>
          <w:color w:val="685040" w:themeColor="text2"/>
          <w:sz w:val="20"/>
          <w:lang w:eastAsia="cs-CZ"/>
        </w:rPr>
        <w:t>u je konečná a zahrnuje veškeré náklady zhotovitele na provedení předmětu této Smlouvy, tj. i veškeré cestovní náhrady.</w:t>
      </w:r>
    </w:p>
    <w:p w:rsidR="00C41E7F" w:rsidRDefault="004B77F2">
      <w:pPr>
        <w:numPr>
          <w:ilvl w:val="0"/>
          <w:numId w:val="28"/>
        </w:numPr>
        <w:spacing w:before="0" w:after="0" w:line="240" w:lineRule="auto"/>
        <w:ind w:left="567" w:hanging="567"/>
        <w:jc w:val="both"/>
        <w:rPr>
          <w:rFonts w:ascii="Trebuchet MS" w:hAnsi="Trebuchet MS" w:cs="Arial"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Cena uvedená v odst. 1 tohoto článku je cena nejvýše přípustná, která může být zvýšena pouze při rozšíření předmětu této Smlouvy nad rám</w:t>
      </w:r>
      <w:r>
        <w:rPr>
          <w:rFonts w:ascii="Trebuchet MS" w:hAnsi="Trebuchet MS" w:cs="Arial"/>
          <w:color w:val="685040" w:themeColor="text2"/>
          <w:sz w:val="20"/>
          <w:lang w:eastAsia="cs-CZ"/>
        </w:rPr>
        <w:t>ec této Smlouvy. Zvýšení ceny dle tohoto odstavce je možné jen na základě uzavřeného písemného dodatku k této Smlouvě.</w:t>
      </w:r>
    </w:p>
    <w:p w:rsidR="00C41E7F" w:rsidRDefault="004B77F2">
      <w:pPr>
        <w:numPr>
          <w:ilvl w:val="0"/>
          <w:numId w:val="28"/>
        </w:numPr>
        <w:spacing w:before="0" w:after="0" w:line="240" w:lineRule="auto"/>
        <w:ind w:left="567" w:hanging="567"/>
        <w:jc w:val="both"/>
        <w:rPr>
          <w:rFonts w:ascii="Trebuchet MS" w:hAnsi="Trebuchet MS" w:cs="Arial"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Splatnost faktury je dohodou smluvních stran stanovena na šedesát (60) kalendářních dnů ode dne prokazatelného doručení faktury objednate</w:t>
      </w:r>
      <w:r>
        <w:rPr>
          <w:rFonts w:ascii="Trebuchet MS" w:hAnsi="Trebuchet MS" w:cs="Arial"/>
          <w:color w:val="685040" w:themeColor="text2"/>
          <w:sz w:val="20"/>
          <w:lang w:eastAsia="cs-CZ"/>
        </w:rPr>
        <w:t>li na kontaktní adresu objednatele.</w:t>
      </w:r>
    </w:p>
    <w:p w:rsidR="00C41E7F" w:rsidRDefault="004B77F2">
      <w:pPr>
        <w:numPr>
          <w:ilvl w:val="0"/>
          <w:numId w:val="28"/>
        </w:numPr>
        <w:spacing w:before="0" w:after="0" w:line="240" w:lineRule="auto"/>
        <w:ind w:left="567" w:hanging="567"/>
        <w:jc w:val="both"/>
        <w:rPr>
          <w:rFonts w:ascii="Trebuchet MS" w:hAnsi="Trebuchet MS" w:cs="Arial"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Faktura musí mít všechny náležitosti řádného účetního a daňového dokladu ve smyslu příslušných právních předpisů, zejména zákona č. 235/2004 Sb., o dani z přidané hodnoty, ve znění pozdějších předpisů. Přílohou faktury m</w:t>
      </w:r>
      <w:r>
        <w:rPr>
          <w:rFonts w:ascii="Trebuchet MS" w:hAnsi="Trebuchet MS" w:cs="Arial"/>
          <w:color w:val="685040" w:themeColor="text2"/>
          <w:sz w:val="20"/>
          <w:lang w:eastAsia="cs-CZ"/>
        </w:rPr>
        <w:t>usí být kopie protokolu o předání a převzetí díla.</w:t>
      </w:r>
    </w:p>
    <w:p w:rsidR="00C41E7F" w:rsidRDefault="004B77F2">
      <w:pPr>
        <w:numPr>
          <w:ilvl w:val="0"/>
          <w:numId w:val="28"/>
        </w:numPr>
        <w:spacing w:before="0" w:after="0" w:line="240" w:lineRule="auto"/>
        <w:ind w:left="567" w:hanging="567"/>
        <w:jc w:val="both"/>
        <w:rPr>
          <w:rFonts w:ascii="Trebuchet MS" w:hAnsi="Trebuchet MS" w:cs="Arial"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 xml:space="preserve">V případě, že faktura nebude mít odpovídající náležitosti, bude obsahovat nesprávné či neúplné údaje, je objednatel oprávněn vrátit ji v době splatnosti zpět zhotoviteli k doplnění. U vrácené faktury musí </w:t>
      </w:r>
      <w:r>
        <w:rPr>
          <w:rFonts w:ascii="Trebuchet MS" w:hAnsi="Trebuchet MS" w:cs="Arial"/>
          <w:color w:val="685040" w:themeColor="text2"/>
          <w:sz w:val="20"/>
          <w:lang w:eastAsia="cs-CZ"/>
        </w:rPr>
        <w:t>objednatel vyznačit důvody vrácení.</w:t>
      </w:r>
    </w:p>
    <w:p w:rsidR="00C41E7F" w:rsidRDefault="004B77F2">
      <w:pPr>
        <w:numPr>
          <w:ilvl w:val="0"/>
          <w:numId w:val="28"/>
        </w:numPr>
        <w:spacing w:before="0" w:after="0" w:line="240" w:lineRule="auto"/>
        <w:ind w:left="567" w:hanging="567"/>
        <w:jc w:val="both"/>
        <w:rPr>
          <w:rFonts w:ascii="Trebuchet MS" w:hAnsi="Trebuchet MS" w:cs="Arial"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Zhotovitel je povinen podle povahy nesprávnosti fakturu opravit nebo nově vyhotovit. Oprávněným vrácením faktury přestává běžet původní doba splatnosti. Celá doba splatnosti běží znovu ode dne doručení opravené nebo nově</w:t>
      </w:r>
      <w:r>
        <w:rPr>
          <w:rFonts w:ascii="Trebuchet MS" w:hAnsi="Trebuchet MS" w:cs="Arial"/>
          <w:color w:val="685040" w:themeColor="text2"/>
          <w:sz w:val="20"/>
          <w:lang w:eastAsia="cs-CZ"/>
        </w:rPr>
        <w:t xml:space="preserve"> vyhotovené faktury objednateli.</w:t>
      </w:r>
    </w:p>
    <w:p w:rsidR="00C41E7F" w:rsidRDefault="004B77F2">
      <w:pPr>
        <w:numPr>
          <w:ilvl w:val="0"/>
          <w:numId w:val="28"/>
        </w:numPr>
        <w:spacing w:before="0" w:after="0" w:line="240" w:lineRule="auto"/>
        <w:ind w:left="567" w:hanging="567"/>
        <w:jc w:val="both"/>
        <w:rPr>
          <w:rFonts w:ascii="Trebuchet MS" w:hAnsi="Trebuchet MS" w:cs="Arial"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Úhrada ceny díla bude provedena bezhotovostním převodem na bankovní účet zhotovitele. Smluvní strany se dohodly na tom, že závazek objednatele zaplatit cenu díla je splněn dnem, kdy částka bude odepsána z účtu objednatele.</w:t>
      </w:r>
    </w:p>
    <w:p w:rsidR="00C41E7F" w:rsidRDefault="004B77F2">
      <w:pPr>
        <w:numPr>
          <w:ilvl w:val="0"/>
          <w:numId w:val="28"/>
        </w:numPr>
        <w:spacing w:before="0" w:after="0" w:line="240" w:lineRule="auto"/>
        <w:ind w:left="567" w:hanging="567"/>
        <w:jc w:val="both"/>
        <w:rPr>
          <w:rFonts w:ascii="Trebuchet MS" w:hAnsi="Trebuchet MS" w:cs="Arial"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 xml:space="preserve">Objednatel nebude poskytovat zhotoviteli jakékoliv zálohy na úhradu ceny díla nebo její části. </w:t>
      </w:r>
    </w:p>
    <w:p w:rsidR="00C41E7F" w:rsidRDefault="004B77F2">
      <w:pPr>
        <w:keepNext/>
        <w:spacing w:line="288" w:lineRule="auto"/>
        <w:jc w:val="center"/>
        <w:rPr>
          <w:rFonts w:ascii="Trebuchet MS" w:hAnsi="Trebuchet MS" w:cs="Arial"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Článek V.</w:t>
      </w:r>
    </w:p>
    <w:p w:rsidR="00C41E7F" w:rsidRDefault="004B77F2">
      <w:pPr>
        <w:keepNext/>
        <w:spacing w:line="288" w:lineRule="auto"/>
        <w:jc w:val="center"/>
        <w:rPr>
          <w:rFonts w:ascii="Trebuchet MS" w:hAnsi="Trebuchet MS" w:cs="Arial"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 xml:space="preserve">Chráněné informace </w:t>
      </w:r>
    </w:p>
    <w:p w:rsidR="00C41E7F" w:rsidRDefault="004B77F2">
      <w:pPr>
        <w:numPr>
          <w:ilvl w:val="0"/>
          <w:numId w:val="24"/>
        </w:numPr>
        <w:tabs>
          <w:tab w:val="num" w:pos="540"/>
        </w:tabs>
        <w:spacing w:before="0" w:after="0" w:line="240" w:lineRule="auto"/>
        <w:ind w:left="540" w:hanging="540"/>
        <w:jc w:val="both"/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 xml:space="preserve">Veškeré informace sdělené kteroukoliv ze smluvních stran při plnění povinností dle této Smlouvy jsou považovány za přísně důvěrné </w:t>
      </w:r>
      <w:r>
        <w:rPr>
          <w:rFonts w:ascii="Trebuchet MS" w:hAnsi="Trebuchet MS" w:cs="Arial"/>
          <w:color w:val="685040" w:themeColor="text2"/>
          <w:sz w:val="20"/>
          <w:lang w:eastAsia="cs-CZ"/>
        </w:rPr>
        <w:t>a nesmí být zpřístupněny či jakýmkoliv jiným způsobem sděleny třetí osobě s výjimkou informací, které byly v okamžiku sdělení veřejně známé nebo informací, které smluvní strany získaly od třetích osob.</w:t>
      </w:r>
    </w:p>
    <w:p w:rsidR="00C41E7F" w:rsidRDefault="004B77F2">
      <w:pPr>
        <w:numPr>
          <w:ilvl w:val="0"/>
          <w:numId w:val="24"/>
        </w:numPr>
        <w:tabs>
          <w:tab w:val="num" w:pos="540"/>
        </w:tabs>
        <w:spacing w:before="0" w:after="0" w:line="240" w:lineRule="auto"/>
        <w:ind w:left="540" w:hanging="540"/>
        <w:jc w:val="both"/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Zhotovitel se zavazuje během plnění smlouvy i po jejím</w:t>
      </w:r>
      <w:r>
        <w:rPr>
          <w:rFonts w:ascii="Trebuchet MS" w:hAnsi="Trebuchet MS" w:cs="Arial"/>
          <w:color w:val="685040" w:themeColor="text2"/>
          <w:sz w:val="20"/>
          <w:lang w:eastAsia="cs-CZ"/>
        </w:rPr>
        <w:t xml:space="preserve"> ukončení zachovávat mlčenlivost o všech skutečnostech, o kterých se dozví v souvislosti s plněním smlouvy.</w:t>
      </w:r>
    </w:p>
    <w:p w:rsidR="00C41E7F" w:rsidRDefault="00C41E7F">
      <w:pPr>
        <w:spacing w:line="288" w:lineRule="auto"/>
        <w:jc w:val="both"/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</w:p>
    <w:p w:rsidR="00C41E7F" w:rsidRDefault="004B77F2">
      <w:pPr>
        <w:jc w:val="center"/>
        <w:rPr>
          <w:rFonts w:ascii="Trebuchet MS" w:hAnsi="Trebuchet MS" w:cs="Arial"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Článek VI.</w:t>
      </w:r>
    </w:p>
    <w:p w:rsidR="00C41E7F" w:rsidRDefault="004B77F2">
      <w:pPr>
        <w:jc w:val="center"/>
        <w:rPr>
          <w:rFonts w:ascii="Trebuchet MS" w:hAnsi="Trebuchet MS" w:cs="Arial"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Smluvní pokuty a odpovědnost za škodu</w:t>
      </w:r>
    </w:p>
    <w:p w:rsidR="00C41E7F" w:rsidRDefault="004B77F2">
      <w:pPr>
        <w:numPr>
          <w:ilvl w:val="0"/>
          <w:numId w:val="29"/>
        </w:numPr>
        <w:tabs>
          <w:tab w:val="clear" w:pos="720"/>
          <w:tab w:val="num" w:pos="567"/>
          <w:tab w:val="num" w:pos="1146"/>
        </w:tabs>
        <w:spacing w:before="0" w:after="0" w:line="240" w:lineRule="auto"/>
        <w:ind w:left="567" w:hanging="567"/>
        <w:jc w:val="both"/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V případě prodlení zhotovitele s dokončením a předáním předmětu Smlouvy v termínu dle této Smlouvy</w:t>
      </w:r>
      <w:r>
        <w:rPr>
          <w:rFonts w:ascii="Trebuchet MS" w:hAnsi="Trebuchet MS" w:cs="Arial"/>
          <w:color w:val="685040" w:themeColor="text2"/>
          <w:sz w:val="20"/>
          <w:lang w:eastAsia="cs-CZ"/>
        </w:rPr>
        <w:t xml:space="preserve"> objednateli, uhradí zhotovitel objednateli smluvní pokutu ve výši 0,2% ze smluvní ceny za každý i započatý den prodlení s odevzdáním studie.</w:t>
      </w:r>
    </w:p>
    <w:p w:rsidR="00C41E7F" w:rsidRDefault="004B77F2">
      <w:pPr>
        <w:numPr>
          <w:ilvl w:val="0"/>
          <w:numId w:val="29"/>
        </w:numPr>
        <w:tabs>
          <w:tab w:val="clear" w:pos="720"/>
          <w:tab w:val="num" w:pos="567"/>
          <w:tab w:val="num" w:pos="1146"/>
        </w:tabs>
        <w:spacing w:before="0" w:after="0" w:line="240" w:lineRule="auto"/>
        <w:ind w:left="567" w:hanging="567"/>
        <w:jc w:val="both"/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Smluvní strany se dohodly, že objednatel zaplatí zhotoviteli úroky z prodlení s termínem splatnosti faktury ve výš</w:t>
      </w:r>
      <w:r>
        <w:rPr>
          <w:rFonts w:ascii="Trebuchet MS" w:hAnsi="Trebuchet MS" w:cs="Arial"/>
          <w:color w:val="685040" w:themeColor="text2"/>
          <w:sz w:val="20"/>
          <w:lang w:eastAsia="cs-CZ"/>
        </w:rPr>
        <w:t>i stanovené v nařízení vlády č. 351/2013 Sb.</w:t>
      </w:r>
    </w:p>
    <w:p w:rsidR="00C41E7F" w:rsidRDefault="00C41E7F">
      <w:pPr>
        <w:rPr>
          <w:rFonts w:ascii="Trebuchet MS" w:hAnsi="Trebuchet MS" w:cs="Arial"/>
          <w:color w:val="685040" w:themeColor="text2"/>
          <w:sz w:val="20"/>
          <w:lang w:eastAsia="cs-CZ"/>
        </w:rPr>
      </w:pPr>
    </w:p>
    <w:p w:rsidR="00C41E7F" w:rsidRDefault="004B77F2">
      <w:pPr>
        <w:spacing w:after="0" w:line="240" w:lineRule="auto"/>
        <w:rPr>
          <w:rFonts w:ascii="Trebuchet MS" w:hAnsi="Trebuchet MS" w:cs="Arial"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br w:type="page"/>
      </w:r>
    </w:p>
    <w:p w:rsidR="00C41E7F" w:rsidRDefault="004B77F2">
      <w:pPr>
        <w:jc w:val="center"/>
        <w:rPr>
          <w:rFonts w:ascii="Trebuchet MS" w:hAnsi="Trebuchet MS" w:cs="Arial"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Článek VII.</w:t>
      </w:r>
    </w:p>
    <w:p w:rsidR="00C41E7F" w:rsidRDefault="004B77F2">
      <w:pPr>
        <w:jc w:val="center"/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Závěrečná ustanovení</w:t>
      </w:r>
    </w:p>
    <w:p w:rsidR="00C41E7F" w:rsidRDefault="004B77F2">
      <w:pPr>
        <w:numPr>
          <w:ilvl w:val="0"/>
          <w:numId w:val="26"/>
        </w:numPr>
        <w:spacing w:before="0" w:after="0" w:line="240" w:lineRule="auto"/>
        <w:jc w:val="both"/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Právní vztahy výslovně neupravené touto Smlouvou se řídí ustanoveními občanského zákoníku ve znění pozdějších předpisů.</w:t>
      </w:r>
    </w:p>
    <w:p w:rsidR="00C41E7F" w:rsidRDefault="004B77F2">
      <w:pPr>
        <w:numPr>
          <w:ilvl w:val="0"/>
          <w:numId w:val="26"/>
        </w:numPr>
        <w:spacing w:before="0" w:after="0" w:line="240" w:lineRule="auto"/>
        <w:ind w:left="567"/>
        <w:contextualSpacing/>
        <w:jc w:val="both"/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 xml:space="preserve">Tato Smlouva nabývá platnosti a účinnosti dnem jejího </w:t>
      </w:r>
      <w:r>
        <w:rPr>
          <w:rFonts w:ascii="Trebuchet MS" w:hAnsi="Trebuchet MS" w:cs="Arial"/>
          <w:color w:val="685040" w:themeColor="text2"/>
          <w:sz w:val="20"/>
          <w:lang w:eastAsia="cs-CZ"/>
        </w:rPr>
        <w:t>podpisu oběma smluvními stranami.</w:t>
      </w:r>
    </w:p>
    <w:p w:rsidR="00C41E7F" w:rsidRDefault="004B77F2">
      <w:pPr>
        <w:numPr>
          <w:ilvl w:val="0"/>
          <w:numId w:val="26"/>
        </w:numPr>
        <w:spacing w:before="0" w:after="0" w:line="240" w:lineRule="auto"/>
        <w:ind w:left="567"/>
        <w:contextualSpacing/>
        <w:jc w:val="both"/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Ustanovení této Smlouvy lze měnit a doplňovat pouze formou vzestupně číslovaných písemných dodatků podepsaných oběma smluvními stranami.</w:t>
      </w:r>
    </w:p>
    <w:p w:rsidR="00C41E7F" w:rsidRDefault="004B77F2">
      <w:pPr>
        <w:numPr>
          <w:ilvl w:val="0"/>
          <w:numId w:val="26"/>
        </w:numPr>
        <w:spacing w:before="0" w:after="0" w:line="240" w:lineRule="auto"/>
        <w:ind w:left="567"/>
        <w:contextualSpacing/>
        <w:jc w:val="both"/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Tato Smlouva se sepisuje ve dvou (2) vyhotoveních s platností originálu, přičemž každ</w:t>
      </w:r>
      <w:r>
        <w:rPr>
          <w:rFonts w:ascii="Trebuchet MS" w:hAnsi="Trebuchet MS" w:cs="Arial"/>
          <w:color w:val="685040" w:themeColor="text2"/>
          <w:sz w:val="20"/>
          <w:lang w:eastAsia="cs-CZ"/>
        </w:rPr>
        <w:t>á ze smluvních stran obdrží po jednom vyhotovení.</w:t>
      </w:r>
    </w:p>
    <w:p w:rsidR="00C41E7F" w:rsidRDefault="004B77F2">
      <w:pPr>
        <w:numPr>
          <w:ilvl w:val="0"/>
          <w:numId w:val="26"/>
        </w:numPr>
        <w:spacing w:before="0" w:after="0" w:line="240" w:lineRule="auto"/>
        <w:ind w:left="567"/>
        <w:contextualSpacing/>
        <w:jc w:val="both"/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Smluvní strany jsou oprávněny odstoupit od smlouvy v případě podstatného porušení smluvních podmínek druhou smluvní stranou. Odstoupit od smlouvy však není oprávněna ta strana, která neplní smluvní povinnos</w:t>
      </w:r>
      <w:r>
        <w:rPr>
          <w:rFonts w:ascii="Trebuchet MS" w:hAnsi="Trebuchet MS" w:cs="Arial"/>
          <w:color w:val="685040" w:themeColor="text2"/>
          <w:sz w:val="20"/>
          <w:lang w:eastAsia="cs-CZ"/>
        </w:rPr>
        <w:t>ti nebo je s jejich plněním v prodlení.</w:t>
      </w:r>
    </w:p>
    <w:p w:rsidR="00C41E7F" w:rsidRDefault="004B77F2">
      <w:pPr>
        <w:numPr>
          <w:ilvl w:val="0"/>
          <w:numId w:val="26"/>
        </w:numPr>
        <w:spacing w:before="0" w:after="0" w:line="240" w:lineRule="auto"/>
        <w:ind w:left="567"/>
        <w:contextualSpacing/>
        <w:jc w:val="both"/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Projev vůle odstoupení od smlouvy je třeba učinit písemně a doručit jej druhé smluvní straně. Účinky odstoupení nastanou následující den po jeho doručení druhé smluvní straně, pokud v odstoupení nebude stanovena lhůt</w:t>
      </w:r>
      <w:r>
        <w:rPr>
          <w:rFonts w:ascii="Trebuchet MS" w:hAnsi="Trebuchet MS" w:cs="Arial"/>
          <w:color w:val="685040" w:themeColor="text2"/>
          <w:sz w:val="20"/>
          <w:lang w:eastAsia="cs-CZ"/>
        </w:rPr>
        <w:t>a delší.</w:t>
      </w:r>
    </w:p>
    <w:p w:rsidR="00C41E7F" w:rsidRDefault="004B77F2">
      <w:pPr>
        <w:pStyle w:val="Odstavecseseznamem"/>
        <w:numPr>
          <w:ilvl w:val="0"/>
          <w:numId w:val="26"/>
        </w:numPr>
        <w:spacing w:before="0" w:after="0" w:line="240" w:lineRule="auto"/>
        <w:jc w:val="both"/>
        <w:rPr>
          <w:rFonts w:ascii="Trebuchet MS" w:hAnsi="Trebuchet MS" w:cs="Arial"/>
          <w:b/>
          <w:smallCaps/>
          <w:color w:val="685040" w:themeColor="text2"/>
        </w:rPr>
      </w:pPr>
      <w:r>
        <w:rPr>
          <w:rFonts w:ascii="Trebuchet MS" w:hAnsi="Trebuchet MS" w:cs="Arial"/>
          <w:color w:val="685040" w:themeColor="text2"/>
        </w:rPr>
        <w:t>Odstoupením od Smlouvy zanikají všechna práva a povinnosti stran ze Smlouvy, s výjimkou nároku na náhradu škody vzniklé porušením Smlouvy.</w:t>
      </w:r>
    </w:p>
    <w:p w:rsidR="00C41E7F" w:rsidRDefault="004B77F2">
      <w:pPr>
        <w:numPr>
          <w:ilvl w:val="0"/>
          <w:numId w:val="26"/>
        </w:numPr>
        <w:spacing w:before="0" w:after="0" w:line="240" w:lineRule="auto"/>
        <w:jc w:val="both"/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Smluvní strany se zavazují, že v případě sporů o obsah a plnění této Smlouvy vynaloží veškeré úsilí, které l</w:t>
      </w:r>
      <w:r>
        <w:rPr>
          <w:rFonts w:ascii="Trebuchet MS" w:hAnsi="Trebuchet MS" w:cs="Arial"/>
          <w:color w:val="685040" w:themeColor="text2"/>
          <w:sz w:val="20"/>
          <w:lang w:eastAsia="cs-CZ"/>
        </w:rPr>
        <w:t>ze spravedlivě požadovat k tomu, aby byly tyto spory vyřešeny smírnou cestou, zejména aby byly odstraněny okolnosti vedoucí ke vzniku práva od Smlouvy odstoupit nebo způsobující neplatnost této Smlouvy.</w:t>
      </w:r>
    </w:p>
    <w:p w:rsidR="00C41E7F" w:rsidRDefault="004B77F2">
      <w:pPr>
        <w:numPr>
          <w:ilvl w:val="0"/>
          <w:numId w:val="26"/>
        </w:numPr>
        <w:spacing w:before="0" w:after="0" w:line="240" w:lineRule="auto"/>
        <w:jc w:val="both"/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Po ukončení účinnosti této Smlouvy jsou smluvní stran</w:t>
      </w:r>
      <w:r>
        <w:rPr>
          <w:rFonts w:ascii="Trebuchet MS" w:hAnsi="Trebuchet MS" w:cs="Arial"/>
          <w:color w:val="685040" w:themeColor="text2"/>
          <w:sz w:val="20"/>
          <w:lang w:eastAsia="cs-CZ"/>
        </w:rPr>
        <w:t>y povinny si vrátit veškeré originály poskytnutých dokumentů k realizaci auditu a činnosti, a to ve lhůtě nejpozději do 10 pracovních dnů po ukončení této Smlouvy.</w:t>
      </w:r>
    </w:p>
    <w:p w:rsidR="00C41E7F" w:rsidRDefault="00C41E7F">
      <w:pPr>
        <w:ind w:left="540"/>
        <w:jc w:val="both"/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</w:p>
    <w:p w:rsidR="00C41E7F" w:rsidRDefault="00C41E7F">
      <w:pPr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</w:p>
    <w:p w:rsidR="00C41E7F" w:rsidRDefault="004B77F2">
      <w:pPr>
        <w:tabs>
          <w:tab w:val="left" w:pos="4820"/>
        </w:tabs>
        <w:jc w:val="both"/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V Praze dne</w:t>
      </w:r>
      <w:r>
        <w:rPr>
          <w:rFonts w:ascii="Trebuchet MS" w:hAnsi="Trebuchet MS" w:cs="Arial"/>
          <w:color w:val="685040" w:themeColor="text2"/>
          <w:sz w:val="20"/>
          <w:lang w:eastAsia="cs-CZ"/>
        </w:rPr>
        <w:tab/>
        <w:t>V Praze dne</w:t>
      </w:r>
    </w:p>
    <w:p w:rsidR="00C41E7F" w:rsidRDefault="00C41E7F">
      <w:pPr>
        <w:jc w:val="both"/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</w:p>
    <w:p w:rsidR="00C41E7F" w:rsidRDefault="00C41E7F">
      <w:pPr>
        <w:jc w:val="both"/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</w:p>
    <w:p w:rsidR="00C41E7F" w:rsidRDefault="004B77F2">
      <w:pPr>
        <w:tabs>
          <w:tab w:val="left" w:pos="4820"/>
        </w:tabs>
        <w:jc w:val="both"/>
        <w:rPr>
          <w:rFonts w:ascii="Trebuchet MS" w:hAnsi="Trebuchet MS" w:cs="Arial"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Zhotovitel</w:t>
      </w:r>
      <w:r>
        <w:rPr>
          <w:rFonts w:ascii="Trebuchet MS" w:hAnsi="Trebuchet MS" w:cs="Arial"/>
          <w:color w:val="685040" w:themeColor="text2"/>
          <w:sz w:val="20"/>
          <w:lang w:eastAsia="cs-CZ"/>
        </w:rPr>
        <w:tab/>
        <w:t>Objednatel</w:t>
      </w:r>
    </w:p>
    <w:p w:rsidR="00C41E7F" w:rsidRDefault="00C41E7F">
      <w:pPr>
        <w:jc w:val="both"/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</w:p>
    <w:p w:rsidR="00C41E7F" w:rsidRDefault="00C41E7F">
      <w:pPr>
        <w:jc w:val="both"/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</w:p>
    <w:p w:rsidR="00C41E7F" w:rsidRDefault="004B77F2">
      <w:pPr>
        <w:tabs>
          <w:tab w:val="left" w:pos="4820"/>
        </w:tabs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........................................</w:t>
      </w:r>
      <w:r>
        <w:rPr>
          <w:rFonts w:ascii="Trebuchet MS" w:hAnsi="Trebuchet MS" w:cs="Arial"/>
          <w:color w:val="685040" w:themeColor="text2"/>
          <w:sz w:val="20"/>
          <w:lang w:eastAsia="cs-CZ"/>
        </w:rPr>
        <w:t>..................</w:t>
      </w:r>
      <w:r>
        <w:rPr>
          <w:rFonts w:ascii="Trebuchet MS" w:hAnsi="Trebuchet MS" w:cs="Arial"/>
          <w:color w:val="685040" w:themeColor="text2"/>
          <w:sz w:val="20"/>
          <w:lang w:eastAsia="cs-CZ"/>
        </w:rPr>
        <w:tab/>
        <w:t>................................</w:t>
      </w:r>
      <w:r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  <w:t>.........................</w:t>
      </w:r>
    </w:p>
    <w:p w:rsidR="00C41E7F" w:rsidRDefault="004B77F2">
      <w:pPr>
        <w:tabs>
          <w:tab w:val="left" w:pos="4820"/>
        </w:tabs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Ing. Petr Slavíček.</w:t>
      </w:r>
      <w:r>
        <w:rPr>
          <w:rFonts w:ascii="Trebuchet MS" w:hAnsi="Trebuchet MS" w:cs="Arial"/>
          <w:color w:val="685040" w:themeColor="text2"/>
          <w:sz w:val="20"/>
          <w:lang w:eastAsia="cs-CZ"/>
        </w:rPr>
        <w:tab/>
        <w:t>Dr. Ing. Ivan Oliva</w:t>
      </w:r>
    </w:p>
    <w:p w:rsidR="00C41E7F" w:rsidRDefault="004B77F2">
      <w:pPr>
        <w:tabs>
          <w:tab w:val="left" w:pos="4820"/>
        </w:tabs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  <w:proofErr w:type="gramStart"/>
      <w:r>
        <w:rPr>
          <w:rFonts w:ascii="Trebuchet MS" w:hAnsi="Trebuchet MS" w:cs="Arial"/>
          <w:color w:val="685040" w:themeColor="text2"/>
          <w:sz w:val="20"/>
          <w:lang w:eastAsia="cs-CZ"/>
        </w:rPr>
        <w:t>jednatel</w:t>
      </w:r>
      <w:r>
        <w:t xml:space="preserve">                                                                                   </w:t>
      </w:r>
      <w:r>
        <w:rPr>
          <w:rFonts w:ascii="Trebuchet MS" w:hAnsi="Trebuchet MS" w:cs="Arial"/>
          <w:color w:val="685040" w:themeColor="text2"/>
          <w:sz w:val="20"/>
          <w:lang w:eastAsia="cs-CZ"/>
        </w:rPr>
        <w:t>ředitel</w:t>
      </w:r>
      <w:proofErr w:type="gramEnd"/>
      <w:r>
        <w:rPr>
          <w:rFonts w:ascii="Trebuchet MS" w:hAnsi="Trebuchet MS" w:cs="Arial"/>
          <w:color w:val="685040" w:themeColor="text2"/>
          <w:sz w:val="20"/>
          <w:lang w:eastAsia="cs-CZ"/>
        </w:rPr>
        <w:t xml:space="preserve"> nemocnice</w:t>
      </w:r>
      <w:r>
        <w:rPr>
          <w:rFonts w:ascii="Trebuchet MS" w:hAnsi="Trebuchet MS" w:cs="Arial"/>
          <w:color w:val="685040" w:themeColor="text2"/>
          <w:sz w:val="20"/>
          <w:lang w:eastAsia="cs-CZ"/>
        </w:rPr>
        <w:tab/>
      </w:r>
      <w:r>
        <w:rPr>
          <w:rFonts w:ascii="Trebuchet MS" w:hAnsi="Trebuchet MS" w:cs="Arial"/>
          <w:color w:val="685040" w:themeColor="text2"/>
          <w:sz w:val="20"/>
          <w:lang w:eastAsia="cs-CZ"/>
        </w:rPr>
        <w:tab/>
      </w:r>
    </w:p>
    <w:p w:rsidR="00C41E7F" w:rsidRDefault="00C41E7F">
      <w:pPr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</w:p>
    <w:p w:rsidR="00C41E7F" w:rsidRDefault="00C41E7F">
      <w:pPr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</w:p>
    <w:p w:rsidR="00C41E7F" w:rsidRDefault="004B77F2">
      <w:pPr>
        <w:tabs>
          <w:tab w:val="left" w:pos="4820"/>
        </w:tabs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..........................................................</w:t>
      </w:r>
      <w:r>
        <w:rPr>
          <w:rFonts w:ascii="Trebuchet MS" w:hAnsi="Trebuchet MS" w:cs="Arial"/>
          <w:color w:val="685040" w:themeColor="text2"/>
          <w:sz w:val="20"/>
          <w:lang w:eastAsia="cs-CZ"/>
        </w:rPr>
        <w:tab/>
      </w:r>
    </w:p>
    <w:p w:rsidR="00C41E7F" w:rsidRDefault="004B77F2">
      <w:pPr>
        <w:tabs>
          <w:tab w:val="left" w:pos="4820"/>
        </w:tabs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Ing. Vlastimil Hokr, CSc.</w:t>
      </w:r>
      <w:r>
        <w:rPr>
          <w:rFonts w:ascii="Trebuchet MS" w:hAnsi="Trebuchet MS" w:cs="Arial"/>
          <w:color w:val="685040" w:themeColor="text2"/>
          <w:sz w:val="20"/>
          <w:lang w:eastAsia="cs-CZ"/>
        </w:rPr>
        <w:tab/>
      </w:r>
    </w:p>
    <w:p w:rsidR="00C41E7F" w:rsidRDefault="004B77F2">
      <w:pPr>
        <w:tabs>
          <w:tab w:val="left" w:pos="4820"/>
        </w:tabs>
        <w:rPr>
          <w:rFonts w:ascii="Trebuchet MS" w:hAnsi="Trebuchet MS" w:cs="Arial"/>
          <w:b/>
          <w:smallCaps/>
          <w:color w:val="685040" w:themeColor="text2"/>
          <w:sz w:val="20"/>
          <w:lang w:eastAsia="cs-CZ"/>
        </w:rPr>
      </w:pPr>
      <w:r>
        <w:rPr>
          <w:rFonts w:ascii="Trebuchet MS" w:hAnsi="Trebuchet MS" w:cs="Arial"/>
          <w:color w:val="685040" w:themeColor="text2"/>
          <w:sz w:val="20"/>
          <w:lang w:eastAsia="cs-CZ"/>
        </w:rPr>
        <w:t>jednatel</w:t>
      </w:r>
    </w:p>
    <w:p w:rsidR="00C41E7F" w:rsidRDefault="004B77F2">
      <w:pPr>
        <w:spacing w:after="0" w:line="240" w:lineRule="auto"/>
        <w:rPr>
          <w:rFonts w:ascii="Trebuchet MS" w:hAnsi="Trebuchet MS"/>
          <w:color w:val="685040" w:themeColor="text2"/>
        </w:rPr>
      </w:pPr>
      <w:r>
        <w:rPr>
          <w:rFonts w:ascii="Trebuchet MS" w:hAnsi="Trebuchet MS"/>
          <w:color w:val="685040" w:themeColor="text2"/>
        </w:rPr>
        <w:br w:type="page"/>
      </w:r>
    </w:p>
    <w:p w:rsidR="00C41E7F" w:rsidRDefault="004B77F2">
      <w:pPr>
        <w:spacing w:after="0" w:line="240" w:lineRule="auto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 xml:space="preserve">Příloha </w:t>
      </w:r>
      <w:proofErr w:type="gramStart"/>
      <w:r>
        <w:rPr>
          <w:rFonts w:ascii="Trebuchet MS" w:hAnsi="Trebuchet MS"/>
          <w:color w:val="685040" w:themeColor="text2"/>
          <w:sz w:val="20"/>
          <w:szCs w:val="20"/>
        </w:rPr>
        <w:t>č.1</w:t>
      </w:r>
      <w:proofErr w:type="gramEnd"/>
    </w:p>
    <w:p w:rsidR="00C41E7F" w:rsidRDefault="004B77F2">
      <w:pPr>
        <w:spacing w:after="0" w:line="240" w:lineRule="auto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Obchodní podmínky Nemocnice Na Homolce</w:t>
      </w:r>
    </w:p>
    <w:p w:rsidR="00C41E7F" w:rsidRDefault="00C41E7F">
      <w:pPr>
        <w:spacing w:after="0" w:line="240" w:lineRule="auto"/>
        <w:rPr>
          <w:rFonts w:ascii="Trebuchet MS" w:hAnsi="Trebuchet MS"/>
          <w:color w:val="685040" w:themeColor="text2"/>
          <w:sz w:val="20"/>
          <w:szCs w:val="20"/>
        </w:rPr>
      </w:pPr>
    </w:p>
    <w:p w:rsidR="00C41E7F" w:rsidRDefault="004B77F2">
      <w:pPr>
        <w:spacing w:after="0" w:line="240" w:lineRule="auto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I.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Definice pojmů a základní ustanovení</w:t>
      </w:r>
    </w:p>
    <w:p w:rsidR="00C41E7F" w:rsidRDefault="00C41E7F">
      <w:pPr>
        <w:spacing w:after="0" w:line="240" w:lineRule="auto"/>
        <w:rPr>
          <w:rFonts w:ascii="Trebuchet MS" w:hAnsi="Trebuchet MS"/>
          <w:color w:val="685040" w:themeColor="text2"/>
          <w:sz w:val="20"/>
          <w:szCs w:val="20"/>
        </w:rPr>
      </w:pPr>
    </w:p>
    <w:p w:rsidR="00C41E7F" w:rsidRDefault="004B77F2">
      <w:pPr>
        <w:spacing w:after="0" w:line="240" w:lineRule="auto"/>
        <w:ind w:left="567" w:hanging="283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1.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Tyto obchodní podmínky jsou nedílnou součástí smlouvy, jejíž j</w:t>
      </w:r>
      <w:r>
        <w:rPr>
          <w:rFonts w:ascii="Trebuchet MS" w:hAnsi="Trebuchet MS"/>
          <w:color w:val="685040" w:themeColor="text2"/>
          <w:sz w:val="20"/>
          <w:szCs w:val="20"/>
        </w:rPr>
        <w:t>sou přílohou. Smluvní strany tedy bezvýhradně akceptují ustanovení těchto OP a uzavírají Smlouvu s tím, že ustanovení těchto OP mají přednost před odchylnými ustanoveními Smlouvy, není-li v těchto OP výslovně uvedeno jinak.</w:t>
      </w:r>
    </w:p>
    <w:p w:rsidR="00C41E7F" w:rsidRDefault="004B77F2">
      <w:pPr>
        <w:spacing w:after="0" w:line="240" w:lineRule="auto"/>
        <w:ind w:left="567" w:hanging="283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2.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Nemocnice Na Homolce, je stát</w:t>
      </w:r>
      <w:r>
        <w:rPr>
          <w:rFonts w:ascii="Trebuchet MS" w:hAnsi="Trebuchet MS"/>
          <w:color w:val="685040" w:themeColor="text2"/>
          <w:sz w:val="20"/>
          <w:szCs w:val="20"/>
        </w:rPr>
        <w:t xml:space="preserve">ní příspěvková organizace, jejímž zřizovatelem je Ministerstvo zdravotnictví České republiky, jež vydalo zřizovací listinu podle </w:t>
      </w:r>
      <w:proofErr w:type="spellStart"/>
      <w:r>
        <w:rPr>
          <w:rFonts w:ascii="Trebuchet MS" w:hAnsi="Trebuchet MS"/>
          <w:color w:val="685040" w:themeColor="text2"/>
          <w:sz w:val="20"/>
          <w:szCs w:val="20"/>
        </w:rPr>
        <w:t>ust</w:t>
      </w:r>
      <w:proofErr w:type="spellEnd"/>
      <w:r>
        <w:rPr>
          <w:rFonts w:ascii="Trebuchet MS" w:hAnsi="Trebuchet MS"/>
          <w:color w:val="685040" w:themeColor="text2"/>
          <w:sz w:val="20"/>
          <w:szCs w:val="20"/>
        </w:rPr>
        <w:t>. § 39 odst. 1 zákona č. 20/1966 Sb., o péči o zdraví lidu, ve znění pozdějších předpisů, následně změněnou a doplněnou v so</w:t>
      </w:r>
      <w:r>
        <w:rPr>
          <w:rFonts w:ascii="Trebuchet MS" w:hAnsi="Trebuchet MS"/>
          <w:color w:val="685040" w:themeColor="text2"/>
          <w:sz w:val="20"/>
          <w:szCs w:val="20"/>
        </w:rPr>
        <w:t xml:space="preserve">uladu s </w:t>
      </w:r>
      <w:proofErr w:type="spellStart"/>
      <w:r>
        <w:rPr>
          <w:rFonts w:ascii="Trebuchet MS" w:hAnsi="Trebuchet MS"/>
          <w:color w:val="685040" w:themeColor="text2"/>
          <w:sz w:val="20"/>
          <w:szCs w:val="20"/>
        </w:rPr>
        <w:t>ust</w:t>
      </w:r>
      <w:proofErr w:type="spellEnd"/>
      <w:r>
        <w:rPr>
          <w:rFonts w:ascii="Trebuchet MS" w:hAnsi="Trebuchet MS"/>
          <w:color w:val="685040" w:themeColor="text2"/>
          <w:sz w:val="20"/>
          <w:szCs w:val="20"/>
        </w:rPr>
        <w:t xml:space="preserve">. § 2 odst. 1 a </w:t>
      </w:r>
      <w:proofErr w:type="spellStart"/>
      <w:r>
        <w:rPr>
          <w:rFonts w:ascii="Trebuchet MS" w:hAnsi="Trebuchet MS"/>
          <w:color w:val="685040" w:themeColor="text2"/>
          <w:sz w:val="20"/>
          <w:szCs w:val="20"/>
        </w:rPr>
        <w:t>ust</w:t>
      </w:r>
      <w:proofErr w:type="spellEnd"/>
      <w:r>
        <w:rPr>
          <w:rFonts w:ascii="Trebuchet MS" w:hAnsi="Trebuchet MS"/>
          <w:color w:val="685040" w:themeColor="text2"/>
          <w:sz w:val="20"/>
          <w:szCs w:val="20"/>
        </w:rPr>
        <w:t xml:space="preserve">. § 4 odst. 1 zákona č. 372/2011 Sb., o zdravotních službách a podmínkách jejich poskytování, ve znění pozdějších předpisů, dále pak podle </w:t>
      </w:r>
      <w:proofErr w:type="spellStart"/>
      <w:r>
        <w:rPr>
          <w:rFonts w:ascii="Trebuchet MS" w:hAnsi="Trebuchet MS"/>
          <w:color w:val="685040" w:themeColor="text2"/>
          <w:sz w:val="20"/>
          <w:szCs w:val="20"/>
        </w:rPr>
        <w:t>ust</w:t>
      </w:r>
      <w:proofErr w:type="spellEnd"/>
      <w:r>
        <w:rPr>
          <w:rFonts w:ascii="Trebuchet MS" w:hAnsi="Trebuchet MS"/>
          <w:color w:val="685040" w:themeColor="text2"/>
          <w:sz w:val="20"/>
          <w:szCs w:val="20"/>
        </w:rPr>
        <w:t>. § 54 odst. 2 zákona č. 219/2000 Sb., o majetku České republiky a jejím vystupování</w:t>
      </w:r>
      <w:r>
        <w:rPr>
          <w:rFonts w:ascii="Trebuchet MS" w:hAnsi="Trebuchet MS"/>
          <w:color w:val="685040" w:themeColor="text2"/>
          <w:sz w:val="20"/>
          <w:szCs w:val="20"/>
        </w:rPr>
        <w:t xml:space="preserve"> v právních vztazích, ve znění pozdějších předpisů. Úplné znění zřizovací listiny bylo vydáno 29. 5. 2012 pod č. j. MZDR 17268-XVII/2012.</w:t>
      </w:r>
    </w:p>
    <w:p w:rsidR="00C41E7F" w:rsidRDefault="004B77F2">
      <w:pPr>
        <w:spacing w:after="0" w:line="240" w:lineRule="auto"/>
        <w:ind w:left="567" w:hanging="283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3.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Z důvodu standardizace označení smluvních stran a dalších pojmů budou v těchto obchodních používány pojmy s dále uv</w:t>
      </w:r>
      <w:r>
        <w:rPr>
          <w:rFonts w:ascii="Trebuchet MS" w:hAnsi="Trebuchet MS"/>
          <w:color w:val="685040" w:themeColor="text2"/>
          <w:sz w:val="20"/>
          <w:szCs w:val="20"/>
        </w:rPr>
        <w:t>edenými významy:</w:t>
      </w:r>
    </w:p>
    <w:p w:rsidR="00C41E7F" w:rsidRDefault="00C41E7F">
      <w:pPr>
        <w:spacing w:after="0" w:line="240" w:lineRule="auto"/>
        <w:rPr>
          <w:rFonts w:ascii="Trebuchet MS" w:hAnsi="Trebuchet MS"/>
          <w:color w:val="685040" w:themeColor="text2"/>
          <w:sz w:val="20"/>
          <w:szCs w:val="20"/>
        </w:rPr>
      </w:pPr>
    </w:p>
    <w:p w:rsidR="00C41E7F" w:rsidRDefault="004B77F2">
      <w:pPr>
        <w:spacing w:after="0" w:line="240" w:lineRule="auto"/>
        <w:ind w:left="567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 xml:space="preserve">Nemocnice Na Homolce označována jako „NNH“ nebo „Nemocnice Na Homolce“. </w:t>
      </w:r>
    </w:p>
    <w:p w:rsidR="00C41E7F" w:rsidRDefault="00C41E7F">
      <w:pPr>
        <w:spacing w:after="0" w:line="240" w:lineRule="auto"/>
        <w:ind w:left="567"/>
        <w:rPr>
          <w:rFonts w:ascii="Trebuchet MS" w:hAnsi="Trebuchet MS"/>
          <w:color w:val="685040" w:themeColor="text2"/>
          <w:sz w:val="20"/>
          <w:szCs w:val="20"/>
        </w:rPr>
      </w:pPr>
    </w:p>
    <w:p w:rsidR="00C41E7F" w:rsidRDefault="004B77F2">
      <w:pPr>
        <w:spacing w:after="0" w:line="240" w:lineRule="auto"/>
        <w:ind w:left="567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Druhá smluvní strana označována jako „druhá smluvní strana“ nebo „Dodavatel“, a to bez ohledu na to, jak jsou smluvní strany označeny ve Smlouvě. Pokud vystupuje ve</w:t>
      </w:r>
      <w:r>
        <w:rPr>
          <w:rFonts w:ascii="Trebuchet MS" w:hAnsi="Trebuchet MS"/>
          <w:color w:val="685040" w:themeColor="text2"/>
          <w:sz w:val="20"/>
          <w:szCs w:val="20"/>
        </w:rPr>
        <w:t xml:space="preserve"> smlouvě více smluvních stran, vztahují se výše uvedená označení na jednotlivé všechny smluvní strany odlišné od NNH obdobně.</w:t>
      </w:r>
    </w:p>
    <w:p w:rsidR="00C41E7F" w:rsidRDefault="004B77F2">
      <w:pPr>
        <w:spacing w:after="0" w:line="240" w:lineRule="auto"/>
        <w:ind w:left="567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Tyto obchodní podmínky budou označovány jako „Obchodní podmínky“ nebo „OP“</w:t>
      </w:r>
    </w:p>
    <w:p w:rsidR="00C41E7F" w:rsidRDefault="004B77F2">
      <w:pPr>
        <w:spacing w:after="0" w:line="240" w:lineRule="auto"/>
        <w:ind w:left="567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Smlouva, kterou tyto obchodní podmínky doplňují, bude o</w:t>
      </w:r>
      <w:r>
        <w:rPr>
          <w:rFonts w:ascii="Trebuchet MS" w:hAnsi="Trebuchet MS"/>
          <w:color w:val="685040" w:themeColor="text2"/>
          <w:sz w:val="20"/>
          <w:szCs w:val="20"/>
        </w:rPr>
        <w:t>značována jako „Smlouva“ nebo „tato smlouva“. Je-li odkazována na práva či povinnosti vyplývající ze Smlouvy, znamená to práva vyplývající ze Smlouvy zahrnující její případné dodatky či přílohy (vč. těchto OP), nevyplývá-li z kontextu odkazu, že se jedná o</w:t>
      </w:r>
      <w:r>
        <w:rPr>
          <w:rFonts w:ascii="Trebuchet MS" w:hAnsi="Trebuchet MS"/>
          <w:color w:val="685040" w:themeColor="text2"/>
          <w:sz w:val="20"/>
          <w:szCs w:val="20"/>
        </w:rPr>
        <w:t xml:space="preserve"> odkaz výhradně na text smlouvy.</w:t>
      </w:r>
    </w:p>
    <w:p w:rsidR="00C41E7F" w:rsidRDefault="004B77F2">
      <w:pPr>
        <w:spacing w:after="0" w:line="240" w:lineRule="auto"/>
        <w:ind w:left="567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V těchto obchodních podmínkách jsou dále užívány následující zkratky a odkazy na právní předpisy:</w:t>
      </w:r>
    </w:p>
    <w:p w:rsidR="00C41E7F" w:rsidRDefault="004B77F2">
      <w:pPr>
        <w:spacing w:after="0" w:line="240" w:lineRule="auto"/>
        <w:ind w:left="993" w:hanging="426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a)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Zákon č. 137/2006 Sb., o veřejných zakázkách, ve znění pozdějších předpisů (dále jen „ZVZ“).</w:t>
      </w:r>
    </w:p>
    <w:p w:rsidR="00C41E7F" w:rsidRDefault="004B77F2">
      <w:pPr>
        <w:spacing w:after="0" w:line="240" w:lineRule="auto"/>
        <w:ind w:left="993" w:hanging="426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b)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Zákon č. 219/2000 Sb., o m</w:t>
      </w:r>
      <w:r>
        <w:rPr>
          <w:rFonts w:ascii="Trebuchet MS" w:hAnsi="Trebuchet MS"/>
          <w:color w:val="685040" w:themeColor="text2"/>
          <w:sz w:val="20"/>
          <w:szCs w:val="20"/>
        </w:rPr>
        <w:t>ajetku České republiky a jejím zastupování v právních vztazích, ve znění pozdějších předpisů (dále jen „zákon o majetku ČR“).</w:t>
      </w:r>
    </w:p>
    <w:p w:rsidR="00C41E7F" w:rsidRDefault="004B77F2">
      <w:pPr>
        <w:spacing w:after="0" w:line="240" w:lineRule="auto"/>
        <w:ind w:left="993" w:hanging="426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c)</w:t>
      </w:r>
      <w:r>
        <w:rPr>
          <w:rFonts w:ascii="Trebuchet MS" w:hAnsi="Trebuchet MS"/>
          <w:color w:val="685040" w:themeColor="text2"/>
          <w:sz w:val="20"/>
          <w:szCs w:val="20"/>
        </w:rPr>
        <w:tab/>
        <w:t xml:space="preserve">Zákon č. 218/2000 Sb., o rozpočtových pravidlech a o změně některých souvisejících zákonů, ve znění pozdějších předpisů (dále </w:t>
      </w:r>
      <w:r>
        <w:rPr>
          <w:rFonts w:ascii="Trebuchet MS" w:hAnsi="Trebuchet MS"/>
          <w:color w:val="685040" w:themeColor="text2"/>
          <w:sz w:val="20"/>
          <w:szCs w:val="20"/>
        </w:rPr>
        <w:t>jen „zákon o rozpočtových pravidlech“).</w:t>
      </w:r>
    </w:p>
    <w:p w:rsidR="00C41E7F" w:rsidRDefault="004B77F2">
      <w:pPr>
        <w:spacing w:after="0" w:line="240" w:lineRule="auto"/>
        <w:ind w:left="993" w:hanging="426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d)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Zákon č. 89/2012 Sb., občanský zákoník, ve znění pozdějších předpisů (dále jen „občanský zákoník“ nebo „</w:t>
      </w:r>
      <w:proofErr w:type="spellStart"/>
      <w:r>
        <w:rPr>
          <w:rFonts w:ascii="Trebuchet MS" w:hAnsi="Trebuchet MS"/>
          <w:color w:val="685040" w:themeColor="text2"/>
          <w:sz w:val="20"/>
          <w:szCs w:val="20"/>
        </w:rPr>
        <w:t>ObčZ</w:t>
      </w:r>
      <w:proofErr w:type="spellEnd"/>
      <w:r>
        <w:rPr>
          <w:rFonts w:ascii="Trebuchet MS" w:hAnsi="Trebuchet MS"/>
          <w:color w:val="685040" w:themeColor="text2"/>
          <w:sz w:val="20"/>
          <w:szCs w:val="20"/>
        </w:rPr>
        <w:t xml:space="preserve">“). </w:t>
      </w:r>
    </w:p>
    <w:p w:rsidR="00C41E7F" w:rsidRDefault="004B77F2">
      <w:pPr>
        <w:spacing w:after="0" w:line="240" w:lineRule="auto"/>
        <w:ind w:left="993" w:hanging="426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e)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Nařízení vlády č. 351/2013 Sb., kterým se určuje výše úroků z prodlení a nákladů spojených s upla</w:t>
      </w:r>
      <w:r>
        <w:rPr>
          <w:rFonts w:ascii="Trebuchet MS" w:hAnsi="Trebuchet MS"/>
          <w:color w:val="685040" w:themeColor="text2"/>
          <w:sz w:val="20"/>
          <w:szCs w:val="20"/>
        </w:rPr>
        <w:t xml:space="preserve">tněním pohledávky, určuje odměnu likvidátora, likvidačního správce a člena orgánu právnické osoby jmenovaného soudem a upravují některých otázky Obchodní věstníku a veřejných rejstříků právnických a fyzických osob v platném znění (dále jen „nařízení vlády </w:t>
      </w:r>
      <w:r>
        <w:rPr>
          <w:rFonts w:ascii="Trebuchet MS" w:hAnsi="Trebuchet MS"/>
          <w:color w:val="685040" w:themeColor="text2"/>
          <w:sz w:val="20"/>
          <w:szCs w:val="20"/>
        </w:rPr>
        <w:t>č. 351/2013 Sb.“).</w:t>
      </w:r>
    </w:p>
    <w:p w:rsidR="00C41E7F" w:rsidRDefault="00C41E7F">
      <w:pPr>
        <w:spacing w:after="0" w:line="240" w:lineRule="auto"/>
        <w:rPr>
          <w:rFonts w:ascii="Trebuchet MS" w:hAnsi="Trebuchet MS"/>
          <w:color w:val="685040" w:themeColor="text2"/>
          <w:sz w:val="20"/>
          <w:szCs w:val="20"/>
        </w:rPr>
      </w:pPr>
    </w:p>
    <w:p w:rsidR="00C41E7F" w:rsidRDefault="004B77F2">
      <w:pPr>
        <w:spacing w:after="0" w:line="240" w:lineRule="auto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II.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Některá ustanovení o zániku závazku, jeho splnění a odpovědnosti</w:t>
      </w:r>
    </w:p>
    <w:p w:rsidR="00C41E7F" w:rsidRDefault="004B77F2">
      <w:pPr>
        <w:spacing w:after="0" w:line="240" w:lineRule="auto"/>
        <w:ind w:left="567" w:hanging="283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1.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Pokud bude jedna strana dlužit druhé straně více dluhů, pak bude jakékoliv plnění vždy započteno nejprve na dluh nejstarší, nevyplývá-li z plnění výslovně, že jde o</w:t>
      </w:r>
      <w:r>
        <w:rPr>
          <w:rFonts w:ascii="Trebuchet MS" w:hAnsi="Trebuchet MS"/>
          <w:color w:val="685040" w:themeColor="text2"/>
          <w:sz w:val="20"/>
          <w:szCs w:val="20"/>
        </w:rPr>
        <w:t xml:space="preserve"> plnění na jiný, konkrétně určený dluh, a to bez ohledu na to, které závazky byly upomenuty a které nikoliv.</w:t>
      </w:r>
    </w:p>
    <w:p w:rsidR="00C41E7F" w:rsidRDefault="004B77F2">
      <w:pPr>
        <w:spacing w:after="0" w:line="240" w:lineRule="auto"/>
        <w:ind w:left="567" w:hanging="283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2.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Úroky z prodlení s úhradou peněžitého plnění ze strany NNH mohou být dohodnuty maximálně ve výši stanovené v nařízení vlády č. 351/2013 Sb. Úrok</w:t>
      </w:r>
      <w:r>
        <w:rPr>
          <w:rFonts w:ascii="Trebuchet MS" w:hAnsi="Trebuchet MS"/>
          <w:color w:val="685040" w:themeColor="text2"/>
          <w:sz w:val="20"/>
          <w:szCs w:val="20"/>
        </w:rPr>
        <w:t>y dohodnuté ve Smlouvě nad rámec této výše se považují v rozsahu, ve kterém by výsledná částka úroků převyšovala částku stanovenou dle nařízení vlády č. 351/2013 Sb., za nesjednané.</w:t>
      </w:r>
    </w:p>
    <w:p w:rsidR="00C41E7F" w:rsidRDefault="004B77F2">
      <w:pPr>
        <w:spacing w:after="0" w:line="240" w:lineRule="auto"/>
        <w:ind w:left="567" w:hanging="283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3.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Jakékoli ustanovení Smlouvy o smluvních pokutách nezbavuje žádnou ze sm</w:t>
      </w:r>
      <w:r>
        <w:rPr>
          <w:rFonts w:ascii="Trebuchet MS" w:hAnsi="Trebuchet MS"/>
          <w:color w:val="685040" w:themeColor="text2"/>
          <w:sz w:val="20"/>
          <w:szCs w:val="20"/>
        </w:rPr>
        <w:t>luvních stran povinnosti k náhradě škody. Nevyplývá-li ze Smlouvy něco jiného, stanoví se smluvní pokuta z částky bez daně z přidané hodnoty.</w:t>
      </w:r>
    </w:p>
    <w:p w:rsidR="00C41E7F" w:rsidRDefault="004B77F2">
      <w:pPr>
        <w:spacing w:after="0" w:line="240" w:lineRule="auto"/>
        <w:ind w:left="567" w:hanging="283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4.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NNH neakceptuje sjednání smluvních pokut ve svůj neprospěch, jakákoli ujednání o smluvních pokutách, které by m</w:t>
      </w:r>
      <w:r>
        <w:rPr>
          <w:rFonts w:ascii="Trebuchet MS" w:hAnsi="Trebuchet MS"/>
          <w:color w:val="685040" w:themeColor="text2"/>
          <w:sz w:val="20"/>
          <w:szCs w:val="20"/>
        </w:rPr>
        <w:t>ěla hradit NNH, se tedy ve smlouvě považují za nesjednané.</w:t>
      </w:r>
    </w:p>
    <w:p w:rsidR="00C41E7F" w:rsidRDefault="004B77F2">
      <w:pPr>
        <w:spacing w:after="0" w:line="240" w:lineRule="auto"/>
        <w:ind w:left="567" w:hanging="283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5.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I v případě, kdy Dodavatel plní svůj závazek prostřednictví třetí osoby, zodpovídá za řádné a včasné splnění závazku stejně, jako by závazek plnil sám.</w:t>
      </w:r>
    </w:p>
    <w:p w:rsidR="00C41E7F" w:rsidRDefault="004B77F2">
      <w:pPr>
        <w:spacing w:after="0" w:line="240" w:lineRule="auto"/>
        <w:ind w:left="567" w:hanging="283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6.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 xml:space="preserve">Práva vzniklá </w:t>
      </w:r>
      <w:proofErr w:type="spellStart"/>
      <w:r>
        <w:rPr>
          <w:rFonts w:ascii="Trebuchet MS" w:hAnsi="Trebuchet MS"/>
          <w:color w:val="685040" w:themeColor="text2"/>
          <w:sz w:val="20"/>
          <w:szCs w:val="20"/>
        </w:rPr>
        <w:t>zeSmlouvy</w:t>
      </w:r>
      <w:proofErr w:type="spellEnd"/>
      <w:r>
        <w:rPr>
          <w:rFonts w:ascii="Trebuchet MS" w:hAnsi="Trebuchet MS"/>
          <w:color w:val="685040" w:themeColor="text2"/>
          <w:sz w:val="20"/>
          <w:szCs w:val="20"/>
        </w:rPr>
        <w:t xml:space="preserve"> nesmí být </w:t>
      </w:r>
      <w:r>
        <w:rPr>
          <w:rFonts w:ascii="Trebuchet MS" w:hAnsi="Trebuchet MS"/>
          <w:color w:val="685040" w:themeColor="text2"/>
          <w:sz w:val="20"/>
          <w:szCs w:val="20"/>
        </w:rPr>
        <w:t>postoupena bez předchozího písemného souhlasu NNH. Totéž platí o postoupení Smlouvy.</w:t>
      </w:r>
    </w:p>
    <w:p w:rsidR="00C41E7F" w:rsidRDefault="004B77F2">
      <w:pPr>
        <w:spacing w:after="0" w:line="240" w:lineRule="auto"/>
        <w:ind w:left="567" w:hanging="283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7.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 xml:space="preserve">NNH </w:t>
      </w:r>
      <w:proofErr w:type="spellStart"/>
      <w:r>
        <w:rPr>
          <w:rFonts w:ascii="Trebuchet MS" w:hAnsi="Trebuchet MS"/>
          <w:color w:val="685040" w:themeColor="text2"/>
          <w:sz w:val="20"/>
          <w:szCs w:val="20"/>
        </w:rPr>
        <w:t>nepřipouštísjednaní</w:t>
      </w:r>
      <w:proofErr w:type="spellEnd"/>
      <w:r>
        <w:rPr>
          <w:rFonts w:ascii="Trebuchet MS" w:hAnsi="Trebuchet MS"/>
          <w:color w:val="685040" w:themeColor="text2"/>
          <w:sz w:val="20"/>
          <w:szCs w:val="20"/>
        </w:rPr>
        <w:t xml:space="preserve"> omezení rozsahu náhrady škody. Jakékoli vyloučení či omezení rozsahu náhrady škody způsobené výrobkem uvedené ve Smlouvě se považuje za nesjedna</w:t>
      </w:r>
      <w:r>
        <w:rPr>
          <w:rFonts w:ascii="Trebuchet MS" w:hAnsi="Trebuchet MS"/>
          <w:color w:val="685040" w:themeColor="text2"/>
          <w:sz w:val="20"/>
          <w:szCs w:val="20"/>
        </w:rPr>
        <w:t>né.</w:t>
      </w:r>
    </w:p>
    <w:p w:rsidR="00C41E7F" w:rsidRDefault="00C41E7F">
      <w:pPr>
        <w:spacing w:after="0" w:line="240" w:lineRule="auto"/>
        <w:rPr>
          <w:rFonts w:ascii="Trebuchet MS" w:hAnsi="Trebuchet MS"/>
          <w:color w:val="685040" w:themeColor="text2"/>
          <w:sz w:val="20"/>
          <w:szCs w:val="20"/>
        </w:rPr>
      </w:pPr>
    </w:p>
    <w:p w:rsidR="00C41E7F" w:rsidRDefault="004B77F2">
      <w:pPr>
        <w:spacing w:after="0" w:line="240" w:lineRule="auto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III.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Práva NNH dle zákona o majetku ČR</w:t>
      </w:r>
    </w:p>
    <w:p w:rsidR="00C41E7F" w:rsidRDefault="004B77F2">
      <w:pPr>
        <w:spacing w:after="0" w:line="240" w:lineRule="auto"/>
        <w:ind w:left="567" w:hanging="283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1.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Jakékoli zřízení zástavního práva k věci NNH se považuje za nesjednané s ohledem na ustanovení § 25 zákona o majetku ČR.</w:t>
      </w:r>
    </w:p>
    <w:p w:rsidR="00C41E7F" w:rsidRDefault="00C41E7F">
      <w:pPr>
        <w:spacing w:after="0" w:line="240" w:lineRule="auto"/>
        <w:rPr>
          <w:rFonts w:ascii="Trebuchet MS" w:hAnsi="Trebuchet MS"/>
          <w:color w:val="685040" w:themeColor="text2"/>
          <w:sz w:val="20"/>
          <w:szCs w:val="20"/>
        </w:rPr>
      </w:pPr>
    </w:p>
    <w:p w:rsidR="00C41E7F" w:rsidRDefault="004B77F2">
      <w:pPr>
        <w:spacing w:after="0" w:line="240" w:lineRule="auto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IV.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Volba práva a prorogace</w:t>
      </w:r>
    </w:p>
    <w:p w:rsidR="00C41E7F" w:rsidRDefault="004B77F2">
      <w:pPr>
        <w:spacing w:after="0" w:line="240" w:lineRule="auto"/>
        <w:ind w:left="567" w:hanging="283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1.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Smluvní strany ve smyslu ustanovení § 85 zákona č. 91/20</w:t>
      </w:r>
      <w:r>
        <w:rPr>
          <w:rFonts w:ascii="Trebuchet MS" w:hAnsi="Trebuchet MS"/>
          <w:color w:val="685040" w:themeColor="text2"/>
          <w:sz w:val="20"/>
          <w:szCs w:val="20"/>
        </w:rPr>
        <w:t>12 Sb., o mezinárodním právu soukromém, se dohodly na pravomoci soudů České republiky.</w:t>
      </w:r>
    </w:p>
    <w:p w:rsidR="00C41E7F" w:rsidRDefault="00C41E7F">
      <w:pPr>
        <w:spacing w:after="0" w:line="240" w:lineRule="auto"/>
        <w:ind w:left="567" w:hanging="283"/>
        <w:rPr>
          <w:rFonts w:ascii="Trebuchet MS" w:hAnsi="Trebuchet MS"/>
          <w:color w:val="685040" w:themeColor="text2"/>
          <w:sz w:val="20"/>
          <w:szCs w:val="20"/>
        </w:rPr>
      </w:pPr>
    </w:p>
    <w:p w:rsidR="00C41E7F" w:rsidRDefault="004B77F2">
      <w:pPr>
        <w:spacing w:after="0" w:line="240" w:lineRule="auto"/>
        <w:ind w:left="567" w:hanging="283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2.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Smluvní strany se ve smyslu ustanovení § 87 odst. 1 zákona č. 91/2012 Sb., o mezinárodním právu soukromém, dohodly, že tato smlouva a práva a povinnosti z ní vyplýva</w:t>
      </w:r>
      <w:r>
        <w:rPr>
          <w:rFonts w:ascii="Trebuchet MS" w:hAnsi="Trebuchet MS"/>
          <w:color w:val="685040" w:themeColor="text2"/>
          <w:sz w:val="20"/>
          <w:szCs w:val="20"/>
        </w:rPr>
        <w:t>jící se řídí a vykládají v souladu se zákony České republiky, zejména s příslušnými ustanoveními občanského zákoníku. Ke kolizním ustanovením českého právního řádu se přitom nepřihlíží.</w:t>
      </w:r>
    </w:p>
    <w:p w:rsidR="00C41E7F" w:rsidRDefault="004B77F2">
      <w:pPr>
        <w:spacing w:after="0" w:line="240" w:lineRule="auto"/>
        <w:ind w:left="567" w:hanging="283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3.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Smluvní strany se zavazují řešit veškeré spory smírnou cestou. Nedo</w:t>
      </w:r>
      <w:r>
        <w:rPr>
          <w:rFonts w:ascii="Trebuchet MS" w:hAnsi="Trebuchet MS"/>
          <w:color w:val="685040" w:themeColor="text2"/>
          <w:sz w:val="20"/>
          <w:szCs w:val="20"/>
        </w:rPr>
        <w:t>jde-li ke smírnému vyřešení sporu, bude spor předložen k projednání a rozhodnutí příslušnému soudu. Smluvní strany se proto dohodly na ujednání o místní příslušnosti (prorogace) v následujícím znění:</w:t>
      </w:r>
    </w:p>
    <w:p w:rsidR="00C41E7F" w:rsidRDefault="004B77F2">
      <w:pPr>
        <w:spacing w:after="0" w:line="240" w:lineRule="auto"/>
        <w:ind w:left="567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Smluvní strany se ve smyslu ustanovení § 89a zákona č. 9</w:t>
      </w:r>
      <w:r>
        <w:rPr>
          <w:rFonts w:ascii="Trebuchet MS" w:hAnsi="Trebuchet MS"/>
          <w:color w:val="685040" w:themeColor="text2"/>
          <w:sz w:val="20"/>
          <w:szCs w:val="20"/>
        </w:rPr>
        <w:t xml:space="preserve">9/1963 Sb., občanský soudní řád, dohodly, že místně příslušným soudem k projednání a rozhodnutí sporů a jiných právních věcí vyplývajících z </w:t>
      </w:r>
      <w:proofErr w:type="gramStart"/>
      <w:r>
        <w:rPr>
          <w:rFonts w:ascii="Trebuchet MS" w:hAnsi="Trebuchet MS"/>
          <w:color w:val="685040" w:themeColor="text2"/>
          <w:sz w:val="20"/>
          <w:szCs w:val="20"/>
        </w:rPr>
        <w:t>touto smlouvou</w:t>
      </w:r>
      <w:proofErr w:type="gramEnd"/>
      <w:r>
        <w:rPr>
          <w:rFonts w:ascii="Trebuchet MS" w:hAnsi="Trebuchet MS"/>
          <w:color w:val="685040" w:themeColor="text2"/>
          <w:sz w:val="20"/>
          <w:szCs w:val="20"/>
        </w:rPr>
        <w:t xml:space="preserve"> založeného právního vztahu, jakož i ze vztahů s tímto vztahem souvisejících, je v případě, že k proj</w:t>
      </w:r>
      <w:r>
        <w:rPr>
          <w:rFonts w:ascii="Trebuchet MS" w:hAnsi="Trebuchet MS"/>
          <w:color w:val="685040" w:themeColor="text2"/>
          <w:sz w:val="20"/>
          <w:szCs w:val="20"/>
        </w:rPr>
        <w:t>ednání je věcně příslušný krajský soud, Městský soud v Praze, a v případě, že k projednání je věcně příslušný okresní soud, Obvodní soud pro Prahu 5.</w:t>
      </w:r>
    </w:p>
    <w:p w:rsidR="00C41E7F" w:rsidRDefault="00C41E7F">
      <w:pPr>
        <w:spacing w:after="0" w:line="240" w:lineRule="auto"/>
        <w:rPr>
          <w:rFonts w:ascii="Trebuchet MS" w:hAnsi="Trebuchet MS"/>
          <w:color w:val="685040" w:themeColor="text2"/>
          <w:sz w:val="20"/>
          <w:szCs w:val="20"/>
        </w:rPr>
      </w:pPr>
    </w:p>
    <w:p w:rsidR="00C41E7F" w:rsidRDefault="004B77F2">
      <w:pPr>
        <w:spacing w:after="0" w:line="240" w:lineRule="auto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V.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Některá ustanovení o fakturaci</w:t>
      </w:r>
    </w:p>
    <w:p w:rsidR="00C41E7F" w:rsidRDefault="004B77F2">
      <w:pPr>
        <w:spacing w:after="0" w:line="240" w:lineRule="auto"/>
        <w:ind w:left="567" w:hanging="283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1.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 xml:space="preserve">NNH je povinna zaplatit Dodavateli za plnění vždy až na základě </w:t>
      </w:r>
      <w:r>
        <w:rPr>
          <w:rFonts w:ascii="Trebuchet MS" w:hAnsi="Trebuchet MS"/>
          <w:color w:val="685040" w:themeColor="text2"/>
          <w:sz w:val="20"/>
          <w:szCs w:val="20"/>
        </w:rPr>
        <w:t>vystavení a doručení daňového dokladu – faktury. Dodavatel je povinen vystavit daňový doklad (fakturu) do 15 dnů po uskutečnění zdanitelného plnění a nejpozději do dvou pracovních dnů po jeho vystavení doručit tuto fakturu na adresu sídla NNH. V případě op</w:t>
      </w:r>
      <w:r>
        <w:rPr>
          <w:rFonts w:ascii="Trebuchet MS" w:hAnsi="Trebuchet MS"/>
          <w:color w:val="685040" w:themeColor="text2"/>
          <w:sz w:val="20"/>
          <w:szCs w:val="20"/>
        </w:rPr>
        <w:t>ožděného zaslání daňového dokladu (faktury) je Dodavatel povinen NNH uhradit vzniklou škodu v plné výši. To se vztahuje zejména na případy přenesené daňové povinnosti, kdy by NNH byla v důsledku nevystavení faktury řádně a včas v prodlení s odvedením daně.</w:t>
      </w:r>
    </w:p>
    <w:p w:rsidR="00C41E7F" w:rsidRDefault="004B77F2">
      <w:pPr>
        <w:spacing w:after="0" w:line="240" w:lineRule="auto"/>
        <w:ind w:left="567" w:hanging="283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2.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Účetní daňové doklady (faktury) musejí obsahovat náležitosti stanovené příslušnými právními předpisy, a to zejména zákonem č. 235/2004 Sb., o dani z přidané hodnoty, ve znění platném k datu uskutečnění zdanitelného plnění a zákonem č. 563/1991 Sb., o ú</w:t>
      </w:r>
      <w:r>
        <w:rPr>
          <w:rFonts w:ascii="Trebuchet MS" w:hAnsi="Trebuchet MS"/>
          <w:color w:val="685040" w:themeColor="text2"/>
          <w:sz w:val="20"/>
          <w:szCs w:val="20"/>
        </w:rPr>
        <w:t>četnictví ve znění platném k témuž datu. V případě, že zaslaná faktura nebude mít náležitosti daňového dokladu nebo na ní nebudou uvedeny údaje specifikované ve Smlouvě, nebo bude jinak neúplná či nesprávná, je jí NNH oprávněna vrátit k opravě či doplnění,</w:t>
      </w:r>
      <w:r>
        <w:rPr>
          <w:rFonts w:ascii="Trebuchet MS" w:hAnsi="Trebuchet MS"/>
          <w:color w:val="685040" w:themeColor="text2"/>
          <w:sz w:val="20"/>
          <w:szCs w:val="20"/>
        </w:rPr>
        <w:t xml:space="preserve"> nejpozději však do 20 pracovních dnů od data jejího převzetí. Tím se NNH nedostává do prodlení s úhradou kupní ceny. V takovém případě začíná běžet lhůta splatnosti až dnem doručení opravené faktury NNH za obdobných podmínek jako u původní faktury.</w:t>
      </w:r>
    </w:p>
    <w:p w:rsidR="00C41E7F" w:rsidRDefault="004B77F2">
      <w:pPr>
        <w:spacing w:after="0" w:line="240" w:lineRule="auto"/>
        <w:ind w:left="567" w:hanging="283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3.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Ned</w:t>
      </w:r>
      <w:r>
        <w:rPr>
          <w:rFonts w:ascii="Trebuchet MS" w:hAnsi="Trebuchet MS"/>
          <w:color w:val="685040" w:themeColor="text2"/>
          <w:sz w:val="20"/>
          <w:szCs w:val="20"/>
        </w:rPr>
        <w:t>ílnou součástí daňového dokladu (faktury) musí být potvrzení o řádném splnění závazku (dle typu plnění zejm. dodací list, předávací protokol díla, potvrzený výkaz práce, zjišťovací protokol apod.), který musí být potvrzen osobou oprávněnou jednat za NNH.</w:t>
      </w:r>
    </w:p>
    <w:p w:rsidR="00C41E7F" w:rsidRDefault="004B77F2">
      <w:pPr>
        <w:spacing w:after="0" w:line="240" w:lineRule="auto"/>
        <w:ind w:left="567" w:hanging="283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4</w:t>
      </w:r>
      <w:r>
        <w:rPr>
          <w:rFonts w:ascii="Trebuchet MS" w:hAnsi="Trebuchet MS"/>
          <w:color w:val="685040" w:themeColor="text2"/>
          <w:sz w:val="20"/>
          <w:szCs w:val="20"/>
        </w:rPr>
        <w:t>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 xml:space="preserve">Splatnost musí být stanovena na 60 dní ode dne doručení řádného daňového dokladu (faktury) do NNH. </w:t>
      </w:r>
    </w:p>
    <w:p w:rsidR="00C41E7F" w:rsidRDefault="004B77F2">
      <w:pPr>
        <w:spacing w:after="0" w:line="240" w:lineRule="auto"/>
        <w:ind w:left="567" w:hanging="283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5.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 xml:space="preserve">Není-li ve Smlouvě dohodnuto jinak, NNH uhradí faktury bezhotovostně převodem na účet druhé smluvní strany. </w:t>
      </w:r>
    </w:p>
    <w:p w:rsidR="00C41E7F" w:rsidRDefault="00C41E7F">
      <w:pPr>
        <w:spacing w:after="0" w:line="240" w:lineRule="auto"/>
        <w:rPr>
          <w:rFonts w:ascii="Trebuchet MS" w:hAnsi="Trebuchet MS"/>
          <w:color w:val="685040" w:themeColor="text2"/>
          <w:sz w:val="20"/>
          <w:szCs w:val="20"/>
        </w:rPr>
      </w:pPr>
    </w:p>
    <w:p w:rsidR="00C41E7F" w:rsidRDefault="004B77F2">
      <w:pPr>
        <w:spacing w:after="0" w:line="240" w:lineRule="auto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VI.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Ustanovení vztahující se koupi věci</w:t>
      </w:r>
    </w:p>
    <w:p w:rsidR="00C41E7F" w:rsidRDefault="004B77F2">
      <w:pPr>
        <w:spacing w:after="0" w:line="240" w:lineRule="auto"/>
        <w:ind w:left="567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1</w:t>
      </w:r>
      <w:r>
        <w:rPr>
          <w:rFonts w:ascii="Trebuchet MS" w:hAnsi="Trebuchet MS"/>
          <w:color w:val="685040" w:themeColor="text2"/>
          <w:sz w:val="20"/>
          <w:szCs w:val="20"/>
        </w:rPr>
        <w:t>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Pokud je předmětem Smlouvy koupě věci, k přechodu vlastnického práva k věci dochází jejím písemným protokolárním předáním NNH.</w:t>
      </w:r>
    </w:p>
    <w:p w:rsidR="00C41E7F" w:rsidRDefault="004B77F2">
      <w:pPr>
        <w:spacing w:after="0" w:line="240" w:lineRule="auto"/>
        <w:ind w:left="567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2.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 xml:space="preserve">Dodavatel (prodávající) v takovém případě poskytuje záruku za jakost ve smyslu § 2113 </w:t>
      </w:r>
      <w:proofErr w:type="spellStart"/>
      <w:r>
        <w:rPr>
          <w:rFonts w:ascii="Trebuchet MS" w:hAnsi="Trebuchet MS"/>
          <w:color w:val="685040" w:themeColor="text2"/>
          <w:sz w:val="20"/>
          <w:szCs w:val="20"/>
        </w:rPr>
        <w:t>ObčZ</w:t>
      </w:r>
      <w:proofErr w:type="spellEnd"/>
      <w:r>
        <w:rPr>
          <w:rFonts w:ascii="Trebuchet MS" w:hAnsi="Trebuchet MS"/>
          <w:color w:val="685040" w:themeColor="text2"/>
          <w:sz w:val="20"/>
          <w:szCs w:val="20"/>
        </w:rPr>
        <w:t>, přičemž věc si musí po záruční d</w:t>
      </w:r>
      <w:r>
        <w:rPr>
          <w:rFonts w:ascii="Trebuchet MS" w:hAnsi="Trebuchet MS"/>
          <w:color w:val="685040" w:themeColor="text2"/>
          <w:sz w:val="20"/>
          <w:szCs w:val="20"/>
        </w:rPr>
        <w:t>obu zachovat obvyklé vlastnosti a vlastnosti, které jsou vymíněny ve Smlouvě. Záruční doba je zpravidla sjednána ve Smlouvě, přičemž není-li ve Smlouvě tato doba sjednána, nebo nenabízí-li Dodavatel svým prohlášením záruku delší, poskytuje Dodavatel záruku</w:t>
      </w:r>
      <w:r>
        <w:rPr>
          <w:rFonts w:ascii="Trebuchet MS" w:hAnsi="Trebuchet MS"/>
          <w:color w:val="685040" w:themeColor="text2"/>
          <w:sz w:val="20"/>
          <w:szCs w:val="20"/>
        </w:rPr>
        <w:t xml:space="preserve"> za jakost:</w:t>
      </w:r>
    </w:p>
    <w:p w:rsidR="00C41E7F" w:rsidRDefault="004B77F2">
      <w:pPr>
        <w:spacing w:after="0" w:line="240" w:lineRule="auto"/>
        <w:ind w:left="993" w:hanging="426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a)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u věcí, u kterých je výrobcem stanovena doba použitelnosti (zejm. exspirace léčiv či zdravotnických prostředků), po dobu této exspirace,</w:t>
      </w:r>
    </w:p>
    <w:p w:rsidR="00C41E7F" w:rsidRDefault="004B77F2">
      <w:pPr>
        <w:spacing w:after="0" w:line="240" w:lineRule="auto"/>
        <w:ind w:left="993" w:hanging="426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b)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u movitých věcí, u nichž není výrobcem stanovena doba použitelnosti, a které nepodléhají rychlé zkáze</w:t>
      </w:r>
      <w:r>
        <w:rPr>
          <w:rFonts w:ascii="Trebuchet MS" w:hAnsi="Trebuchet MS"/>
          <w:color w:val="685040" w:themeColor="text2"/>
          <w:sz w:val="20"/>
          <w:szCs w:val="20"/>
        </w:rPr>
        <w:t>, 24 měsíců,</w:t>
      </w:r>
    </w:p>
    <w:p w:rsidR="00C41E7F" w:rsidRDefault="004B77F2">
      <w:pPr>
        <w:spacing w:after="0" w:line="240" w:lineRule="auto"/>
        <w:ind w:left="993" w:hanging="426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c)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u movitých věcí, u nichž není výrobcem stanovena doba použitelnosti, a které podléhají rychlé zkáze, se záruka neposkytuje, nevyplývá-li z právního předpisu, nebo není-li ujednána ve Smlouvě,</w:t>
      </w:r>
    </w:p>
    <w:p w:rsidR="00C41E7F" w:rsidRDefault="004B77F2">
      <w:pPr>
        <w:spacing w:after="0" w:line="240" w:lineRule="auto"/>
        <w:ind w:left="993" w:hanging="426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d)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u nemovitých věcí 5 let.</w:t>
      </w:r>
    </w:p>
    <w:p w:rsidR="00C41E7F" w:rsidRDefault="00C41E7F">
      <w:pPr>
        <w:spacing w:after="0" w:line="240" w:lineRule="auto"/>
        <w:rPr>
          <w:rFonts w:ascii="Trebuchet MS" w:hAnsi="Trebuchet MS"/>
          <w:color w:val="685040" w:themeColor="text2"/>
          <w:sz w:val="20"/>
          <w:szCs w:val="20"/>
        </w:rPr>
      </w:pPr>
    </w:p>
    <w:p w:rsidR="00C41E7F" w:rsidRDefault="004B77F2">
      <w:pPr>
        <w:spacing w:after="0" w:line="240" w:lineRule="auto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VII.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Ustanovení o l</w:t>
      </w:r>
      <w:r>
        <w:rPr>
          <w:rFonts w:ascii="Trebuchet MS" w:hAnsi="Trebuchet MS"/>
          <w:color w:val="685040" w:themeColor="text2"/>
          <w:sz w:val="20"/>
          <w:szCs w:val="20"/>
        </w:rPr>
        <w:t>icencích a autorských částech předmětu plnění</w:t>
      </w:r>
    </w:p>
    <w:p w:rsidR="00C41E7F" w:rsidRDefault="004B77F2">
      <w:pPr>
        <w:spacing w:after="0" w:line="240" w:lineRule="auto"/>
        <w:ind w:left="567" w:hanging="283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1.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Pokud je při plnění Smlouvy předáno, zpřístupněno či jinak NNH nabídnuto dílo chráněné právy k duševnímu vlastnictví (dále jen „duševní vlastnictví“), druhá smluvní strana odpovídá za to, že NNH bude oprávně</w:t>
      </w:r>
      <w:r>
        <w:rPr>
          <w:rFonts w:ascii="Trebuchet MS" w:hAnsi="Trebuchet MS"/>
          <w:color w:val="685040" w:themeColor="text2"/>
          <w:sz w:val="20"/>
          <w:szCs w:val="20"/>
        </w:rPr>
        <w:t xml:space="preserve">na duševní vlastnictví užívat, a to bez časového a územního omezení a minimálně v rozsahu nezbytném pro řádné užívání předmětu této smlouvy k účelu, který je ve smlouvě stanoven a není-li účel stanoven, pak k účelu obvyklému (dále jen „účel převodu práv k </w:t>
      </w:r>
      <w:r>
        <w:rPr>
          <w:rFonts w:ascii="Trebuchet MS" w:hAnsi="Trebuchet MS"/>
          <w:color w:val="685040" w:themeColor="text2"/>
          <w:sz w:val="20"/>
          <w:szCs w:val="20"/>
        </w:rPr>
        <w:t>duševnímu vlastnictví“).</w:t>
      </w:r>
    </w:p>
    <w:p w:rsidR="00C41E7F" w:rsidRDefault="004B77F2">
      <w:pPr>
        <w:spacing w:after="0" w:line="240" w:lineRule="auto"/>
        <w:ind w:left="567" w:hanging="283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2.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Za tímto účelem druhá smluvní strana:</w:t>
      </w:r>
    </w:p>
    <w:p w:rsidR="00C41E7F" w:rsidRDefault="004B77F2">
      <w:pPr>
        <w:spacing w:after="0" w:line="240" w:lineRule="auto"/>
        <w:ind w:left="993" w:hanging="426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a)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uděluje NNH k duševnímu vlastnictví časově a územně neomezenou licenci opravňující NNH užívat duševní vlastnictví v nejširším možném rozsahu, v jakém lze podle právních předpisů oprávnění</w:t>
      </w:r>
      <w:r>
        <w:rPr>
          <w:rFonts w:ascii="Trebuchet MS" w:hAnsi="Trebuchet MS"/>
          <w:color w:val="685040" w:themeColor="text2"/>
          <w:sz w:val="20"/>
          <w:szCs w:val="20"/>
        </w:rPr>
        <w:t xml:space="preserve"> k užití udělit. V pochybnostech bude pojem užití vykládán jako užití v rozsahu umožněném autorským </w:t>
      </w:r>
      <w:proofErr w:type="gramStart"/>
      <w:r>
        <w:rPr>
          <w:rFonts w:ascii="Trebuchet MS" w:hAnsi="Trebuchet MS"/>
          <w:color w:val="685040" w:themeColor="text2"/>
          <w:sz w:val="20"/>
          <w:szCs w:val="20"/>
        </w:rPr>
        <w:t>zákonem . Licence</w:t>
      </w:r>
      <w:proofErr w:type="gramEnd"/>
      <w:r>
        <w:rPr>
          <w:rFonts w:ascii="Trebuchet MS" w:hAnsi="Trebuchet MS"/>
          <w:color w:val="685040" w:themeColor="text2"/>
          <w:sz w:val="20"/>
          <w:szCs w:val="20"/>
        </w:rPr>
        <w:t xml:space="preserve"> se poskytuje za cenu ve Smlouvě výslovně ujednanou, přičemž pro vyloučení pochybností se stanoví, že není-li sjednána cena licence v této </w:t>
      </w:r>
      <w:r>
        <w:rPr>
          <w:rFonts w:ascii="Trebuchet MS" w:hAnsi="Trebuchet MS"/>
          <w:color w:val="685040" w:themeColor="text2"/>
          <w:sz w:val="20"/>
          <w:szCs w:val="20"/>
        </w:rPr>
        <w:t xml:space="preserve">Smlouvě, pak se poskytuje licence bezúplatně. Druhá smluvní strana souhlasí s poskytnutím podlicence i s převodem licence NNH na třetí osobu. </w:t>
      </w:r>
    </w:p>
    <w:p w:rsidR="00C41E7F" w:rsidRDefault="004B77F2">
      <w:pPr>
        <w:spacing w:after="0" w:line="240" w:lineRule="auto"/>
        <w:ind w:left="993" w:hanging="426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b)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v rozsahu, ve kterém není oprávněna poskytnout licenci podle bodu (a), zajistí NNH oprávnění k užití duševního</w:t>
      </w:r>
      <w:r>
        <w:rPr>
          <w:rFonts w:ascii="Trebuchet MS" w:hAnsi="Trebuchet MS"/>
          <w:color w:val="685040" w:themeColor="text2"/>
          <w:sz w:val="20"/>
          <w:szCs w:val="20"/>
        </w:rPr>
        <w:t xml:space="preserve"> vlastnictví (dále také jen „licenci“) v rozsahu a za podmínek v předchozím bodě </w:t>
      </w:r>
      <w:proofErr w:type="gramStart"/>
      <w:r>
        <w:rPr>
          <w:rFonts w:ascii="Trebuchet MS" w:hAnsi="Trebuchet MS"/>
          <w:color w:val="685040" w:themeColor="text2"/>
          <w:sz w:val="20"/>
          <w:szCs w:val="20"/>
        </w:rPr>
        <w:t>uvedených .</w:t>
      </w:r>
      <w:proofErr w:type="gramEnd"/>
    </w:p>
    <w:p w:rsidR="00C41E7F" w:rsidRDefault="004B77F2">
      <w:pPr>
        <w:spacing w:after="0" w:line="240" w:lineRule="auto"/>
        <w:ind w:left="567" w:hanging="283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3.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Nedovolují-li konkrétní omezení vyplývající z právních předpisů, či mezinárodních smluv udělení oprávnění k užití v rozsahu dle tohoto ustanovení, uděluje se li</w:t>
      </w:r>
      <w:r>
        <w:rPr>
          <w:rFonts w:ascii="Trebuchet MS" w:hAnsi="Trebuchet MS"/>
          <w:color w:val="685040" w:themeColor="text2"/>
          <w:sz w:val="20"/>
          <w:szCs w:val="20"/>
        </w:rPr>
        <w:t>cence v nejširším rozsahu, v jakém je to dle příslušných předpisů možné. Nebude-li dle tohoto ustanovení udělena licence v rozsahu, který je dostatečný pro dosažení účelu převodu práv k duševnímu vlastnictví, zavazuje se druhá smluvní strana provést bezodk</w:t>
      </w:r>
      <w:r>
        <w:rPr>
          <w:rFonts w:ascii="Trebuchet MS" w:hAnsi="Trebuchet MS"/>
          <w:color w:val="685040" w:themeColor="text2"/>
          <w:sz w:val="20"/>
          <w:szCs w:val="20"/>
        </w:rPr>
        <w:t xml:space="preserve">ladně právní jednání k udělení licence NNH v rozsahu odpovídajícímu tomuto účelu, a to za cenu, která je výslovně sjednána ve Smlouvě a není-li cena licence ve Smlouvě sjednána, pak bezúplatně. </w:t>
      </w:r>
    </w:p>
    <w:p w:rsidR="00C41E7F" w:rsidRDefault="004B77F2">
      <w:pPr>
        <w:spacing w:after="0" w:line="240" w:lineRule="auto"/>
        <w:ind w:left="567" w:hanging="283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4.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NNH není povinna duševní vlastnictví užívat ani nijak zhod</w:t>
      </w:r>
      <w:r>
        <w:rPr>
          <w:rFonts w:ascii="Trebuchet MS" w:hAnsi="Trebuchet MS"/>
          <w:color w:val="685040" w:themeColor="text2"/>
          <w:sz w:val="20"/>
          <w:szCs w:val="20"/>
        </w:rPr>
        <w:t>nocovat.</w:t>
      </w:r>
    </w:p>
    <w:p w:rsidR="00C41E7F" w:rsidRDefault="004B77F2">
      <w:pPr>
        <w:spacing w:after="0" w:line="240" w:lineRule="auto"/>
        <w:ind w:left="567" w:hanging="283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5.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Smlouva může obsahovat detailnější úpravu licenčních ujednání.</w:t>
      </w:r>
    </w:p>
    <w:p w:rsidR="00C41E7F" w:rsidRDefault="00C41E7F">
      <w:pPr>
        <w:spacing w:after="0" w:line="240" w:lineRule="auto"/>
        <w:rPr>
          <w:rFonts w:ascii="Trebuchet MS" w:hAnsi="Trebuchet MS"/>
          <w:color w:val="685040" w:themeColor="text2"/>
          <w:sz w:val="20"/>
          <w:szCs w:val="20"/>
        </w:rPr>
      </w:pPr>
    </w:p>
    <w:p w:rsidR="00C41E7F" w:rsidRDefault="004B77F2">
      <w:pPr>
        <w:spacing w:after="0" w:line="240" w:lineRule="auto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VIII.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Ustanovení k zajištění kvality a předávání dat o kvalitě</w:t>
      </w:r>
    </w:p>
    <w:p w:rsidR="00C41E7F" w:rsidRDefault="004B77F2">
      <w:pPr>
        <w:spacing w:after="0" w:line="240" w:lineRule="auto"/>
        <w:ind w:left="567" w:hanging="283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1.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 xml:space="preserve">Pokud je předmětem smlouvy dodávka či </w:t>
      </w:r>
      <w:proofErr w:type="gramStart"/>
      <w:r>
        <w:rPr>
          <w:rFonts w:ascii="Trebuchet MS" w:hAnsi="Trebuchet MS"/>
          <w:color w:val="685040" w:themeColor="text2"/>
          <w:sz w:val="20"/>
          <w:szCs w:val="20"/>
        </w:rPr>
        <w:t>služba , nebo</w:t>
      </w:r>
      <w:proofErr w:type="gramEnd"/>
      <w:r>
        <w:rPr>
          <w:rFonts w:ascii="Trebuchet MS" w:hAnsi="Trebuchet MS"/>
          <w:color w:val="685040" w:themeColor="text2"/>
          <w:sz w:val="20"/>
          <w:szCs w:val="20"/>
        </w:rPr>
        <w:t xml:space="preserve"> je předmětem smlouvy bezúplatné užívání movité věci, pak se </w:t>
      </w:r>
      <w:r>
        <w:rPr>
          <w:rFonts w:ascii="Trebuchet MS" w:hAnsi="Trebuchet MS"/>
          <w:color w:val="685040" w:themeColor="text2"/>
          <w:sz w:val="20"/>
          <w:szCs w:val="20"/>
        </w:rPr>
        <w:t>Dodavatel zavazuje, že:</w:t>
      </w:r>
    </w:p>
    <w:p w:rsidR="00C41E7F" w:rsidRDefault="00C41E7F">
      <w:pPr>
        <w:spacing w:after="0" w:line="240" w:lineRule="auto"/>
        <w:rPr>
          <w:rFonts w:ascii="Trebuchet MS" w:hAnsi="Trebuchet MS"/>
          <w:color w:val="685040" w:themeColor="text2"/>
          <w:sz w:val="20"/>
          <w:szCs w:val="20"/>
        </w:rPr>
      </w:pPr>
    </w:p>
    <w:p w:rsidR="00C41E7F" w:rsidRDefault="004B77F2">
      <w:pPr>
        <w:spacing w:after="0" w:line="240" w:lineRule="auto"/>
        <w:ind w:left="851" w:hanging="284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a)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předá NNH veškerá data o kvalitě, která jsou požadována (a) právními předpisy, nebo (b) byla požadována NNH v rámci zadávacích podmínek, na jejichž základě NNH uzavřela tuto smlouvu s Dodavatelem, jsou-li takové, nebo (c) jsou p</w:t>
      </w:r>
      <w:r>
        <w:rPr>
          <w:rFonts w:ascii="Trebuchet MS" w:hAnsi="Trebuchet MS"/>
          <w:color w:val="685040" w:themeColor="text2"/>
          <w:sz w:val="20"/>
          <w:szCs w:val="20"/>
        </w:rPr>
        <w:t>ožadována ustanoveními této Smlouvy, nebo (d) jsou požadována NNH po uzavření této Smlouvy prostřednictvím kontaktní osoby, uvedené ve Smlouvě, nebo pracovníků NNH s jejichž funkcí vykonávanou v NNH souvisí užívání, zajišťování, údržba nebo kontrola kvalit</w:t>
      </w:r>
      <w:r>
        <w:rPr>
          <w:rFonts w:ascii="Trebuchet MS" w:hAnsi="Trebuchet MS"/>
          <w:color w:val="685040" w:themeColor="text2"/>
          <w:sz w:val="20"/>
          <w:szCs w:val="20"/>
        </w:rPr>
        <w:t>y plnění smlouvy či kontrola kvality v NNH;</w:t>
      </w:r>
    </w:p>
    <w:p w:rsidR="00C41E7F" w:rsidRDefault="004B77F2">
      <w:pPr>
        <w:spacing w:after="0" w:line="240" w:lineRule="auto"/>
        <w:ind w:left="851" w:hanging="284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b)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v případě neschopnosti dodržet své povinnosti vyplývající z této Smlouvy, zejména plnit předmět Smlouvy v kvalitě stanovené touto Smlouvou a v souladu s technickými podmínkami stanovenými v rámci zadávacích po</w:t>
      </w:r>
      <w:r>
        <w:rPr>
          <w:rFonts w:ascii="Trebuchet MS" w:hAnsi="Trebuchet MS"/>
          <w:color w:val="685040" w:themeColor="text2"/>
          <w:sz w:val="20"/>
          <w:szCs w:val="20"/>
        </w:rPr>
        <w:t>dmínek, které byly podkladem pro uzavření této Smlouvy (jsou-li takové), bude o této skutečnosti neprodleně prokazatelně informovat NNH. Práva vyplývající z odpovědnosti za porušení Smlouvy tímto nejsou dotčena;</w:t>
      </w:r>
    </w:p>
    <w:p w:rsidR="00C41E7F" w:rsidRDefault="004B77F2">
      <w:pPr>
        <w:spacing w:after="0" w:line="240" w:lineRule="auto"/>
        <w:ind w:left="851" w:hanging="284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c)</w:t>
      </w:r>
      <w:r>
        <w:rPr>
          <w:rFonts w:ascii="Trebuchet MS" w:hAnsi="Trebuchet MS"/>
          <w:color w:val="685040" w:themeColor="text2"/>
          <w:sz w:val="20"/>
          <w:szCs w:val="20"/>
        </w:rPr>
        <w:tab/>
        <w:t xml:space="preserve">oznámí NNH veškeré odchylky od kvality a </w:t>
      </w:r>
      <w:r>
        <w:rPr>
          <w:rFonts w:ascii="Trebuchet MS" w:hAnsi="Trebuchet MS"/>
          <w:color w:val="685040" w:themeColor="text2"/>
          <w:sz w:val="20"/>
          <w:szCs w:val="20"/>
        </w:rPr>
        <w:t xml:space="preserve">technických podmínek, které se vztahují k plnění předmětu této Smlouvy a které zjistí v průběhu plnění této Smlouvy. V takovém případě NNH může uplatnit práva z vadného plnění ihned poté, co se o vadném plnění dozvěděla; </w:t>
      </w:r>
    </w:p>
    <w:p w:rsidR="00C41E7F" w:rsidRDefault="004B77F2">
      <w:pPr>
        <w:spacing w:after="0" w:line="240" w:lineRule="auto"/>
        <w:ind w:left="851" w:hanging="284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d)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v dostatečném předstihu před pl</w:t>
      </w:r>
      <w:r>
        <w:rPr>
          <w:rFonts w:ascii="Trebuchet MS" w:hAnsi="Trebuchet MS"/>
          <w:color w:val="685040" w:themeColor="text2"/>
          <w:sz w:val="20"/>
          <w:szCs w:val="20"/>
        </w:rPr>
        <w:t>ánovanými změnami výrobních metod, postupů či použitých materiálů, majících potenciální vliv na kvalitu plnění předmětu Smlouvy, bude NNH o této skutečnosti informovat a umožní NNH ověření, zda deklarované změny nemohou ovlivnit výslednou kvalitu kupujícím</w:t>
      </w:r>
      <w:r>
        <w:rPr>
          <w:rFonts w:ascii="Trebuchet MS" w:hAnsi="Trebuchet MS"/>
          <w:color w:val="685040" w:themeColor="text2"/>
          <w:sz w:val="20"/>
          <w:szCs w:val="20"/>
        </w:rPr>
        <w:t xml:space="preserve"> poskytovaných služeb.</w:t>
      </w:r>
    </w:p>
    <w:p w:rsidR="00C41E7F" w:rsidRDefault="00C41E7F">
      <w:pPr>
        <w:spacing w:after="0" w:line="240" w:lineRule="auto"/>
        <w:rPr>
          <w:rFonts w:ascii="Trebuchet MS" w:hAnsi="Trebuchet MS"/>
          <w:color w:val="685040" w:themeColor="text2"/>
          <w:sz w:val="20"/>
          <w:szCs w:val="20"/>
        </w:rPr>
      </w:pPr>
    </w:p>
    <w:p w:rsidR="00C41E7F" w:rsidRDefault="004B77F2">
      <w:pPr>
        <w:spacing w:after="0" w:line="240" w:lineRule="auto"/>
        <w:ind w:left="567" w:hanging="283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2.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NNH je oprávněna v případě zjištění nedostatků při plnění této Smlouvy (zjištěných např. v rámci hodnocení), zahájit s Dodavatelem neprodleně jednání směřující k nápravě vzniklého stavu. V případě potřeby je NNH oprávněna prostře</w:t>
      </w:r>
      <w:r>
        <w:rPr>
          <w:rFonts w:ascii="Trebuchet MS" w:hAnsi="Trebuchet MS"/>
          <w:color w:val="685040" w:themeColor="text2"/>
          <w:sz w:val="20"/>
          <w:szCs w:val="20"/>
        </w:rPr>
        <w:t>dnictvím svých pověřených osob, vystupujících v roli externího pozorovatele, účastnit se kontroly kvality v prostorách druhé smluvní strany.</w:t>
      </w:r>
    </w:p>
    <w:p w:rsidR="00C41E7F" w:rsidRDefault="004B77F2">
      <w:pPr>
        <w:spacing w:after="0" w:line="240" w:lineRule="auto"/>
        <w:ind w:left="567" w:hanging="283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3.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V případě rozporu s plněním podmínek stanovených v této Smlouvě bude NNH uplatňovat práva z odpovědnosti za vadn</w:t>
      </w:r>
      <w:r>
        <w:rPr>
          <w:rFonts w:ascii="Trebuchet MS" w:hAnsi="Trebuchet MS"/>
          <w:color w:val="685040" w:themeColor="text2"/>
          <w:sz w:val="20"/>
          <w:szCs w:val="20"/>
        </w:rPr>
        <w:t>é plnění v souladu s touto Smlouvou a příslušnými právními předpisy.</w:t>
      </w:r>
    </w:p>
    <w:p w:rsidR="00C41E7F" w:rsidRDefault="004B77F2">
      <w:pPr>
        <w:spacing w:after="0" w:line="240" w:lineRule="auto"/>
        <w:ind w:left="567" w:hanging="283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Smluvní strany se mohou ve smlouvě od těchto ustanovení odchýlit.</w:t>
      </w:r>
    </w:p>
    <w:p w:rsidR="00C41E7F" w:rsidRDefault="00C41E7F">
      <w:pPr>
        <w:spacing w:after="0" w:line="240" w:lineRule="auto"/>
        <w:rPr>
          <w:rFonts w:ascii="Trebuchet MS" w:hAnsi="Trebuchet MS"/>
          <w:color w:val="685040" w:themeColor="text2"/>
          <w:sz w:val="20"/>
          <w:szCs w:val="20"/>
        </w:rPr>
      </w:pPr>
    </w:p>
    <w:p w:rsidR="00C41E7F" w:rsidRDefault="004B77F2">
      <w:pPr>
        <w:spacing w:after="0" w:line="240" w:lineRule="auto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IX.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Ustanovení o formě, počtu stejnopisů smlouvy a zveřejnění smluv</w:t>
      </w:r>
    </w:p>
    <w:p w:rsidR="00C41E7F" w:rsidRDefault="004B77F2">
      <w:pPr>
        <w:spacing w:after="0" w:line="240" w:lineRule="auto"/>
        <w:ind w:left="567" w:hanging="283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1.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 xml:space="preserve">Pro NNH musejí být vyhotoveny vždy minimálně dvě </w:t>
      </w:r>
      <w:r>
        <w:rPr>
          <w:rFonts w:ascii="Trebuchet MS" w:hAnsi="Trebuchet MS"/>
          <w:color w:val="685040" w:themeColor="text2"/>
          <w:sz w:val="20"/>
          <w:szCs w:val="20"/>
        </w:rPr>
        <w:t>originální vyhotovení Smlouvy. Stanoví-li smlouva větší počet vyhotovení, užije se ustanovení Smlouvy.</w:t>
      </w:r>
    </w:p>
    <w:p w:rsidR="00C41E7F" w:rsidRDefault="004B77F2">
      <w:pPr>
        <w:spacing w:after="0" w:line="240" w:lineRule="auto"/>
        <w:ind w:left="567" w:hanging="283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2.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 xml:space="preserve">Smluvní strany souhlasí se zveřejněním všech náležitostí smluvního vztahu, založeného touto smlouvou, jakož i se zveřejněním celé této smlouvy. Pokud </w:t>
      </w:r>
      <w:r>
        <w:rPr>
          <w:rFonts w:ascii="Trebuchet MS" w:hAnsi="Trebuchet MS"/>
          <w:color w:val="685040" w:themeColor="text2"/>
          <w:sz w:val="20"/>
          <w:szCs w:val="20"/>
        </w:rPr>
        <w:t xml:space="preserve">z objektivních důvodů druhá strana trvá na nezveřejnění Smlouvy či některé její části, nebo není zveřejnění Smlouvy či některé její části v zájmu NNH (např. z důvodů zachování soutěže mezi účastníky rámcové smlouvy v </w:t>
      </w:r>
      <w:proofErr w:type="spellStart"/>
      <w:r>
        <w:rPr>
          <w:rFonts w:ascii="Trebuchet MS" w:hAnsi="Trebuchet MS"/>
          <w:color w:val="685040" w:themeColor="text2"/>
          <w:sz w:val="20"/>
          <w:szCs w:val="20"/>
        </w:rPr>
        <w:t>minitenderech</w:t>
      </w:r>
      <w:proofErr w:type="spellEnd"/>
      <w:r>
        <w:rPr>
          <w:rFonts w:ascii="Trebuchet MS" w:hAnsi="Trebuchet MS"/>
          <w:color w:val="685040" w:themeColor="text2"/>
          <w:sz w:val="20"/>
          <w:szCs w:val="20"/>
        </w:rPr>
        <w:t>), musí být konkrétní část</w:t>
      </w:r>
      <w:r>
        <w:rPr>
          <w:rFonts w:ascii="Trebuchet MS" w:hAnsi="Trebuchet MS"/>
          <w:color w:val="685040" w:themeColor="text2"/>
          <w:sz w:val="20"/>
          <w:szCs w:val="20"/>
        </w:rPr>
        <w:t>i Smlouvy, které nemají být zveřejněny, uvedeny v samostatném ustanovení Smlouvy v závěrečných ustanoveních smlouvy (v poslední části smlouvy).</w:t>
      </w:r>
    </w:p>
    <w:p w:rsidR="00C41E7F" w:rsidRDefault="004B77F2">
      <w:pPr>
        <w:spacing w:after="0" w:line="240" w:lineRule="auto"/>
        <w:ind w:left="567" w:hanging="283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3.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Jakékoli změny Smlouvy mohou být provedeny pouze písemnou dohodou smluvních stran, přičemž tato dohoda musí b</w:t>
      </w:r>
      <w:r>
        <w:rPr>
          <w:rFonts w:ascii="Trebuchet MS" w:hAnsi="Trebuchet MS"/>
          <w:color w:val="685040" w:themeColor="text2"/>
          <w:sz w:val="20"/>
          <w:szCs w:val="20"/>
        </w:rPr>
        <w:t>ýt zachycena formou písemných, vzestupně číslovaných dodatků Smlouvy. To neplatí u změn adres pro doručování a změny kontaktních osob a jejich kontaktních údajů, které jsou účinné doručením písemného oznámením této změny druhé smluvní straně.</w:t>
      </w:r>
    </w:p>
    <w:p w:rsidR="00C41E7F" w:rsidRDefault="00C41E7F">
      <w:pPr>
        <w:spacing w:after="0" w:line="240" w:lineRule="auto"/>
        <w:rPr>
          <w:rFonts w:ascii="Trebuchet MS" w:hAnsi="Trebuchet MS"/>
          <w:color w:val="685040" w:themeColor="text2"/>
          <w:sz w:val="20"/>
          <w:szCs w:val="20"/>
        </w:rPr>
      </w:pPr>
    </w:p>
    <w:p w:rsidR="00C41E7F" w:rsidRDefault="004B77F2">
      <w:pPr>
        <w:spacing w:after="0" w:line="240" w:lineRule="auto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X.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Výklad Sm</w:t>
      </w:r>
      <w:r>
        <w:rPr>
          <w:rFonts w:ascii="Trebuchet MS" w:hAnsi="Trebuchet MS"/>
          <w:color w:val="685040" w:themeColor="text2"/>
          <w:sz w:val="20"/>
          <w:szCs w:val="20"/>
        </w:rPr>
        <w:t>louvy, závěrečná ustanovení o těchto obchodních podmínkách</w:t>
      </w:r>
    </w:p>
    <w:p w:rsidR="00C41E7F" w:rsidRDefault="004B77F2">
      <w:pPr>
        <w:spacing w:after="0" w:line="240" w:lineRule="auto"/>
        <w:ind w:left="567" w:hanging="283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1.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 xml:space="preserve">Smluvní strany stanoví, že pokud je Smlouva uzavřena na základě zadávacího řízení, výběrového řízení veřejné zakázky malého rozsahu či obchodní veřejné soutěže, budou vykládat tuto smlouvu s </w:t>
      </w:r>
      <w:r>
        <w:rPr>
          <w:rFonts w:ascii="Trebuchet MS" w:hAnsi="Trebuchet MS"/>
          <w:color w:val="685040" w:themeColor="text2"/>
          <w:sz w:val="20"/>
          <w:szCs w:val="20"/>
        </w:rPr>
        <w:t>ohledem na jednání stran v řízení, na základě kterého byla Smlouva uzavřena, zejména s ohledem na obsah nabídky Dodavatele, zadávací podmínky a odpovědi na případné žádosti o informace k těmto zadávacím podmínkám.</w:t>
      </w:r>
    </w:p>
    <w:p w:rsidR="00C41E7F" w:rsidRDefault="004B77F2">
      <w:pPr>
        <w:spacing w:after="0" w:line="240" w:lineRule="auto"/>
        <w:ind w:left="567" w:hanging="283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2.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Smluvní strany vylučují použití ustanov</w:t>
      </w:r>
      <w:r>
        <w:rPr>
          <w:rFonts w:ascii="Trebuchet MS" w:hAnsi="Trebuchet MS"/>
          <w:color w:val="685040" w:themeColor="text2"/>
          <w:sz w:val="20"/>
          <w:szCs w:val="20"/>
        </w:rPr>
        <w:t>ení § 1799 a 1800 občanského zákoníku.</w:t>
      </w:r>
    </w:p>
    <w:p w:rsidR="00C41E7F" w:rsidRDefault="004B77F2">
      <w:pPr>
        <w:spacing w:after="0" w:line="240" w:lineRule="auto"/>
        <w:ind w:left="567" w:hanging="283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3.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Ustanovení těchto OP mají přednost před odchylnými ustanoveními Smlouvy, není-li v těchto OP výslovně uvedeno jinak.</w:t>
      </w:r>
    </w:p>
    <w:p w:rsidR="00C41E7F" w:rsidRDefault="004B77F2">
      <w:pPr>
        <w:spacing w:after="0" w:line="240" w:lineRule="auto"/>
        <w:ind w:left="567" w:hanging="283"/>
        <w:rPr>
          <w:rFonts w:ascii="Trebuchet MS" w:hAnsi="Trebuchet MS"/>
          <w:color w:val="685040" w:themeColor="text2"/>
          <w:sz w:val="20"/>
          <w:szCs w:val="20"/>
        </w:rPr>
      </w:pPr>
      <w:r>
        <w:rPr>
          <w:rFonts w:ascii="Trebuchet MS" w:hAnsi="Trebuchet MS"/>
          <w:color w:val="685040" w:themeColor="text2"/>
          <w:sz w:val="20"/>
          <w:szCs w:val="20"/>
        </w:rPr>
        <w:t>4.</w:t>
      </w:r>
      <w:r>
        <w:rPr>
          <w:rFonts w:ascii="Trebuchet MS" w:hAnsi="Trebuchet MS"/>
          <w:color w:val="685040" w:themeColor="text2"/>
          <w:sz w:val="20"/>
          <w:szCs w:val="20"/>
        </w:rPr>
        <w:tab/>
        <w:t>Smluvní strany se dohodly, že obchodní zvyklosti nemají přednost před ustanoveními zákona, kte</w:t>
      </w:r>
      <w:r>
        <w:rPr>
          <w:rFonts w:ascii="Trebuchet MS" w:hAnsi="Trebuchet MS"/>
          <w:color w:val="685040" w:themeColor="text2"/>
          <w:sz w:val="20"/>
          <w:szCs w:val="20"/>
        </w:rPr>
        <w:t xml:space="preserve">rá nemají donucující účinky (smluvní strany vylučují aplikaci ustanovení § 558 odst. 2 </w:t>
      </w:r>
      <w:proofErr w:type="spellStart"/>
      <w:r>
        <w:rPr>
          <w:rFonts w:ascii="Trebuchet MS" w:hAnsi="Trebuchet MS"/>
          <w:color w:val="685040" w:themeColor="text2"/>
          <w:sz w:val="20"/>
          <w:szCs w:val="20"/>
        </w:rPr>
        <w:t>ObčZ</w:t>
      </w:r>
      <w:proofErr w:type="spellEnd"/>
      <w:r>
        <w:rPr>
          <w:rFonts w:ascii="Trebuchet MS" w:hAnsi="Trebuchet MS"/>
          <w:color w:val="685040" w:themeColor="text2"/>
          <w:sz w:val="20"/>
          <w:szCs w:val="20"/>
        </w:rPr>
        <w:t>).</w:t>
      </w:r>
    </w:p>
    <w:bookmarkEnd w:id="1"/>
    <w:bookmarkEnd w:id="3"/>
    <w:p w:rsidR="00C41E7F" w:rsidRDefault="00C41E7F">
      <w:pPr>
        <w:spacing w:after="0" w:line="240" w:lineRule="auto"/>
        <w:rPr>
          <w:rFonts w:ascii="Trebuchet MS" w:eastAsia="+mj-ea" w:hAnsi="Trebuchet MS" w:cs="+mj-cs"/>
          <w:b/>
          <w:bCs/>
          <w:caps/>
          <w:color w:val="685040" w:themeColor="text2"/>
          <w:sz w:val="20"/>
          <w:szCs w:val="20"/>
          <w:lang w:eastAsia="cs-CZ"/>
        </w:rPr>
      </w:pPr>
    </w:p>
    <w:p w:rsidR="004B77F2" w:rsidRDefault="004B77F2">
      <w:pPr>
        <w:spacing w:after="0" w:line="240" w:lineRule="auto"/>
        <w:rPr>
          <w:rFonts w:ascii="Trebuchet MS" w:eastAsia="+mj-ea" w:hAnsi="Trebuchet MS" w:cs="+mj-cs"/>
          <w:b/>
          <w:bCs/>
          <w:caps/>
          <w:color w:val="685040" w:themeColor="text2"/>
          <w:sz w:val="20"/>
          <w:szCs w:val="20"/>
          <w:lang w:eastAsia="cs-CZ"/>
        </w:rPr>
      </w:pPr>
      <w:r>
        <w:rPr>
          <w:rFonts w:ascii="Trebuchet MS" w:eastAsia="+mj-ea" w:hAnsi="Trebuchet MS" w:cs="+mj-cs"/>
          <w:b/>
          <w:bCs/>
          <w:caps/>
          <w:color w:val="685040" w:themeColor="text2"/>
          <w:sz w:val="20"/>
          <w:szCs w:val="20"/>
          <w:lang w:eastAsia="cs-CZ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2" o:title=""/>
          </v:shape>
          <o:OLEObject Type="Embed" ProgID="AcroExch.Document.7" ShapeID="_x0000_i1025" DrawAspect="Content" ObjectID="_1531131463" r:id="rId13"/>
        </w:object>
      </w:r>
      <w:bookmarkStart w:id="4" w:name="_GoBack"/>
      <w:bookmarkEnd w:id="4"/>
    </w:p>
    <w:sectPr w:rsidR="004B77F2">
      <w:footerReference w:type="default" r:id="rId14"/>
      <w:footerReference w:type="first" r:id="rId15"/>
      <w:pgSz w:w="11906" w:h="16838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E7F" w:rsidRDefault="004B77F2">
      <w:pPr>
        <w:spacing w:before="0" w:after="0" w:line="240" w:lineRule="auto"/>
      </w:pPr>
      <w:r>
        <w:separator/>
      </w:r>
    </w:p>
    <w:p w:rsidR="00C41E7F" w:rsidRDefault="00C41E7F"/>
    <w:p w:rsidR="00C41E7F" w:rsidRDefault="00C41E7F"/>
    <w:p w:rsidR="00C41E7F" w:rsidRDefault="00C41E7F"/>
  </w:endnote>
  <w:endnote w:type="continuationSeparator" w:id="0">
    <w:p w:rsidR="00C41E7F" w:rsidRDefault="004B77F2">
      <w:pPr>
        <w:spacing w:before="0" w:after="0" w:line="240" w:lineRule="auto"/>
      </w:pPr>
      <w:r>
        <w:continuationSeparator/>
      </w:r>
    </w:p>
    <w:p w:rsidR="00C41E7F" w:rsidRDefault="00C41E7F"/>
    <w:p w:rsidR="00C41E7F" w:rsidRDefault="00C41E7F"/>
    <w:p w:rsidR="00C41E7F" w:rsidRDefault="00C41E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mj-ea">
    <w:panose1 w:val="00000000000000000000"/>
    <w:charset w:val="00"/>
    <w:family w:val="roman"/>
    <w:notTrueType/>
    <w:pitch w:val="default"/>
  </w:font>
  <w:font w:name="+mj-c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rutiger Medium 10 pun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64926"/>
      <w:docPartObj>
        <w:docPartGallery w:val="Page Numbers (Bottom of Page)"/>
        <w:docPartUnique/>
      </w:docPartObj>
    </w:sdtPr>
    <w:sdtEndPr/>
    <w:sdtContent>
      <w:p w:rsidR="00C41E7F" w:rsidRDefault="004B77F2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C41E7F" w:rsidRDefault="00C41E7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624435"/>
      <w:docPartObj>
        <w:docPartGallery w:val="Page Numbers (Bottom of Page)"/>
        <w:docPartUnique/>
      </w:docPartObj>
    </w:sdtPr>
    <w:sdtEndPr/>
    <w:sdtContent>
      <w:p w:rsidR="00C41E7F" w:rsidRDefault="004B77F2">
        <w:pPr>
          <w:pStyle w:val="Zpat"/>
          <w:jc w:val="center"/>
        </w:pPr>
      </w:p>
    </w:sdtContent>
  </w:sdt>
  <w:p w:rsidR="00C41E7F" w:rsidRDefault="00C41E7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E7F" w:rsidRDefault="004B77F2">
      <w:pPr>
        <w:spacing w:before="0" w:after="0" w:line="240" w:lineRule="auto"/>
      </w:pPr>
      <w:r>
        <w:separator/>
      </w:r>
    </w:p>
    <w:p w:rsidR="00C41E7F" w:rsidRDefault="00C41E7F"/>
    <w:p w:rsidR="00C41E7F" w:rsidRDefault="00C41E7F"/>
    <w:p w:rsidR="00C41E7F" w:rsidRDefault="00C41E7F"/>
  </w:footnote>
  <w:footnote w:type="continuationSeparator" w:id="0">
    <w:p w:rsidR="00C41E7F" w:rsidRDefault="004B77F2">
      <w:pPr>
        <w:spacing w:before="0" w:after="0" w:line="240" w:lineRule="auto"/>
      </w:pPr>
      <w:r>
        <w:continuationSeparator/>
      </w:r>
    </w:p>
    <w:p w:rsidR="00C41E7F" w:rsidRDefault="00C41E7F"/>
    <w:p w:rsidR="00C41E7F" w:rsidRDefault="00C41E7F"/>
    <w:p w:rsidR="00C41E7F" w:rsidRDefault="00C41E7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multilevel"/>
    <w:tmpl w:val="0C848F62"/>
    <w:name w:val="WW8Num5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 w:val="0"/>
      </w:rPr>
    </w:lvl>
    <w:lvl w:ilvl="1">
      <w:start w:val="1"/>
      <w:numFmt w:val="lowerLetter"/>
      <w:lvlText w:val="%2)"/>
      <w:lvlJc w:val="left"/>
      <w:pPr>
        <w:tabs>
          <w:tab w:val="num" w:pos="76"/>
        </w:tabs>
        <w:ind w:left="1080" w:hanging="360"/>
      </w:pPr>
      <w:rPr>
        <w:rFonts w:ascii="Calibri" w:hAnsi="Calibri" w:cs="Calibri" w:hint="default"/>
        <w:b w:val="0"/>
        <w:i w:val="0"/>
      </w:rPr>
    </w:lvl>
    <w:lvl w:ilvl="2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1">
    <w:nsid w:val="00000019"/>
    <w:multiLevelType w:val="singleLevel"/>
    <w:tmpl w:val="CC20952C"/>
    <w:name w:val="WW8Num3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sz w:val="20"/>
        <w:szCs w:val="22"/>
      </w:rPr>
    </w:lvl>
  </w:abstractNum>
  <w:abstractNum w:abstractNumId="2">
    <w:nsid w:val="0000001B"/>
    <w:multiLevelType w:val="singleLevel"/>
    <w:tmpl w:val="0000001B"/>
    <w:name w:val="WW8Num1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3">
    <w:nsid w:val="0000002F"/>
    <w:multiLevelType w:val="multilevel"/>
    <w:tmpl w:val="86EA4D52"/>
    <w:name w:val="WW8Num50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080" w:hanging="360"/>
      </w:pPr>
      <w:rPr>
        <w:rFonts w:ascii="Calibri" w:eastAsia="Times New Roman" w:hAnsi="Calibri" w:cs="Calibri" w:hint="default"/>
      </w:r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4">
    <w:nsid w:val="0F252CBC"/>
    <w:multiLevelType w:val="multilevel"/>
    <w:tmpl w:val="A92C829C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05D7788"/>
    <w:multiLevelType w:val="hybridMultilevel"/>
    <w:tmpl w:val="E332A4E2"/>
    <w:lvl w:ilvl="0" w:tplc="1E2AABA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084A0F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B82AEC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39A6D1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CEEAEF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E52987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81E5EA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E12AE0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30250A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130A193B"/>
    <w:multiLevelType w:val="hybridMultilevel"/>
    <w:tmpl w:val="65B6528E"/>
    <w:lvl w:ilvl="0" w:tplc="AB2E70E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CD04CE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C7E184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D30661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6C03A7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28CBE8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B465A3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E80116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9ACEEA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132232EE"/>
    <w:multiLevelType w:val="multilevel"/>
    <w:tmpl w:val="5E72BEE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rebuchet MS" w:eastAsia="Times" w:hAnsi="Trebuchet MS" w:cs="Times New Roman"/>
        <w:color w:val="685040"/>
        <w:sz w:val="20"/>
      </w:rPr>
    </w:lvl>
    <w:lvl w:ilvl="1">
      <w:start w:val="1"/>
      <w:numFmt w:val="lowerLetter"/>
      <w:pStyle w:val="Styl1"/>
      <w:lvlText w:val="%2)"/>
      <w:lvlJc w:val="left"/>
      <w:pPr>
        <w:tabs>
          <w:tab w:val="num" w:pos="0"/>
        </w:tabs>
        <w:ind w:left="1440" w:hanging="360"/>
      </w:pPr>
      <w:rPr>
        <w:rFonts w:ascii="Calibri" w:eastAsia="Times New Roman" w:hAnsi="Calibri" w:cs="Calibri" w:hint="default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8">
    <w:nsid w:val="25864359"/>
    <w:multiLevelType w:val="hybridMultilevel"/>
    <w:tmpl w:val="1510747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CEEA04">
      <w:numFmt w:val="bullet"/>
      <w:lvlText w:val="-"/>
      <w:lvlJc w:val="left"/>
      <w:pPr>
        <w:ind w:left="3600" w:hanging="360"/>
      </w:pPr>
      <w:rPr>
        <w:rFonts w:ascii="Trebuchet MS" w:eastAsia="Calibri" w:hAnsi="Trebuchet MS" w:cs="Times New Roman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C271390"/>
    <w:multiLevelType w:val="hybridMultilevel"/>
    <w:tmpl w:val="16D41CCA"/>
    <w:lvl w:ilvl="0" w:tplc="FFFFFFFF">
      <w:start w:val="1"/>
      <w:numFmt w:val="bullet"/>
      <w:pStyle w:val="RASbullet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279BE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1279BE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6A51AE1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380E3748"/>
    <w:multiLevelType w:val="hybridMultilevel"/>
    <w:tmpl w:val="E5908442"/>
    <w:lvl w:ilvl="0" w:tplc="685A9B4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FF2D4C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EBE261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854359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E16E89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008D8E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B5C833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ADCAFC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9DC4BA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>
    <w:nsid w:val="3DD25031"/>
    <w:multiLevelType w:val="hybridMultilevel"/>
    <w:tmpl w:val="ADB0A8CA"/>
    <w:lvl w:ilvl="0" w:tplc="2A02F64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542B5E"/>
    <w:multiLevelType w:val="hybridMultilevel"/>
    <w:tmpl w:val="C1BA7DBA"/>
    <w:lvl w:ilvl="0" w:tplc="FFFFFFFF">
      <w:start w:val="1"/>
      <w:numFmt w:val="bullet"/>
      <w:pStyle w:val="BDOBulletOne"/>
      <w:lvlText w:val="•"/>
      <w:lvlJc w:val="left"/>
      <w:pPr>
        <w:tabs>
          <w:tab w:val="num" w:pos="227"/>
        </w:tabs>
        <w:ind w:left="227" w:hanging="227"/>
      </w:pPr>
      <w:rPr>
        <w:rFonts w:ascii="Trebuchet MS" w:hAnsi="Trebuchet MS" w:hint="default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2951AEF"/>
    <w:multiLevelType w:val="hybridMultilevel"/>
    <w:tmpl w:val="1400BD3E"/>
    <w:lvl w:ilvl="0" w:tplc="87D8FAC4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ED1A3B"/>
      </w:rPr>
    </w:lvl>
    <w:lvl w:ilvl="1" w:tplc="3CD8AE6E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438D526">
      <w:start w:val="1"/>
      <w:numFmt w:val="bullet"/>
      <w:lvlText w:val=""/>
      <w:lvlJc w:val="left"/>
      <w:pPr>
        <w:tabs>
          <w:tab w:val="num" w:pos="644"/>
        </w:tabs>
        <w:ind w:left="644" w:hanging="360"/>
      </w:pPr>
      <w:rPr>
        <w:rFonts w:ascii="Wingdings 3" w:hAnsi="Wingdings 3" w:hint="default"/>
      </w:rPr>
    </w:lvl>
    <w:lvl w:ilvl="3" w:tplc="D1D6B63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994C04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0220CF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65C0D7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DBE22E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ECC599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>
    <w:nsid w:val="42ED3E4D"/>
    <w:multiLevelType w:val="hybridMultilevel"/>
    <w:tmpl w:val="7D22F436"/>
    <w:lvl w:ilvl="0" w:tplc="756419D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D3618D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E56C7E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F8A23B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F5ED45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1BACE1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E34B81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662550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558153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>
    <w:nsid w:val="47F1301D"/>
    <w:multiLevelType w:val="hybridMultilevel"/>
    <w:tmpl w:val="1D661800"/>
    <w:lvl w:ilvl="0" w:tplc="06BCC92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4A47FE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45A9E0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6B67D6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6821B4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AA0B22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760BFE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9E63AE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766867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>
    <w:nsid w:val="4E955D81"/>
    <w:multiLevelType w:val="hybridMultilevel"/>
    <w:tmpl w:val="FAB0F3AC"/>
    <w:lvl w:ilvl="0" w:tplc="A67EBF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CF49BE"/>
    <w:multiLevelType w:val="hybridMultilevel"/>
    <w:tmpl w:val="4BB26342"/>
    <w:lvl w:ilvl="0" w:tplc="43125DB6">
      <w:start w:val="1"/>
      <w:numFmt w:val="bullet"/>
      <w:pStyle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0000"/>
      </w:rPr>
    </w:lvl>
    <w:lvl w:ilvl="1" w:tplc="0405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3AC2710"/>
    <w:multiLevelType w:val="hybridMultilevel"/>
    <w:tmpl w:val="4B987FF4"/>
    <w:lvl w:ilvl="0" w:tplc="B61CF442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5F268E0"/>
    <w:multiLevelType w:val="hybridMultilevel"/>
    <w:tmpl w:val="156AE2D4"/>
    <w:lvl w:ilvl="0" w:tplc="8F260C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7E36D0F"/>
    <w:multiLevelType w:val="multilevel"/>
    <w:tmpl w:val="E7A8BCA0"/>
    <w:lvl w:ilvl="0">
      <w:start w:val="1"/>
      <w:numFmt w:val="decimal"/>
      <w:lvlText w:val="%1."/>
      <w:lvlJc w:val="left"/>
      <w:pPr>
        <w:ind w:left="1068" w:hanging="360"/>
      </w:pPr>
      <w:rPr>
        <w:color w:val="ED1A3B" w:themeColor="accent6"/>
        <w:sz w:val="36"/>
        <w:szCs w:val="36"/>
      </w:rPr>
    </w:lvl>
    <w:lvl w:ilvl="1">
      <w:start w:val="1"/>
      <w:numFmt w:val="decimal"/>
      <w:isLgl/>
      <w:lvlText w:val="%1.%2"/>
      <w:lvlJc w:val="left"/>
      <w:pPr>
        <w:ind w:left="2846" w:hanging="720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2EAFA4" w:themeColor="accent1"/>
        <w:spacing w:val="0"/>
        <w:kern w:val="0"/>
        <w:position w:val="0"/>
        <w:sz w:val="28"/>
        <w:szCs w:val="28"/>
        <w:u w:val="none"/>
        <w:vertAlign w:val="baseline"/>
        <w:em w:val="none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  <w:color w:val="ED1A3B" w:themeColor="accent6"/>
      </w:rPr>
    </w:lvl>
    <w:lvl w:ilvl="3">
      <w:start w:val="1"/>
      <w:numFmt w:val="decimal"/>
      <w:isLgl/>
      <w:lvlText w:val="%1.%2.%3.%4"/>
      <w:lvlJc w:val="left"/>
      <w:pPr>
        <w:ind w:left="250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6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28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28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88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48" w:hanging="2520"/>
      </w:pPr>
      <w:rPr>
        <w:rFonts w:hint="default"/>
      </w:rPr>
    </w:lvl>
  </w:abstractNum>
  <w:abstractNum w:abstractNumId="22">
    <w:nsid w:val="5D57123D"/>
    <w:multiLevelType w:val="hybridMultilevel"/>
    <w:tmpl w:val="769CC886"/>
    <w:lvl w:ilvl="0" w:tplc="5D04E9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E2490F"/>
    <w:multiLevelType w:val="hybridMultilevel"/>
    <w:tmpl w:val="008A0C2A"/>
    <w:lvl w:ilvl="0" w:tplc="ED16E3A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  <w:color w:val="ED1A3B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C7E184C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D30661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6C03A7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28CBE8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B465A3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E80116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9ACEEA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4">
    <w:nsid w:val="681A6EB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AAA48C8"/>
    <w:multiLevelType w:val="multilevel"/>
    <w:tmpl w:val="2E60A990"/>
    <w:lvl w:ilvl="0">
      <w:start w:val="1"/>
      <w:numFmt w:val="decimal"/>
      <w:pStyle w:val="Nadpis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dpis4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lowerLetter"/>
      <w:pStyle w:val="Nadpis6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6">
    <w:nsid w:val="6B206A33"/>
    <w:multiLevelType w:val="hybridMultilevel"/>
    <w:tmpl w:val="F684CC32"/>
    <w:lvl w:ilvl="0" w:tplc="7D9AEC52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  <w:color w:val="ED1A3B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641AF7"/>
    <w:multiLevelType w:val="hybridMultilevel"/>
    <w:tmpl w:val="68E4608E"/>
    <w:lvl w:ilvl="0" w:tplc="91EC6E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2C2229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2BA85F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A07BA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61B41D4"/>
    <w:multiLevelType w:val="hybridMultilevel"/>
    <w:tmpl w:val="4A38B430"/>
    <w:lvl w:ilvl="0" w:tplc="906AD74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17AEDA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0FC096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D68174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F903D8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906278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99816C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072AA1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0CAB62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21"/>
  </w:num>
  <w:num w:numId="2">
    <w:abstractNumId w:val="18"/>
  </w:num>
  <w:num w:numId="3">
    <w:abstractNumId w:val="13"/>
  </w:num>
  <w:num w:numId="4">
    <w:abstractNumId w:val="24"/>
  </w:num>
  <w:num w:numId="5">
    <w:abstractNumId w:val="14"/>
  </w:num>
  <w:num w:numId="6">
    <w:abstractNumId w:val="9"/>
  </w:num>
  <w:num w:numId="7">
    <w:abstractNumId w:val="7"/>
  </w:num>
  <w:num w:numId="8">
    <w:abstractNumId w:val="26"/>
  </w:num>
  <w:num w:numId="9">
    <w:abstractNumId w:val="6"/>
  </w:num>
  <w:num w:numId="10">
    <w:abstractNumId w:val="5"/>
  </w:num>
  <w:num w:numId="11">
    <w:abstractNumId w:val="28"/>
  </w:num>
  <w:num w:numId="12">
    <w:abstractNumId w:val="11"/>
  </w:num>
  <w:num w:numId="13">
    <w:abstractNumId w:val="16"/>
  </w:num>
  <w:num w:numId="14">
    <w:abstractNumId w:val="15"/>
  </w:num>
  <w:num w:numId="15">
    <w:abstractNumId w:val="25"/>
  </w:num>
  <w:num w:numId="16">
    <w:abstractNumId w:val="23"/>
  </w:num>
  <w:num w:numId="17">
    <w:abstractNumId w:val="10"/>
  </w:num>
  <w:num w:numId="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</w:num>
  <w:num w:numId="24">
    <w:abstractNumId w:val="27"/>
  </w:num>
  <w:num w:numId="25">
    <w:abstractNumId w:val="20"/>
  </w:num>
  <w:num w:numId="26">
    <w:abstractNumId w:val="19"/>
  </w:num>
  <w:num w:numId="27">
    <w:abstractNumId w:val="12"/>
  </w:num>
  <w:num w:numId="28">
    <w:abstractNumId w:val="17"/>
  </w:num>
  <w:num w:numId="29">
    <w:abstractNumId w:val="22"/>
  </w:num>
  <w:num w:numId="30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E7F"/>
    <w:rsid w:val="004B77F2"/>
    <w:rsid w:val="00C41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>
      <w:pPr>
        <w:spacing w:before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Outline List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nadpis 1"/>
    <w:basedOn w:val="Normln"/>
    <w:link w:val="Nadpis1Char"/>
    <w:qFormat/>
    <w:pPr>
      <w:numPr>
        <w:numId w:val="15"/>
      </w:numPr>
      <w:spacing w:before="106" w:after="0" w:line="240" w:lineRule="auto"/>
      <w:ind w:left="709" w:hanging="709"/>
      <w:textAlignment w:val="baseline"/>
      <w:outlineLvl w:val="0"/>
    </w:pPr>
    <w:rPr>
      <w:rFonts w:ascii="Trebuchet MS" w:eastAsia="+mj-ea" w:hAnsi="Trebuchet MS" w:cs="+mj-cs"/>
      <w:b/>
      <w:bCs/>
      <w:caps/>
      <w:color w:val="ED1A3B"/>
      <w:sz w:val="36"/>
      <w:szCs w:val="36"/>
      <w:lang w:eastAsia="cs-CZ"/>
    </w:rPr>
  </w:style>
  <w:style w:type="paragraph" w:styleId="Nadpis2">
    <w:name w:val="heading 2"/>
    <w:basedOn w:val="Nadpis4"/>
    <w:next w:val="Normln"/>
    <w:link w:val="Nadpis2Char"/>
    <w:unhideWhenUsed/>
    <w:qFormat/>
    <w:pPr>
      <w:spacing w:before="0" w:after="240"/>
      <w:ind w:left="709" w:hanging="709"/>
      <w:textAlignment w:val="auto"/>
      <w:outlineLvl w:val="1"/>
    </w:pPr>
    <w:rPr>
      <w:rFonts w:cs="Times New Roman"/>
      <w:bCs w:val="0"/>
      <w:color w:val="2EAFA4" w:themeColor="accent1"/>
    </w:rPr>
  </w:style>
  <w:style w:type="paragraph" w:styleId="Nadpis3">
    <w:name w:val="heading 3"/>
    <w:basedOn w:val="Normln"/>
    <w:next w:val="Normln"/>
    <w:link w:val="Nadpis3Char"/>
    <w:unhideWhenUsed/>
    <w:qFormat/>
    <w:pPr>
      <w:spacing w:before="240" w:after="0"/>
      <w:ind w:left="624"/>
      <w:outlineLvl w:val="2"/>
    </w:pPr>
    <w:rPr>
      <w:rFonts w:asciiTheme="majorHAnsi" w:hAnsiTheme="majorHAnsi"/>
      <w:b/>
      <w:color w:val="685040" w:themeColor="text2"/>
    </w:rPr>
  </w:style>
  <w:style w:type="paragraph" w:styleId="Nadpis4">
    <w:name w:val="heading 4"/>
    <w:basedOn w:val="Nadpis1"/>
    <w:next w:val="Normln"/>
    <w:link w:val="Nadpis4Char"/>
    <w:unhideWhenUsed/>
    <w:qFormat/>
    <w:pPr>
      <w:numPr>
        <w:ilvl w:val="1"/>
      </w:numPr>
      <w:spacing w:before="240" w:after="120"/>
      <w:outlineLvl w:val="3"/>
    </w:pPr>
    <w:rPr>
      <w:caps w:val="0"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685040" w:themeColor="text2"/>
    </w:rPr>
  </w:style>
  <w:style w:type="paragraph" w:styleId="Nadpis6">
    <w:name w:val="heading 6"/>
    <w:basedOn w:val="Nadpis4"/>
    <w:next w:val="Normln"/>
    <w:link w:val="Nadpis6Char"/>
    <w:unhideWhenUsed/>
    <w:qFormat/>
    <w:pPr>
      <w:numPr>
        <w:ilvl w:val="2"/>
      </w:numPr>
      <w:outlineLvl w:val="5"/>
    </w:pPr>
    <w:rPr>
      <w:color w:val="2EAFA4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nadpis 1 Char"/>
    <w:basedOn w:val="Standardnpsmoodstavce"/>
    <w:link w:val="Nadpis1"/>
    <w:rPr>
      <w:rFonts w:ascii="Trebuchet MS" w:eastAsia="+mj-ea" w:hAnsi="Trebuchet MS" w:cs="+mj-cs"/>
      <w:b/>
      <w:bCs/>
      <w:caps/>
      <w:color w:val="ED1A3B"/>
      <w:sz w:val="36"/>
      <w:szCs w:val="36"/>
    </w:rPr>
  </w:style>
  <w:style w:type="character" w:styleId="Siln">
    <w:name w:val="Strong"/>
    <w:basedOn w:val="Standardnpsmoodstavce"/>
    <w:qFormat/>
    <w:rPr>
      <w:b/>
      <w:bCs/>
    </w:rPr>
  </w:style>
  <w:style w:type="paragraph" w:styleId="Odstavecseseznamem">
    <w:name w:val="List Paragraph"/>
    <w:aliases w:val="seznam písmena"/>
    <w:basedOn w:val="Normln"/>
    <w:link w:val="OdstavecseseznamemChar"/>
    <w:uiPriority w:val="34"/>
    <w:qFormat/>
    <w:pPr>
      <w:ind w:left="720"/>
      <w:contextualSpacing/>
    </w:pPr>
    <w:rPr>
      <w:rFonts w:asciiTheme="majorHAnsi" w:eastAsia="Times" w:hAnsiTheme="majorHAnsi"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Pr>
      <w:sz w:val="22"/>
      <w:szCs w:val="22"/>
      <w:lang w:eastAsia="en-US"/>
    </w:rPr>
  </w:style>
  <w:style w:type="character" w:customStyle="1" w:styleId="FontStyle13">
    <w:name w:val="Font Style13"/>
    <w:basedOn w:val="Standardnpsmoodstavce"/>
    <w:uiPriority w:val="99"/>
    <w:rPr>
      <w:rFonts w:ascii="Verdana" w:hAnsi="Verdana" w:cs="Verdana"/>
      <w:b/>
      <w:bCs/>
      <w:color w:val="000000"/>
      <w:sz w:val="18"/>
      <w:szCs w:val="18"/>
    </w:rPr>
  </w:style>
  <w:style w:type="paragraph" w:customStyle="1" w:styleId="Default">
    <w:name w:val="Default"/>
    <w:pPr>
      <w:autoSpaceDE w:val="0"/>
      <w:autoSpaceDN w:val="0"/>
      <w:adjustRightInd w:val="0"/>
      <w:spacing w:before="0"/>
    </w:pPr>
    <w:rPr>
      <w:rFonts w:ascii="Arial" w:hAnsi="Arial" w:cs="Arial"/>
      <w:color w:val="000000"/>
      <w:sz w:val="24"/>
      <w:szCs w:val="24"/>
    </w:rPr>
  </w:style>
  <w:style w:type="paragraph" w:styleId="Nzev">
    <w:name w:val="Title"/>
    <w:basedOn w:val="Default"/>
    <w:next w:val="Normln"/>
    <w:link w:val="NzevChar"/>
    <w:uiPriority w:val="10"/>
    <w:qFormat/>
    <w:rPr>
      <w:rFonts w:asciiTheme="majorHAnsi" w:eastAsia="Times" w:hAnsiTheme="majorHAnsi" w:cs="Helvetica"/>
      <w:b/>
      <w:caps/>
      <w:color w:val="685040"/>
      <w:sz w:val="20"/>
      <w:szCs w:val="20"/>
    </w:rPr>
  </w:style>
  <w:style w:type="character" w:customStyle="1" w:styleId="NzevChar">
    <w:name w:val="Název Char"/>
    <w:basedOn w:val="Standardnpsmoodstavce"/>
    <w:link w:val="Nzev"/>
    <w:uiPriority w:val="10"/>
    <w:rPr>
      <w:rFonts w:asciiTheme="majorHAnsi" w:eastAsia="Times" w:hAnsiTheme="majorHAnsi" w:cs="Helvetica"/>
      <w:b/>
      <w:caps/>
      <w:color w:val="685040"/>
    </w:rPr>
  </w:style>
  <w:style w:type="character" w:customStyle="1" w:styleId="Nadpis2Char">
    <w:name w:val="Nadpis 2 Char"/>
    <w:basedOn w:val="Standardnpsmoodstavce"/>
    <w:link w:val="Nadpis2"/>
    <w:uiPriority w:val="9"/>
    <w:rPr>
      <w:rFonts w:ascii="Trebuchet MS" w:eastAsia="+mj-ea" w:hAnsi="Trebuchet MS"/>
      <w:b/>
      <w:color w:val="2EAFA4" w:themeColor="accent1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hAnsiTheme="majorHAnsi"/>
      <w:b/>
      <w:color w:val="685040" w:themeColor="text2"/>
      <w:sz w:val="22"/>
      <w:szCs w:val="22"/>
      <w:lang w:eastAsia="en-US"/>
    </w:rPr>
  </w:style>
  <w:style w:type="table" w:styleId="Mkatabulky">
    <w:name w:val="Table Grid"/>
    <w:basedOn w:val="Normlntabulka"/>
    <w:uiPriority w:val="59"/>
    <w:pPr>
      <w:spacing w:before="0"/>
    </w:pPr>
    <w:rPr>
      <w:rFonts w:ascii="Trebuchet MS" w:eastAsia="Trebuchet MS" w:hAnsi="Trebuchet MS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  <w:lang w:eastAsia="en-US"/>
    </w:rPr>
  </w:style>
  <w:style w:type="character" w:customStyle="1" w:styleId="Nadpis4Char">
    <w:name w:val="Nadpis 4 Char"/>
    <w:basedOn w:val="Standardnpsmoodstavce"/>
    <w:link w:val="Nadpis4"/>
    <w:rPr>
      <w:rFonts w:ascii="Trebuchet MS" w:eastAsia="+mj-ea" w:hAnsi="Trebuchet MS" w:cs="+mj-cs"/>
      <w:b/>
      <w:bCs/>
      <w:color w:val="ED1A3B"/>
      <w:sz w:val="28"/>
      <w:szCs w:val="28"/>
      <w:lang w:val="en-GB"/>
    </w:rPr>
  </w:style>
  <w:style w:type="paragraph" w:styleId="Obsah1">
    <w:name w:val="toc 1"/>
    <w:basedOn w:val="Normln"/>
    <w:next w:val="Normln"/>
    <w:autoRedefine/>
    <w:uiPriority w:val="39"/>
    <w:unhideWhenUsed/>
    <w:qFormat/>
    <w:pPr>
      <w:keepNext/>
      <w:keepLines/>
      <w:tabs>
        <w:tab w:val="left" w:pos="426"/>
        <w:tab w:val="right" w:pos="9072"/>
        <w:tab w:val="left" w:pos="9923"/>
      </w:tabs>
      <w:spacing w:after="120" w:line="240" w:lineRule="auto"/>
    </w:pPr>
    <w:rPr>
      <w:rFonts w:ascii="Trebuchet MS" w:hAnsi="Trebuchet MS"/>
      <w:b/>
      <w:noProof/>
      <w:color w:val="ED1A3B"/>
    </w:rPr>
  </w:style>
  <w:style w:type="paragraph" w:styleId="Obsah2">
    <w:name w:val="toc 2"/>
    <w:basedOn w:val="Normln"/>
    <w:next w:val="Normln"/>
    <w:autoRedefine/>
    <w:uiPriority w:val="39"/>
    <w:unhideWhenUsed/>
    <w:qFormat/>
    <w:pPr>
      <w:tabs>
        <w:tab w:val="left" w:pos="284"/>
        <w:tab w:val="left" w:pos="709"/>
        <w:tab w:val="right" w:leader="dot" w:pos="9060"/>
      </w:tabs>
      <w:spacing w:after="100"/>
      <w:ind w:left="220"/>
    </w:pPr>
    <w:rPr>
      <w:rFonts w:asciiTheme="majorHAnsi" w:hAnsiTheme="majorHAnsi"/>
      <w:noProof/>
      <w:color w:val="685040"/>
      <w:sz w:val="20"/>
    </w:rPr>
  </w:style>
  <w:style w:type="paragraph" w:styleId="Obsah3">
    <w:name w:val="toc 3"/>
    <w:basedOn w:val="Normln"/>
    <w:next w:val="Normln"/>
    <w:autoRedefine/>
    <w:uiPriority w:val="39"/>
    <w:unhideWhenUsed/>
    <w:pPr>
      <w:spacing w:after="100"/>
      <w:ind w:left="440"/>
    </w:pPr>
    <w:rPr>
      <w:rFonts w:asciiTheme="majorHAnsi" w:hAnsiTheme="majorHAnsi"/>
      <w:sz w:val="20"/>
    </w:rPr>
  </w:style>
  <w:style w:type="paragraph" w:styleId="Nadpisobsahu">
    <w:name w:val="TOC Heading"/>
    <w:basedOn w:val="Nadpis1"/>
    <w:next w:val="Normln"/>
    <w:uiPriority w:val="39"/>
    <w:unhideWhenUsed/>
    <w:qFormat/>
    <w:pPr>
      <w:keepNext/>
      <w:keepLines/>
      <w:numPr>
        <w:numId w:val="0"/>
      </w:numPr>
      <w:spacing w:before="480" w:line="276" w:lineRule="auto"/>
      <w:textAlignment w:val="auto"/>
      <w:outlineLvl w:val="9"/>
    </w:pPr>
    <w:rPr>
      <w:rFonts w:asciiTheme="majorHAnsi" w:eastAsiaTheme="majorEastAsia" w:hAnsiTheme="majorHAnsi" w:cstheme="majorBidi"/>
      <w:caps w:val="0"/>
      <w:color w:val="22827A" w:themeColor="accent1" w:themeShade="BF"/>
      <w:sz w:val="28"/>
      <w:szCs w:val="28"/>
      <w:lang w:eastAsia="en-US"/>
    </w:rPr>
  </w:style>
  <w:style w:type="character" w:styleId="Hypertextovodkaz">
    <w:name w:val="Hyperlink"/>
    <w:basedOn w:val="Standardnpsmoodstavce"/>
    <w:uiPriority w:val="99"/>
    <w:unhideWhenUsed/>
    <w:rPr>
      <w:color w:val="ED1A3B" w:themeColor="hyperlink"/>
      <w:u w:val="single"/>
    </w:rPr>
  </w:style>
  <w:style w:type="paragraph" w:styleId="Obsah4">
    <w:name w:val="toc 4"/>
    <w:basedOn w:val="Normln"/>
    <w:next w:val="Normln"/>
    <w:autoRedefine/>
    <w:uiPriority w:val="39"/>
    <w:unhideWhenUsed/>
    <w:pPr>
      <w:tabs>
        <w:tab w:val="left" w:pos="567"/>
        <w:tab w:val="right" w:leader="dot" w:pos="9062"/>
      </w:tabs>
      <w:spacing w:after="100"/>
      <w:ind w:left="284"/>
    </w:pPr>
  </w:style>
  <w:style w:type="paragraph" w:customStyle="1" w:styleId="Bullet">
    <w:name w:val="Bullet"/>
    <w:basedOn w:val="Zkladntext"/>
    <w:pPr>
      <w:numPr>
        <w:numId w:val="2"/>
      </w:numPr>
      <w:tabs>
        <w:tab w:val="clear" w:pos="360"/>
      </w:tabs>
      <w:ind w:left="0" w:firstLine="0"/>
    </w:pPr>
  </w:style>
  <w:style w:type="paragraph" w:styleId="Zkladntext">
    <w:name w:val="Body Text"/>
    <w:basedOn w:val="Normln"/>
    <w:link w:val="ZkladntextChar"/>
    <w:uiPriority w:val="99"/>
    <w:semiHidden/>
    <w:unhideWhenUsed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sz w:val="22"/>
      <w:szCs w:val="22"/>
      <w:lang w:eastAsia="en-US"/>
    </w:rPr>
  </w:style>
  <w:style w:type="paragraph" w:customStyle="1" w:styleId="Standardntext">
    <w:name w:val="Standardní text"/>
    <w:basedOn w:val="Normln"/>
    <w:pPr>
      <w:overflowPunct w:val="0"/>
      <w:autoSpaceDE w:val="0"/>
      <w:autoSpaceDN w:val="0"/>
      <w:adjustRightInd w:val="0"/>
      <w:spacing w:before="0" w:after="0" w:line="240" w:lineRule="atLeast"/>
      <w:textAlignment w:val="baseline"/>
    </w:pPr>
    <w:rPr>
      <w:rFonts w:ascii="Times New Roman" w:hAnsi="Times New Roman"/>
      <w:noProof/>
      <w:sz w:val="24"/>
      <w:szCs w:val="20"/>
      <w:lang w:eastAsia="cs-CZ"/>
    </w:rPr>
  </w:style>
  <w:style w:type="paragraph" w:styleId="Normlnweb">
    <w:name w:val="Normal (Web)"/>
    <w:basedOn w:val="Normln"/>
    <w:link w:val="NormlnwebChar"/>
    <w:unhideWhenUsed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pPr>
      <w:spacing w:before="0" w:after="120" w:line="480" w:lineRule="auto"/>
    </w:pPr>
    <w:rPr>
      <w:rFonts w:ascii="Arial" w:eastAsia="Arial Unicode MS" w:hAnsi="Arial" w:cs="Arial"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Pr>
      <w:rFonts w:ascii="Arial" w:eastAsia="Arial Unicode MS" w:hAnsi="Arial" w:cs="Arial"/>
      <w:sz w:val="24"/>
      <w:szCs w:val="24"/>
    </w:rPr>
  </w:style>
  <w:style w:type="paragraph" w:styleId="Prosttext">
    <w:name w:val="Plain Text"/>
    <w:basedOn w:val="Normln"/>
    <w:link w:val="ProsttextChar"/>
    <w:uiPriority w:val="99"/>
    <w:semiHidden/>
    <w:unhideWhenUsed/>
    <w:pPr>
      <w:spacing w:before="0" w:after="0" w:line="240" w:lineRule="auto"/>
    </w:pPr>
    <w:rPr>
      <w:rFonts w:ascii="Trebuchet MS" w:hAnsi="Trebuchet MS" w:cstheme="minorBidi"/>
      <w:sz w:val="20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Pr>
      <w:rFonts w:ascii="Trebuchet MS" w:hAnsi="Trebuchet MS" w:cstheme="minorBidi"/>
      <w:szCs w:val="21"/>
      <w:lang w:eastAsia="en-US"/>
    </w:rPr>
  </w:style>
  <w:style w:type="character" w:customStyle="1" w:styleId="BDO-BodyBullets">
    <w:name w:val="BDO - Body Bullets"/>
    <w:basedOn w:val="Standardnpsmoodstavce"/>
    <w:rPr>
      <w:rFonts w:ascii="Trebuchet MS" w:hAnsi="Trebuchet MS"/>
      <w:color w:val="000000"/>
      <w:sz w:val="20"/>
    </w:rPr>
  </w:style>
  <w:style w:type="character" w:customStyle="1" w:styleId="BDO-Subhead1">
    <w:name w:val="BDO - Subhead 1"/>
    <w:basedOn w:val="Standardnpsmoodstavce"/>
    <w:rPr>
      <w:rFonts w:ascii="Trebuchet MS" w:hAnsi="Trebuchet MS"/>
      <w:b/>
      <w:bCs/>
      <w:color w:val="C0504D"/>
      <w:sz w:val="24"/>
    </w:rPr>
  </w:style>
  <w:style w:type="character" w:customStyle="1" w:styleId="NormlnwebChar">
    <w:name w:val="Normální (web) Char"/>
    <w:basedOn w:val="Standardnpsmoodstavce"/>
    <w:link w:val="Normlnweb"/>
    <w:rPr>
      <w:rFonts w:ascii="Times New Roman" w:hAnsi="Times New Roman"/>
      <w:sz w:val="24"/>
      <w:szCs w:val="24"/>
    </w:rPr>
  </w:style>
  <w:style w:type="paragraph" w:customStyle="1" w:styleId="BioSubhead">
    <w:name w:val="Bio Subhead"/>
    <w:basedOn w:val="Nadpis2"/>
    <w:pPr>
      <w:keepNext/>
      <w:widowControl w:val="0"/>
      <w:pBdr>
        <w:bottom w:val="single" w:sz="4" w:space="1" w:color="87A5C8"/>
      </w:pBdr>
      <w:autoSpaceDE w:val="0"/>
      <w:autoSpaceDN w:val="0"/>
      <w:adjustRightInd w:val="0"/>
      <w:spacing w:before="5"/>
    </w:pPr>
    <w:rPr>
      <w:rFonts w:ascii="Georgia" w:eastAsia="Times New Roman" w:hAnsi="Georgia"/>
      <w:color w:val="000064"/>
      <w:sz w:val="26"/>
      <w:szCs w:val="20"/>
      <w:lang w:val="en-US"/>
    </w:rPr>
  </w:style>
  <w:style w:type="paragraph" w:customStyle="1" w:styleId="BioTitletext">
    <w:name w:val="Bio Title text"/>
    <w:basedOn w:val="Normln"/>
    <w:pPr>
      <w:widowControl w:val="0"/>
      <w:autoSpaceDE w:val="0"/>
      <w:autoSpaceDN w:val="0"/>
      <w:adjustRightInd w:val="0"/>
      <w:spacing w:before="0" w:after="0" w:line="264" w:lineRule="auto"/>
    </w:pPr>
    <w:rPr>
      <w:rFonts w:ascii="Georgia" w:hAnsi="Georgia"/>
      <w:color w:val="000064"/>
      <w:sz w:val="26"/>
      <w:szCs w:val="20"/>
      <w:lang w:val="en-US"/>
    </w:rPr>
  </w:style>
  <w:style w:type="paragraph" w:customStyle="1" w:styleId="BDOBulletOne">
    <w:name w:val="BDO_Bullet One"/>
    <w:basedOn w:val="Normln"/>
    <w:pPr>
      <w:numPr>
        <w:numId w:val="3"/>
      </w:numPr>
      <w:spacing w:before="0" w:after="140" w:line="280" w:lineRule="exact"/>
      <w:contextualSpacing/>
    </w:pPr>
    <w:rPr>
      <w:rFonts w:ascii="Trebuchet MS" w:hAnsi="Trebuchet MS"/>
      <w:sz w:val="20"/>
      <w:szCs w:val="24"/>
      <w:lang w:val="en-GB" w:eastAsia="en-GB"/>
    </w:rPr>
  </w:style>
  <w:style w:type="numbering" w:styleId="111111">
    <w:name w:val="Outline List 2"/>
    <w:basedOn w:val="Bezseznamu"/>
    <w:semiHidden/>
    <w:pPr>
      <w:numPr>
        <w:numId w:val="4"/>
      </w:numPr>
    </w:pPr>
  </w:style>
  <w:style w:type="paragraph" w:customStyle="1" w:styleId="BDONormal">
    <w:name w:val="BDO_Normal"/>
    <w:link w:val="BDONormalChar"/>
    <w:pPr>
      <w:spacing w:before="0"/>
    </w:pPr>
    <w:rPr>
      <w:rFonts w:ascii="Trebuchet MS" w:hAnsi="Trebuchet MS"/>
      <w:szCs w:val="24"/>
      <w:lang w:val="en-GB" w:eastAsia="en-GB"/>
    </w:rPr>
  </w:style>
  <w:style w:type="paragraph" w:customStyle="1" w:styleId="BDOAddress">
    <w:name w:val="BDO_Address"/>
    <w:basedOn w:val="BDONormal"/>
    <w:pPr>
      <w:spacing w:line="170" w:lineRule="exact"/>
    </w:pPr>
    <w:rPr>
      <w:color w:val="786860"/>
      <w:sz w:val="16"/>
    </w:rPr>
  </w:style>
  <w:style w:type="paragraph" w:customStyle="1" w:styleId="BDOAddressBold">
    <w:name w:val="BDO_Address (Bold)"/>
    <w:basedOn w:val="BDOAddress"/>
    <w:rPr>
      <w:b/>
    </w:rPr>
  </w:style>
  <w:style w:type="paragraph" w:customStyle="1" w:styleId="BDOFooter">
    <w:name w:val="BDO_Footer"/>
    <w:basedOn w:val="BDONormal"/>
    <w:pPr>
      <w:spacing w:line="144" w:lineRule="exact"/>
    </w:pPr>
    <w:rPr>
      <w:color w:val="786860"/>
      <w:sz w:val="12"/>
    </w:rPr>
  </w:style>
  <w:style w:type="character" w:styleId="slostrnky">
    <w:name w:val="page number"/>
    <w:basedOn w:val="Standardnpsmoodstavce"/>
    <w:semiHidden/>
  </w:style>
  <w:style w:type="character" w:customStyle="1" w:styleId="BDONormalChar">
    <w:name w:val="BDO_Normal Char"/>
    <w:basedOn w:val="Standardnpsmoodstavce"/>
    <w:link w:val="BDONormal"/>
    <w:rPr>
      <w:rFonts w:ascii="Trebuchet MS" w:hAnsi="Trebuchet MS"/>
      <w:szCs w:val="24"/>
      <w:lang w:val="en-GB" w:eastAsia="en-GB"/>
    </w:rPr>
  </w:style>
  <w:style w:type="character" w:customStyle="1" w:styleId="Nadpis5Char">
    <w:name w:val="Nadpis 5 Char"/>
    <w:basedOn w:val="Standardnpsmoodstavce"/>
    <w:link w:val="Nadpis5"/>
    <w:uiPriority w:val="9"/>
    <w:rPr>
      <w:rFonts w:asciiTheme="majorHAnsi" w:eastAsiaTheme="majorEastAsia" w:hAnsiTheme="majorHAnsi" w:cstheme="majorBidi"/>
      <w:color w:val="685040" w:themeColor="text2"/>
      <w:sz w:val="22"/>
      <w:szCs w:val="22"/>
      <w:lang w:eastAsia="en-US"/>
    </w:rPr>
  </w:style>
  <w:style w:type="paragraph" w:styleId="Textpoznpodarou">
    <w:name w:val="footnote text"/>
    <w:aliases w:val="Schriftart: 8 pt"/>
    <w:basedOn w:val="Normln"/>
    <w:link w:val="TextpoznpodarouChar"/>
    <w:pPr>
      <w:spacing w:before="0" w:after="0" w:line="240" w:lineRule="auto"/>
    </w:pPr>
    <w:rPr>
      <w:rFonts w:ascii="Trebuchet MS" w:hAnsi="Trebuchet MS"/>
      <w:sz w:val="20"/>
      <w:szCs w:val="20"/>
      <w:lang w:val="en-GB" w:eastAsia="en-GB"/>
    </w:rPr>
  </w:style>
  <w:style w:type="character" w:customStyle="1" w:styleId="TextpoznpodarouChar">
    <w:name w:val="Text pozn. pod čarou Char"/>
    <w:aliases w:val="Schriftart: 8 pt Char"/>
    <w:basedOn w:val="Standardnpsmoodstavce"/>
    <w:link w:val="Textpoznpodarou"/>
    <w:rPr>
      <w:rFonts w:ascii="Trebuchet MS" w:hAnsi="Trebuchet MS"/>
      <w:lang w:val="en-GB" w:eastAsia="en-GB"/>
    </w:rPr>
  </w:style>
  <w:style w:type="paragraph" w:customStyle="1" w:styleId="BioPractArea">
    <w:name w:val="BioPractArea"/>
    <w:pPr>
      <w:spacing w:before="0" w:after="360"/>
    </w:pPr>
    <w:rPr>
      <w:rFonts w:ascii="Arial Narrow" w:hAnsi="Arial Narrow"/>
      <w:color w:val="000080"/>
      <w:sz w:val="38"/>
      <w:lang w:val="en-US" w:eastAsia="en-US"/>
    </w:rPr>
  </w:style>
  <w:style w:type="paragraph" w:customStyle="1" w:styleId="BioSideHead">
    <w:name w:val="BioSideHead"/>
    <w:basedOn w:val="Normln"/>
    <w:next w:val="Normln"/>
    <w:pPr>
      <w:spacing w:before="200" w:after="40" w:line="240" w:lineRule="auto"/>
    </w:pPr>
    <w:rPr>
      <w:rFonts w:ascii="Arial Narrow" w:hAnsi="Arial Narrow"/>
      <w:b/>
      <w:color w:val="008080"/>
      <w:sz w:val="20"/>
      <w:szCs w:val="24"/>
      <w:lang w:val="en-US"/>
    </w:rPr>
  </w:style>
  <w:style w:type="paragraph" w:customStyle="1" w:styleId="BioTitle">
    <w:name w:val="BioTitle"/>
    <w:pPr>
      <w:spacing w:before="0" w:after="720"/>
    </w:pPr>
    <w:rPr>
      <w:rFonts w:ascii="Arial Narrow" w:hAnsi="Arial Narrow"/>
      <w:color w:val="000080"/>
      <w:sz w:val="32"/>
      <w:lang w:val="en-US" w:eastAsia="en-US"/>
    </w:rPr>
  </w:style>
  <w:style w:type="character" w:styleId="Zvraznn">
    <w:name w:val="Emphasis"/>
    <w:basedOn w:val="Standardnpsmoodstavce"/>
    <w:uiPriority w:val="20"/>
    <w:qFormat/>
    <w:rPr>
      <w:i/>
      <w:iCs/>
    </w:rPr>
  </w:style>
  <w:style w:type="table" w:styleId="Svtlstnovnzvraznn5">
    <w:name w:val="Light Shading Accent 5"/>
    <w:basedOn w:val="Normlntabulka"/>
    <w:uiPriority w:val="60"/>
    <w:pPr>
      <w:spacing w:before="0"/>
    </w:pPr>
    <w:rPr>
      <w:color w:val="25ADCE" w:themeColor="accent5" w:themeShade="BF"/>
    </w:rPr>
    <w:tblPr>
      <w:tblStyleRowBandSize w:val="1"/>
      <w:tblStyleColBandSize w:val="1"/>
      <w:tblBorders>
        <w:top w:val="single" w:sz="8" w:space="0" w:color="62CAE3" w:themeColor="accent5"/>
        <w:bottom w:val="single" w:sz="8" w:space="0" w:color="62CAE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CAE3" w:themeColor="accent5"/>
          <w:left w:val="nil"/>
          <w:bottom w:val="single" w:sz="8" w:space="0" w:color="62CAE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CAE3" w:themeColor="accent5"/>
          <w:left w:val="nil"/>
          <w:bottom w:val="single" w:sz="8" w:space="0" w:color="62CAE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F1F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F1F8" w:themeFill="accent5" w:themeFillTint="3F"/>
      </w:tcPr>
    </w:tblStylePr>
  </w:style>
  <w:style w:type="paragraph" w:styleId="Obsah5">
    <w:name w:val="toc 5"/>
    <w:basedOn w:val="Normln"/>
    <w:next w:val="Normln"/>
    <w:autoRedefine/>
    <w:uiPriority w:val="39"/>
    <w:unhideWhenUsed/>
    <w:pPr>
      <w:spacing w:before="0" w:after="100"/>
      <w:ind w:left="880"/>
    </w:pPr>
    <w:rPr>
      <w:rFonts w:asciiTheme="minorHAnsi" w:eastAsiaTheme="minorEastAsia" w:hAnsiTheme="minorHAnsi" w:cstheme="minorBidi"/>
      <w:lang w:eastAsia="cs-CZ"/>
    </w:rPr>
  </w:style>
  <w:style w:type="paragraph" w:styleId="Obsah6">
    <w:name w:val="toc 6"/>
    <w:basedOn w:val="Normln"/>
    <w:next w:val="Normln"/>
    <w:autoRedefine/>
    <w:uiPriority w:val="39"/>
    <w:unhideWhenUsed/>
    <w:pPr>
      <w:spacing w:before="0" w:after="100"/>
      <w:ind w:left="1100"/>
    </w:pPr>
    <w:rPr>
      <w:rFonts w:asciiTheme="minorHAnsi" w:eastAsiaTheme="minorEastAsia" w:hAnsiTheme="minorHAnsi" w:cstheme="minorBidi"/>
      <w:lang w:eastAsia="cs-CZ"/>
    </w:rPr>
  </w:style>
  <w:style w:type="paragraph" w:styleId="Obsah7">
    <w:name w:val="toc 7"/>
    <w:basedOn w:val="Normln"/>
    <w:next w:val="Normln"/>
    <w:autoRedefine/>
    <w:uiPriority w:val="39"/>
    <w:unhideWhenUsed/>
    <w:pPr>
      <w:spacing w:before="0" w:after="100"/>
      <w:ind w:left="1320"/>
    </w:pPr>
    <w:rPr>
      <w:rFonts w:asciiTheme="minorHAnsi" w:eastAsiaTheme="minorEastAsia" w:hAnsiTheme="minorHAnsi" w:cstheme="minorBidi"/>
      <w:lang w:eastAsia="cs-CZ"/>
    </w:rPr>
  </w:style>
  <w:style w:type="paragraph" w:styleId="Obsah8">
    <w:name w:val="toc 8"/>
    <w:basedOn w:val="Normln"/>
    <w:next w:val="Normln"/>
    <w:autoRedefine/>
    <w:uiPriority w:val="39"/>
    <w:unhideWhenUsed/>
    <w:pPr>
      <w:spacing w:before="0" w:after="100"/>
      <w:ind w:left="1540"/>
    </w:pPr>
    <w:rPr>
      <w:rFonts w:asciiTheme="minorHAnsi" w:eastAsiaTheme="minorEastAsia" w:hAnsiTheme="minorHAnsi" w:cstheme="minorBidi"/>
      <w:lang w:eastAsia="cs-CZ"/>
    </w:rPr>
  </w:style>
  <w:style w:type="paragraph" w:styleId="Obsah9">
    <w:name w:val="toc 9"/>
    <w:basedOn w:val="Normln"/>
    <w:next w:val="Normln"/>
    <w:autoRedefine/>
    <w:uiPriority w:val="39"/>
    <w:unhideWhenUsed/>
    <w:pPr>
      <w:spacing w:before="0" w:after="100"/>
      <w:ind w:left="1760"/>
    </w:pPr>
    <w:rPr>
      <w:rFonts w:asciiTheme="minorHAnsi" w:eastAsiaTheme="minorEastAsia" w:hAnsiTheme="minorHAnsi" w:cstheme="minorBidi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Pr>
      <w:rFonts w:ascii="Trebuchet MS" w:eastAsia="+mj-ea" w:hAnsi="Trebuchet MS" w:cs="+mj-cs"/>
      <w:b/>
      <w:bCs/>
      <w:color w:val="2EAFA4" w:themeColor="accent1"/>
      <w:sz w:val="28"/>
      <w:szCs w:val="28"/>
      <w:lang w:val="en-GB"/>
    </w:rPr>
  </w:style>
  <w:style w:type="paragraph" w:styleId="Zkladntext-prvnodsazen">
    <w:name w:val="Body Text First Indent"/>
    <w:basedOn w:val="Zkladntext"/>
    <w:link w:val="Zkladntext-prvnodsazenChar"/>
    <w:pPr>
      <w:spacing w:before="0" w:line="240" w:lineRule="auto"/>
      <w:ind w:firstLine="210"/>
    </w:pPr>
    <w:rPr>
      <w:rFonts w:ascii="Times New Roman" w:hAnsi="Times New Roman"/>
      <w:sz w:val="24"/>
      <w:szCs w:val="24"/>
      <w:lang w:eastAsia="cs-CZ"/>
    </w:rPr>
  </w:style>
  <w:style w:type="character" w:customStyle="1" w:styleId="Zkladntext-prvnodsazenChar">
    <w:name w:val="Základní text - první odsazený Char"/>
    <w:basedOn w:val="ZkladntextChar"/>
    <w:link w:val="Zkladntext-prvnodsazen"/>
    <w:rPr>
      <w:rFonts w:ascii="Times New Roman" w:hAnsi="Times New Roman"/>
      <w:sz w:val="24"/>
      <w:szCs w:val="24"/>
      <w:lang w:eastAsia="en-US"/>
    </w:rPr>
  </w:style>
  <w:style w:type="character" w:styleId="Zdraznnintenzivn">
    <w:name w:val="Intense Emphasis"/>
    <w:basedOn w:val="Standardnpsmoodstavce"/>
    <w:uiPriority w:val="21"/>
    <w:qFormat/>
    <w:rPr>
      <w:b/>
      <w:bCs/>
      <w:i/>
      <w:iCs/>
      <w:color w:val="2EAFA4" w:themeColor="accent1"/>
    </w:rPr>
  </w:style>
  <w:style w:type="paragraph" w:customStyle="1" w:styleId="Text">
    <w:name w:val="Text"/>
    <w:basedOn w:val="Normln"/>
    <w:pPr>
      <w:spacing w:before="0" w:after="240" w:line="240" w:lineRule="auto"/>
    </w:pPr>
    <w:rPr>
      <w:rFonts w:ascii="Times New Roman" w:hAnsi="Times New Roman"/>
      <w:sz w:val="24"/>
      <w:szCs w:val="20"/>
      <w:lang w:val="en-US"/>
    </w:rPr>
  </w:style>
  <w:style w:type="paragraph" w:styleId="Citt">
    <w:name w:val="Quote"/>
    <w:basedOn w:val="Normln"/>
    <w:next w:val="Normln"/>
    <w:link w:val="CittChar"/>
    <w:uiPriority w:val="29"/>
    <w:qFormat/>
    <w:pPr>
      <w:spacing w:before="0" w:after="0" w:line="240" w:lineRule="auto"/>
    </w:pPr>
    <w:rPr>
      <w:rFonts w:ascii="Times New Roman" w:hAnsi="Times New Roman"/>
      <w:i/>
      <w:iCs/>
      <w:color w:val="000000"/>
      <w:sz w:val="24"/>
      <w:szCs w:val="24"/>
      <w:lang w:eastAsia="cs-CZ"/>
    </w:rPr>
  </w:style>
  <w:style w:type="character" w:customStyle="1" w:styleId="CittChar">
    <w:name w:val="Citát Char"/>
    <w:basedOn w:val="Standardnpsmoodstavce"/>
    <w:link w:val="Citt"/>
    <w:uiPriority w:val="29"/>
    <w:rPr>
      <w:rFonts w:ascii="Times New Roman" w:hAnsi="Times New Roman"/>
      <w:i/>
      <w:iCs/>
      <w:color w:val="000000"/>
      <w:sz w:val="24"/>
      <w:szCs w:val="24"/>
    </w:rPr>
  </w:style>
  <w:style w:type="character" w:customStyle="1" w:styleId="Indent2">
    <w:name w:val="Indent 2"/>
    <w:basedOn w:val="Standardnpsmoodstavce"/>
  </w:style>
  <w:style w:type="character" w:customStyle="1" w:styleId="a5KeyQual">
    <w:name w:val="a5 Key Qual."/>
    <w:basedOn w:val="Standardnpsmoodstavce"/>
    <w:rPr>
      <w:rFonts w:ascii="Frutiger Medium 10 punt" w:hAnsi="Frutiger Medium 10 punt"/>
      <w:noProof w:val="0"/>
      <w:sz w:val="20"/>
      <w:lang w:val="en-US"/>
    </w:rPr>
  </w:style>
  <w:style w:type="paragraph" w:customStyle="1" w:styleId="RASbullets">
    <w:name w:val="RAS bullets"/>
    <w:basedOn w:val="Normln"/>
    <w:pPr>
      <w:numPr>
        <w:numId w:val="6"/>
      </w:numPr>
      <w:spacing w:before="0" w:after="80" w:line="280" w:lineRule="exact"/>
      <w:ind w:right="2966"/>
    </w:pPr>
    <w:rPr>
      <w:rFonts w:ascii="Arial" w:hAnsi="Arial"/>
      <w:szCs w:val="20"/>
      <w:lang w:val="en-US"/>
    </w:rPr>
  </w:style>
  <w:style w:type="table" w:customStyle="1" w:styleId="Svtlseznamzvraznn11">
    <w:name w:val="Světlý seznam – zvýraznění 11"/>
    <w:basedOn w:val="Normlntabulka"/>
    <w:uiPriority w:val="61"/>
    <w:pPr>
      <w:spacing w:before="0"/>
    </w:pPr>
    <w:tblPr>
      <w:tblStyleRowBandSize w:val="1"/>
      <w:tblStyleColBandSize w:val="1"/>
      <w:tblBorders>
        <w:top w:val="single" w:sz="8" w:space="0" w:color="2EAFA4" w:themeColor="accent1"/>
        <w:left w:val="single" w:sz="8" w:space="0" w:color="2EAFA4" w:themeColor="accent1"/>
        <w:bottom w:val="single" w:sz="8" w:space="0" w:color="2EAFA4" w:themeColor="accent1"/>
        <w:right w:val="single" w:sz="8" w:space="0" w:color="2EAFA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EAFA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AFA4" w:themeColor="accent1"/>
          <w:left w:val="single" w:sz="8" w:space="0" w:color="2EAFA4" w:themeColor="accent1"/>
          <w:bottom w:val="single" w:sz="8" w:space="0" w:color="2EAFA4" w:themeColor="accent1"/>
          <w:right w:val="single" w:sz="8" w:space="0" w:color="2EAFA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EAFA4" w:themeColor="accent1"/>
          <w:left w:val="single" w:sz="8" w:space="0" w:color="2EAFA4" w:themeColor="accent1"/>
          <w:bottom w:val="single" w:sz="8" w:space="0" w:color="2EAFA4" w:themeColor="accent1"/>
          <w:right w:val="single" w:sz="8" w:space="0" w:color="2EAFA4" w:themeColor="accent1"/>
        </w:tcBorders>
      </w:tcPr>
    </w:tblStylePr>
    <w:tblStylePr w:type="band1Horz">
      <w:tblPr/>
      <w:tcPr>
        <w:tcBorders>
          <w:top w:val="single" w:sz="8" w:space="0" w:color="2EAFA4" w:themeColor="accent1"/>
          <w:left w:val="single" w:sz="8" w:space="0" w:color="2EAFA4" w:themeColor="accent1"/>
          <w:bottom w:val="single" w:sz="8" w:space="0" w:color="2EAFA4" w:themeColor="accent1"/>
          <w:right w:val="single" w:sz="8" w:space="0" w:color="2EAFA4" w:themeColor="accent1"/>
        </w:tcBorders>
      </w:tcPr>
    </w:tblStylePr>
  </w:style>
  <w:style w:type="character" w:styleId="Znakapoznpodarou">
    <w:name w:val="footnote reference"/>
    <w:rPr>
      <w:vertAlign w:val="superscript"/>
    </w:rPr>
  </w:style>
  <w:style w:type="paragraph" w:customStyle="1" w:styleId="Styl1">
    <w:name w:val="Styl1"/>
    <w:basedOn w:val="Normln"/>
    <w:pPr>
      <w:widowControl w:val="0"/>
      <w:numPr>
        <w:ilvl w:val="1"/>
        <w:numId w:val="7"/>
      </w:numPr>
      <w:tabs>
        <w:tab w:val="left" w:pos="1134"/>
      </w:tabs>
      <w:suppressAutoHyphens/>
      <w:spacing w:before="0" w:after="0" w:line="240" w:lineRule="auto"/>
      <w:jc w:val="both"/>
    </w:pPr>
    <w:rPr>
      <w:kern w:val="1"/>
    </w:rPr>
  </w:style>
  <w:style w:type="character" w:customStyle="1" w:styleId="OdstavecseseznamemChar">
    <w:name w:val="Odstavec se seznamem Char"/>
    <w:aliases w:val="seznam písmena Char"/>
    <w:link w:val="Odstavecseseznamem"/>
    <w:uiPriority w:val="34"/>
    <w:locked/>
    <w:rPr>
      <w:rFonts w:asciiTheme="majorHAnsi" w:eastAsia="Times" w:hAnsiTheme="majorHAnsi"/>
    </w:rPr>
  </w:style>
  <w:style w:type="paragraph" w:customStyle="1" w:styleId="Textpsmene">
    <w:name w:val="Text písmene"/>
    <w:basedOn w:val="Normln"/>
    <w:pPr>
      <w:spacing w:before="0" w:after="0" w:line="240" w:lineRule="auto"/>
      <w:ind w:left="2880" w:hanging="2160"/>
      <w:jc w:val="both"/>
      <w:outlineLvl w:val="7"/>
    </w:pPr>
    <w:rPr>
      <w:rFonts w:ascii="Times New Roman" w:hAnsi="Times New Roman"/>
      <w:color w:val="685040"/>
      <w:sz w:val="24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>
      <w:pPr>
        <w:spacing w:before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Outline List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nadpis 1"/>
    <w:basedOn w:val="Normln"/>
    <w:link w:val="Nadpis1Char"/>
    <w:qFormat/>
    <w:pPr>
      <w:numPr>
        <w:numId w:val="15"/>
      </w:numPr>
      <w:spacing w:before="106" w:after="0" w:line="240" w:lineRule="auto"/>
      <w:ind w:left="709" w:hanging="709"/>
      <w:textAlignment w:val="baseline"/>
      <w:outlineLvl w:val="0"/>
    </w:pPr>
    <w:rPr>
      <w:rFonts w:ascii="Trebuchet MS" w:eastAsia="+mj-ea" w:hAnsi="Trebuchet MS" w:cs="+mj-cs"/>
      <w:b/>
      <w:bCs/>
      <w:caps/>
      <w:color w:val="ED1A3B"/>
      <w:sz w:val="36"/>
      <w:szCs w:val="36"/>
      <w:lang w:eastAsia="cs-CZ"/>
    </w:rPr>
  </w:style>
  <w:style w:type="paragraph" w:styleId="Nadpis2">
    <w:name w:val="heading 2"/>
    <w:basedOn w:val="Nadpis4"/>
    <w:next w:val="Normln"/>
    <w:link w:val="Nadpis2Char"/>
    <w:unhideWhenUsed/>
    <w:qFormat/>
    <w:pPr>
      <w:spacing w:before="0" w:after="240"/>
      <w:ind w:left="709" w:hanging="709"/>
      <w:textAlignment w:val="auto"/>
      <w:outlineLvl w:val="1"/>
    </w:pPr>
    <w:rPr>
      <w:rFonts w:cs="Times New Roman"/>
      <w:bCs w:val="0"/>
      <w:color w:val="2EAFA4" w:themeColor="accent1"/>
    </w:rPr>
  </w:style>
  <w:style w:type="paragraph" w:styleId="Nadpis3">
    <w:name w:val="heading 3"/>
    <w:basedOn w:val="Normln"/>
    <w:next w:val="Normln"/>
    <w:link w:val="Nadpis3Char"/>
    <w:unhideWhenUsed/>
    <w:qFormat/>
    <w:pPr>
      <w:spacing w:before="240" w:after="0"/>
      <w:ind w:left="624"/>
      <w:outlineLvl w:val="2"/>
    </w:pPr>
    <w:rPr>
      <w:rFonts w:asciiTheme="majorHAnsi" w:hAnsiTheme="majorHAnsi"/>
      <w:b/>
      <w:color w:val="685040" w:themeColor="text2"/>
    </w:rPr>
  </w:style>
  <w:style w:type="paragraph" w:styleId="Nadpis4">
    <w:name w:val="heading 4"/>
    <w:basedOn w:val="Nadpis1"/>
    <w:next w:val="Normln"/>
    <w:link w:val="Nadpis4Char"/>
    <w:unhideWhenUsed/>
    <w:qFormat/>
    <w:pPr>
      <w:numPr>
        <w:ilvl w:val="1"/>
      </w:numPr>
      <w:spacing w:before="240" w:after="120"/>
      <w:outlineLvl w:val="3"/>
    </w:pPr>
    <w:rPr>
      <w:caps w:val="0"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685040" w:themeColor="text2"/>
    </w:rPr>
  </w:style>
  <w:style w:type="paragraph" w:styleId="Nadpis6">
    <w:name w:val="heading 6"/>
    <w:basedOn w:val="Nadpis4"/>
    <w:next w:val="Normln"/>
    <w:link w:val="Nadpis6Char"/>
    <w:unhideWhenUsed/>
    <w:qFormat/>
    <w:pPr>
      <w:numPr>
        <w:ilvl w:val="2"/>
      </w:numPr>
      <w:outlineLvl w:val="5"/>
    </w:pPr>
    <w:rPr>
      <w:color w:val="2EAFA4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nadpis 1 Char"/>
    <w:basedOn w:val="Standardnpsmoodstavce"/>
    <w:link w:val="Nadpis1"/>
    <w:rPr>
      <w:rFonts w:ascii="Trebuchet MS" w:eastAsia="+mj-ea" w:hAnsi="Trebuchet MS" w:cs="+mj-cs"/>
      <w:b/>
      <w:bCs/>
      <w:caps/>
      <w:color w:val="ED1A3B"/>
      <w:sz w:val="36"/>
      <w:szCs w:val="36"/>
    </w:rPr>
  </w:style>
  <w:style w:type="character" w:styleId="Siln">
    <w:name w:val="Strong"/>
    <w:basedOn w:val="Standardnpsmoodstavce"/>
    <w:qFormat/>
    <w:rPr>
      <w:b/>
      <w:bCs/>
    </w:rPr>
  </w:style>
  <w:style w:type="paragraph" w:styleId="Odstavecseseznamem">
    <w:name w:val="List Paragraph"/>
    <w:aliases w:val="seznam písmena"/>
    <w:basedOn w:val="Normln"/>
    <w:link w:val="OdstavecseseznamemChar"/>
    <w:uiPriority w:val="34"/>
    <w:qFormat/>
    <w:pPr>
      <w:ind w:left="720"/>
      <w:contextualSpacing/>
    </w:pPr>
    <w:rPr>
      <w:rFonts w:asciiTheme="majorHAnsi" w:eastAsia="Times" w:hAnsiTheme="majorHAnsi"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Pr>
      <w:sz w:val="22"/>
      <w:szCs w:val="22"/>
      <w:lang w:eastAsia="en-US"/>
    </w:rPr>
  </w:style>
  <w:style w:type="character" w:customStyle="1" w:styleId="FontStyle13">
    <w:name w:val="Font Style13"/>
    <w:basedOn w:val="Standardnpsmoodstavce"/>
    <w:uiPriority w:val="99"/>
    <w:rPr>
      <w:rFonts w:ascii="Verdana" w:hAnsi="Verdana" w:cs="Verdana"/>
      <w:b/>
      <w:bCs/>
      <w:color w:val="000000"/>
      <w:sz w:val="18"/>
      <w:szCs w:val="18"/>
    </w:rPr>
  </w:style>
  <w:style w:type="paragraph" w:customStyle="1" w:styleId="Default">
    <w:name w:val="Default"/>
    <w:pPr>
      <w:autoSpaceDE w:val="0"/>
      <w:autoSpaceDN w:val="0"/>
      <w:adjustRightInd w:val="0"/>
      <w:spacing w:before="0"/>
    </w:pPr>
    <w:rPr>
      <w:rFonts w:ascii="Arial" w:hAnsi="Arial" w:cs="Arial"/>
      <w:color w:val="000000"/>
      <w:sz w:val="24"/>
      <w:szCs w:val="24"/>
    </w:rPr>
  </w:style>
  <w:style w:type="paragraph" w:styleId="Nzev">
    <w:name w:val="Title"/>
    <w:basedOn w:val="Default"/>
    <w:next w:val="Normln"/>
    <w:link w:val="NzevChar"/>
    <w:uiPriority w:val="10"/>
    <w:qFormat/>
    <w:rPr>
      <w:rFonts w:asciiTheme="majorHAnsi" w:eastAsia="Times" w:hAnsiTheme="majorHAnsi" w:cs="Helvetica"/>
      <w:b/>
      <w:caps/>
      <w:color w:val="685040"/>
      <w:sz w:val="20"/>
      <w:szCs w:val="20"/>
    </w:rPr>
  </w:style>
  <w:style w:type="character" w:customStyle="1" w:styleId="NzevChar">
    <w:name w:val="Název Char"/>
    <w:basedOn w:val="Standardnpsmoodstavce"/>
    <w:link w:val="Nzev"/>
    <w:uiPriority w:val="10"/>
    <w:rPr>
      <w:rFonts w:asciiTheme="majorHAnsi" w:eastAsia="Times" w:hAnsiTheme="majorHAnsi" w:cs="Helvetica"/>
      <w:b/>
      <w:caps/>
      <w:color w:val="685040"/>
    </w:rPr>
  </w:style>
  <w:style w:type="character" w:customStyle="1" w:styleId="Nadpis2Char">
    <w:name w:val="Nadpis 2 Char"/>
    <w:basedOn w:val="Standardnpsmoodstavce"/>
    <w:link w:val="Nadpis2"/>
    <w:uiPriority w:val="9"/>
    <w:rPr>
      <w:rFonts w:ascii="Trebuchet MS" w:eastAsia="+mj-ea" w:hAnsi="Trebuchet MS"/>
      <w:b/>
      <w:color w:val="2EAFA4" w:themeColor="accent1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hAnsiTheme="majorHAnsi"/>
      <w:b/>
      <w:color w:val="685040" w:themeColor="text2"/>
      <w:sz w:val="22"/>
      <w:szCs w:val="22"/>
      <w:lang w:eastAsia="en-US"/>
    </w:rPr>
  </w:style>
  <w:style w:type="table" w:styleId="Mkatabulky">
    <w:name w:val="Table Grid"/>
    <w:basedOn w:val="Normlntabulka"/>
    <w:uiPriority w:val="59"/>
    <w:pPr>
      <w:spacing w:before="0"/>
    </w:pPr>
    <w:rPr>
      <w:rFonts w:ascii="Trebuchet MS" w:eastAsia="Trebuchet MS" w:hAnsi="Trebuchet MS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  <w:lang w:eastAsia="en-US"/>
    </w:rPr>
  </w:style>
  <w:style w:type="character" w:customStyle="1" w:styleId="Nadpis4Char">
    <w:name w:val="Nadpis 4 Char"/>
    <w:basedOn w:val="Standardnpsmoodstavce"/>
    <w:link w:val="Nadpis4"/>
    <w:rPr>
      <w:rFonts w:ascii="Trebuchet MS" w:eastAsia="+mj-ea" w:hAnsi="Trebuchet MS" w:cs="+mj-cs"/>
      <w:b/>
      <w:bCs/>
      <w:color w:val="ED1A3B"/>
      <w:sz w:val="28"/>
      <w:szCs w:val="28"/>
      <w:lang w:val="en-GB"/>
    </w:rPr>
  </w:style>
  <w:style w:type="paragraph" w:styleId="Obsah1">
    <w:name w:val="toc 1"/>
    <w:basedOn w:val="Normln"/>
    <w:next w:val="Normln"/>
    <w:autoRedefine/>
    <w:uiPriority w:val="39"/>
    <w:unhideWhenUsed/>
    <w:qFormat/>
    <w:pPr>
      <w:keepNext/>
      <w:keepLines/>
      <w:tabs>
        <w:tab w:val="left" w:pos="426"/>
        <w:tab w:val="right" w:pos="9072"/>
        <w:tab w:val="left" w:pos="9923"/>
      </w:tabs>
      <w:spacing w:after="120" w:line="240" w:lineRule="auto"/>
    </w:pPr>
    <w:rPr>
      <w:rFonts w:ascii="Trebuchet MS" w:hAnsi="Trebuchet MS"/>
      <w:b/>
      <w:noProof/>
      <w:color w:val="ED1A3B"/>
    </w:rPr>
  </w:style>
  <w:style w:type="paragraph" w:styleId="Obsah2">
    <w:name w:val="toc 2"/>
    <w:basedOn w:val="Normln"/>
    <w:next w:val="Normln"/>
    <w:autoRedefine/>
    <w:uiPriority w:val="39"/>
    <w:unhideWhenUsed/>
    <w:qFormat/>
    <w:pPr>
      <w:tabs>
        <w:tab w:val="left" w:pos="284"/>
        <w:tab w:val="left" w:pos="709"/>
        <w:tab w:val="right" w:leader="dot" w:pos="9060"/>
      </w:tabs>
      <w:spacing w:after="100"/>
      <w:ind w:left="220"/>
    </w:pPr>
    <w:rPr>
      <w:rFonts w:asciiTheme="majorHAnsi" w:hAnsiTheme="majorHAnsi"/>
      <w:noProof/>
      <w:color w:val="685040"/>
      <w:sz w:val="20"/>
    </w:rPr>
  </w:style>
  <w:style w:type="paragraph" w:styleId="Obsah3">
    <w:name w:val="toc 3"/>
    <w:basedOn w:val="Normln"/>
    <w:next w:val="Normln"/>
    <w:autoRedefine/>
    <w:uiPriority w:val="39"/>
    <w:unhideWhenUsed/>
    <w:pPr>
      <w:spacing w:after="100"/>
      <w:ind w:left="440"/>
    </w:pPr>
    <w:rPr>
      <w:rFonts w:asciiTheme="majorHAnsi" w:hAnsiTheme="majorHAnsi"/>
      <w:sz w:val="20"/>
    </w:rPr>
  </w:style>
  <w:style w:type="paragraph" w:styleId="Nadpisobsahu">
    <w:name w:val="TOC Heading"/>
    <w:basedOn w:val="Nadpis1"/>
    <w:next w:val="Normln"/>
    <w:uiPriority w:val="39"/>
    <w:unhideWhenUsed/>
    <w:qFormat/>
    <w:pPr>
      <w:keepNext/>
      <w:keepLines/>
      <w:numPr>
        <w:numId w:val="0"/>
      </w:numPr>
      <w:spacing w:before="480" w:line="276" w:lineRule="auto"/>
      <w:textAlignment w:val="auto"/>
      <w:outlineLvl w:val="9"/>
    </w:pPr>
    <w:rPr>
      <w:rFonts w:asciiTheme="majorHAnsi" w:eastAsiaTheme="majorEastAsia" w:hAnsiTheme="majorHAnsi" w:cstheme="majorBidi"/>
      <w:caps w:val="0"/>
      <w:color w:val="22827A" w:themeColor="accent1" w:themeShade="BF"/>
      <w:sz w:val="28"/>
      <w:szCs w:val="28"/>
      <w:lang w:eastAsia="en-US"/>
    </w:rPr>
  </w:style>
  <w:style w:type="character" w:styleId="Hypertextovodkaz">
    <w:name w:val="Hyperlink"/>
    <w:basedOn w:val="Standardnpsmoodstavce"/>
    <w:uiPriority w:val="99"/>
    <w:unhideWhenUsed/>
    <w:rPr>
      <w:color w:val="ED1A3B" w:themeColor="hyperlink"/>
      <w:u w:val="single"/>
    </w:rPr>
  </w:style>
  <w:style w:type="paragraph" w:styleId="Obsah4">
    <w:name w:val="toc 4"/>
    <w:basedOn w:val="Normln"/>
    <w:next w:val="Normln"/>
    <w:autoRedefine/>
    <w:uiPriority w:val="39"/>
    <w:unhideWhenUsed/>
    <w:pPr>
      <w:tabs>
        <w:tab w:val="left" w:pos="567"/>
        <w:tab w:val="right" w:leader="dot" w:pos="9062"/>
      </w:tabs>
      <w:spacing w:after="100"/>
      <w:ind w:left="284"/>
    </w:pPr>
  </w:style>
  <w:style w:type="paragraph" w:customStyle="1" w:styleId="Bullet">
    <w:name w:val="Bullet"/>
    <w:basedOn w:val="Zkladntext"/>
    <w:pPr>
      <w:numPr>
        <w:numId w:val="2"/>
      </w:numPr>
      <w:tabs>
        <w:tab w:val="clear" w:pos="360"/>
      </w:tabs>
      <w:ind w:left="0" w:firstLine="0"/>
    </w:pPr>
  </w:style>
  <w:style w:type="paragraph" w:styleId="Zkladntext">
    <w:name w:val="Body Text"/>
    <w:basedOn w:val="Normln"/>
    <w:link w:val="ZkladntextChar"/>
    <w:uiPriority w:val="99"/>
    <w:semiHidden/>
    <w:unhideWhenUsed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sz w:val="22"/>
      <w:szCs w:val="22"/>
      <w:lang w:eastAsia="en-US"/>
    </w:rPr>
  </w:style>
  <w:style w:type="paragraph" w:customStyle="1" w:styleId="Standardntext">
    <w:name w:val="Standardní text"/>
    <w:basedOn w:val="Normln"/>
    <w:pPr>
      <w:overflowPunct w:val="0"/>
      <w:autoSpaceDE w:val="0"/>
      <w:autoSpaceDN w:val="0"/>
      <w:adjustRightInd w:val="0"/>
      <w:spacing w:before="0" w:after="0" w:line="240" w:lineRule="atLeast"/>
      <w:textAlignment w:val="baseline"/>
    </w:pPr>
    <w:rPr>
      <w:rFonts w:ascii="Times New Roman" w:hAnsi="Times New Roman"/>
      <w:noProof/>
      <w:sz w:val="24"/>
      <w:szCs w:val="20"/>
      <w:lang w:eastAsia="cs-CZ"/>
    </w:rPr>
  </w:style>
  <w:style w:type="paragraph" w:styleId="Normlnweb">
    <w:name w:val="Normal (Web)"/>
    <w:basedOn w:val="Normln"/>
    <w:link w:val="NormlnwebChar"/>
    <w:unhideWhenUsed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pPr>
      <w:spacing w:before="0" w:after="120" w:line="480" w:lineRule="auto"/>
    </w:pPr>
    <w:rPr>
      <w:rFonts w:ascii="Arial" w:eastAsia="Arial Unicode MS" w:hAnsi="Arial" w:cs="Arial"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Pr>
      <w:rFonts w:ascii="Arial" w:eastAsia="Arial Unicode MS" w:hAnsi="Arial" w:cs="Arial"/>
      <w:sz w:val="24"/>
      <w:szCs w:val="24"/>
    </w:rPr>
  </w:style>
  <w:style w:type="paragraph" w:styleId="Prosttext">
    <w:name w:val="Plain Text"/>
    <w:basedOn w:val="Normln"/>
    <w:link w:val="ProsttextChar"/>
    <w:uiPriority w:val="99"/>
    <w:semiHidden/>
    <w:unhideWhenUsed/>
    <w:pPr>
      <w:spacing w:before="0" w:after="0" w:line="240" w:lineRule="auto"/>
    </w:pPr>
    <w:rPr>
      <w:rFonts w:ascii="Trebuchet MS" w:hAnsi="Trebuchet MS" w:cstheme="minorBidi"/>
      <w:sz w:val="20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Pr>
      <w:rFonts w:ascii="Trebuchet MS" w:hAnsi="Trebuchet MS" w:cstheme="minorBidi"/>
      <w:szCs w:val="21"/>
      <w:lang w:eastAsia="en-US"/>
    </w:rPr>
  </w:style>
  <w:style w:type="character" w:customStyle="1" w:styleId="BDO-BodyBullets">
    <w:name w:val="BDO - Body Bullets"/>
    <w:basedOn w:val="Standardnpsmoodstavce"/>
    <w:rPr>
      <w:rFonts w:ascii="Trebuchet MS" w:hAnsi="Trebuchet MS"/>
      <w:color w:val="000000"/>
      <w:sz w:val="20"/>
    </w:rPr>
  </w:style>
  <w:style w:type="character" w:customStyle="1" w:styleId="BDO-Subhead1">
    <w:name w:val="BDO - Subhead 1"/>
    <w:basedOn w:val="Standardnpsmoodstavce"/>
    <w:rPr>
      <w:rFonts w:ascii="Trebuchet MS" w:hAnsi="Trebuchet MS"/>
      <w:b/>
      <w:bCs/>
      <w:color w:val="C0504D"/>
      <w:sz w:val="24"/>
    </w:rPr>
  </w:style>
  <w:style w:type="character" w:customStyle="1" w:styleId="NormlnwebChar">
    <w:name w:val="Normální (web) Char"/>
    <w:basedOn w:val="Standardnpsmoodstavce"/>
    <w:link w:val="Normlnweb"/>
    <w:rPr>
      <w:rFonts w:ascii="Times New Roman" w:hAnsi="Times New Roman"/>
      <w:sz w:val="24"/>
      <w:szCs w:val="24"/>
    </w:rPr>
  </w:style>
  <w:style w:type="paragraph" w:customStyle="1" w:styleId="BioSubhead">
    <w:name w:val="Bio Subhead"/>
    <w:basedOn w:val="Nadpis2"/>
    <w:pPr>
      <w:keepNext/>
      <w:widowControl w:val="0"/>
      <w:pBdr>
        <w:bottom w:val="single" w:sz="4" w:space="1" w:color="87A5C8"/>
      </w:pBdr>
      <w:autoSpaceDE w:val="0"/>
      <w:autoSpaceDN w:val="0"/>
      <w:adjustRightInd w:val="0"/>
      <w:spacing w:before="5"/>
    </w:pPr>
    <w:rPr>
      <w:rFonts w:ascii="Georgia" w:eastAsia="Times New Roman" w:hAnsi="Georgia"/>
      <w:color w:val="000064"/>
      <w:sz w:val="26"/>
      <w:szCs w:val="20"/>
      <w:lang w:val="en-US"/>
    </w:rPr>
  </w:style>
  <w:style w:type="paragraph" w:customStyle="1" w:styleId="BioTitletext">
    <w:name w:val="Bio Title text"/>
    <w:basedOn w:val="Normln"/>
    <w:pPr>
      <w:widowControl w:val="0"/>
      <w:autoSpaceDE w:val="0"/>
      <w:autoSpaceDN w:val="0"/>
      <w:adjustRightInd w:val="0"/>
      <w:spacing w:before="0" w:after="0" w:line="264" w:lineRule="auto"/>
    </w:pPr>
    <w:rPr>
      <w:rFonts w:ascii="Georgia" w:hAnsi="Georgia"/>
      <w:color w:val="000064"/>
      <w:sz w:val="26"/>
      <w:szCs w:val="20"/>
      <w:lang w:val="en-US"/>
    </w:rPr>
  </w:style>
  <w:style w:type="paragraph" w:customStyle="1" w:styleId="BDOBulletOne">
    <w:name w:val="BDO_Bullet One"/>
    <w:basedOn w:val="Normln"/>
    <w:pPr>
      <w:numPr>
        <w:numId w:val="3"/>
      </w:numPr>
      <w:spacing w:before="0" w:after="140" w:line="280" w:lineRule="exact"/>
      <w:contextualSpacing/>
    </w:pPr>
    <w:rPr>
      <w:rFonts w:ascii="Trebuchet MS" w:hAnsi="Trebuchet MS"/>
      <w:sz w:val="20"/>
      <w:szCs w:val="24"/>
      <w:lang w:val="en-GB" w:eastAsia="en-GB"/>
    </w:rPr>
  </w:style>
  <w:style w:type="numbering" w:styleId="111111">
    <w:name w:val="Outline List 2"/>
    <w:basedOn w:val="Bezseznamu"/>
    <w:semiHidden/>
    <w:pPr>
      <w:numPr>
        <w:numId w:val="4"/>
      </w:numPr>
    </w:pPr>
  </w:style>
  <w:style w:type="paragraph" w:customStyle="1" w:styleId="BDONormal">
    <w:name w:val="BDO_Normal"/>
    <w:link w:val="BDONormalChar"/>
    <w:pPr>
      <w:spacing w:before="0"/>
    </w:pPr>
    <w:rPr>
      <w:rFonts w:ascii="Trebuchet MS" w:hAnsi="Trebuchet MS"/>
      <w:szCs w:val="24"/>
      <w:lang w:val="en-GB" w:eastAsia="en-GB"/>
    </w:rPr>
  </w:style>
  <w:style w:type="paragraph" w:customStyle="1" w:styleId="BDOAddress">
    <w:name w:val="BDO_Address"/>
    <w:basedOn w:val="BDONormal"/>
    <w:pPr>
      <w:spacing w:line="170" w:lineRule="exact"/>
    </w:pPr>
    <w:rPr>
      <w:color w:val="786860"/>
      <w:sz w:val="16"/>
    </w:rPr>
  </w:style>
  <w:style w:type="paragraph" w:customStyle="1" w:styleId="BDOAddressBold">
    <w:name w:val="BDO_Address (Bold)"/>
    <w:basedOn w:val="BDOAddress"/>
    <w:rPr>
      <w:b/>
    </w:rPr>
  </w:style>
  <w:style w:type="paragraph" w:customStyle="1" w:styleId="BDOFooter">
    <w:name w:val="BDO_Footer"/>
    <w:basedOn w:val="BDONormal"/>
    <w:pPr>
      <w:spacing w:line="144" w:lineRule="exact"/>
    </w:pPr>
    <w:rPr>
      <w:color w:val="786860"/>
      <w:sz w:val="12"/>
    </w:rPr>
  </w:style>
  <w:style w:type="character" w:styleId="slostrnky">
    <w:name w:val="page number"/>
    <w:basedOn w:val="Standardnpsmoodstavce"/>
    <w:semiHidden/>
  </w:style>
  <w:style w:type="character" w:customStyle="1" w:styleId="BDONormalChar">
    <w:name w:val="BDO_Normal Char"/>
    <w:basedOn w:val="Standardnpsmoodstavce"/>
    <w:link w:val="BDONormal"/>
    <w:rPr>
      <w:rFonts w:ascii="Trebuchet MS" w:hAnsi="Trebuchet MS"/>
      <w:szCs w:val="24"/>
      <w:lang w:val="en-GB" w:eastAsia="en-GB"/>
    </w:rPr>
  </w:style>
  <w:style w:type="character" w:customStyle="1" w:styleId="Nadpis5Char">
    <w:name w:val="Nadpis 5 Char"/>
    <w:basedOn w:val="Standardnpsmoodstavce"/>
    <w:link w:val="Nadpis5"/>
    <w:uiPriority w:val="9"/>
    <w:rPr>
      <w:rFonts w:asciiTheme="majorHAnsi" w:eastAsiaTheme="majorEastAsia" w:hAnsiTheme="majorHAnsi" w:cstheme="majorBidi"/>
      <w:color w:val="685040" w:themeColor="text2"/>
      <w:sz w:val="22"/>
      <w:szCs w:val="22"/>
      <w:lang w:eastAsia="en-US"/>
    </w:rPr>
  </w:style>
  <w:style w:type="paragraph" w:styleId="Textpoznpodarou">
    <w:name w:val="footnote text"/>
    <w:aliases w:val="Schriftart: 8 pt"/>
    <w:basedOn w:val="Normln"/>
    <w:link w:val="TextpoznpodarouChar"/>
    <w:pPr>
      <w:spacing w:before="0" w:after="0" w:line="240" w:lineRule="auto"/>
    </w:pPr>
    <w:rPr>
      <w:rFonts w:ascii="Trebuchet MS" w:hAnsi="Trebuchet MS"/>
      <w:sz w:val="20"/>
      <w:szCs w:val="20"/>
      <w:lang w:val="en-GB" w:eastAsia="en-GB"/>
    </w:rPr>
  </w:style>
  <w:style w:type="character" w:customStyle="1" w:styleId="TextpoznpodarouChar">
    <w:name w:val="Text pozn. pod čarou Char"/>
    <w:aliases w:val="Schriftart: 8 pt Char"/>
    <w:basedOn w:val="Standardnpsmoodstavce"/>
    <w:link w:val="Textpoznpodarou"/>
    <w:rPr>
      <w:rFonts w:ascii="Trebuchet MS" w:hAnsi="Trebuchet MS"/>
      <w:lang w:val="en-GB" w:eastAsia="en-GB"/>
    </w:rPr>
  </w:style>
  <w:style w:type="paragraph" w:customStyle="1" w:styleId="BioPractArea">
    <w:name w:val="BioPractArea"/>
    <w:pPr>
      <w:spacing w:before="0" w:after="360"/>
    </w:pPr>
    <w:rPr>
      <w:rFonts w:ascii="Arial Narrow" w:hAnsi="Arial Narrow"/>
      <w:color w:val="000080"/>
      <w:sz w:val="38"/>
      <w:lang w:val="en-US" w:eastAsia="en-US"/>
    </w:rPr>
  </w:style>
  <w:style w:type="paragraph" w:customStyle="1" w:styleId="BioSideHead">
    <w:name w:val="BioSideHead"/>
    <w:basedOn w:val="Normln"/>
    <w:next w:val="Normln"/>
    <w:pPr>
      <w:spacing w:before="200" w:after="40" w:line="240" w:lineRule="auto"/>
    </w:pPr>
    <w:rPr>
      <w:rFonts w:ascii="Arial Narrow" w:hAnsi="Arial Narrow"/>
      <w:b/>
      <w:color w:val="008080"/>
      <w:sz w:val="20"/>
      <w:szCs w:val="24"/>
      <w:lang w:val="en-US"/>
    </w:rPr>
  </w:style>
  <w:style w:type="paragraph" w:customStyle="1" w:styleId="BioTitle">
    <w:name w:val="BioTitle"/>
    <w:pPr>
      <w:spacing w:before="0" w:after="720"/>
    </w:pPr>
    <w:rPr>
      <w:rFonts w:ascii="Arial Narrow" w:hAnsi="Arial Narrow"/>
      <w:color w:val="000080"/>
      <w:sz w:val="32"/>
      <w:lang w:val="en-US" w:eastAsia="en-US"/>
    </w:rPr>
  </w:style>
  <w:style w:type="character" w:styleId="Zvraznn">
    <w:name w:val="Emphasis"/>
    <w:basedOn w:val="Standardnpsmoodstavce"/>
    <w:uiPriority w:val="20"/>
    <w:qFormat/>
    <w:rPr>
      <w:i/>
      <w:iCs/>
    </w:rPr>
  </w:style>
  <w:style w:type="table" w:styleId="Svtlstnovnzvraznn5">
    <w:name w:val="Light Shading Accent 5"/>
    <w:basedOn w:val="Normlntabulka"/>
    <w:uiPriority w:val="60"/>
    <w:pPr>
      <w:spacing w:before="0"/>
    </w:pPr>
    <w:rPr>
      <w:color w:val="25ADCE" w:themeColor="accent5" w:themeShade="BF"/>
    </w:rPr>
    <w:tblPr>
      <w:tblStyleRowBandSize w:val="1"/>
      <w:tblStyleColBandSize w:val="1"/>
      <w:tblBorders>
        <w:top w:val="single" w:sz="8" w:space="0" w:color="62CAE3" w:themeColor="accent5"/>
        <w:bottom w:val="single" w:sz="8" w:space="0" w:color="62CAE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CAE3" w:themeColor="accent5"/>
          <w:left w:val="nil"/>
          <w:bottom w:val="single" w:sz="8" w:space="0" w:color="62CAE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2CAE3" w:themeColor="accent5"/>
          <w:left w:val="nil"/>
          <w:bottom w:val="single" w:sz="8" w:space="0" w:color="62CAE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F1F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F1F8" w:themeFill="accent5" w:themeFillTint="3F"/>
      </w:tcPr>
    </w:tblStylePr>
  </w:style>
  <w:style w:type="paragraph" w:styleId="Obsah5">
    <w:name w:val="toc 5"/>
    <w:basedOn w:val="Normln"/>
    <w:next w:val="Normln"/>
    <w:autoRedefine/>
    <w:uiPriority w:val="39"/>
    <w:unhideWhenUsed/>
    <w:pPr>
      <w:spacing w:before="0" w:after="100"/>
      <w:ind w:left="880"/>
    </w:pPr>
    <w:rPr>
      <w:rFonts w:asciiTheme="minorHAnsi" w:eastAsiaTheme="minorEastAsia" w:hAnsiTheme="minorHAnsi" w:cstheme="minorBidi"/>
      <w:lang w:eastAsia="cs-CZ"/>
    </w:rPr>
  </w:style>
  <w:style w:type="paragraph" w:styleId="Obsah6">
    <w:name w:val="toc 6"/>
    <w:basedOn w:val="Normln"/>
    <w:next w:val="Normln"/>
    <w:autoRedefine/>
    <w:uiPriority w:val="39"/>
    <w:unhideWhenUsed/>
    <w:pPr>
      <w:spacing w:before="0" w:after="100"/>
      <w:ind w:left="1100"/>
    </w:pPr>
    <w:rPr>
      <w:rFonts w:asciiTheme="minorHAnsi" w:eastAsiaTheme="minorEastAsia" w:hAnsiTheme="minorHAnsi" w:cstheme="minorBidi"/>
      <w:lang w:eastAsia="cs-CZ"/>
    </w:rPr>
  </w:style>
  <w:style w:type="paragraph" w:styleId="Obsah7">
    <w:name w:val="toc 7"/>
    <w:basedOn w:val="Normln"/>
    <w:next w:val="Normln"/>
    <w:autoRedefine/>
    <w:uiPriority w:val="39"/>
    <w:unhideWhenUsed/>
    <w:pPr>
      <w:spacing w:before="0" w:after="100"/>
      <w:ind w:left="1320"/>
    </w:pPr>
    <w:rPr>
      <w:rFonts w:asciiTheme="minorHAnsi" w:eastAsiaTheme="minorEastAsia" w:hAnsiTheme="minorHAnsi" w:cstheme="minorBidi"/>
      <w:lang w:eastAsia="cs-CZ"/>
    </w:rPr>
  </w:style>
  <w:style w:type="paragraph" w:styleId="Obsah8">
    <w:name w:val="toc 8"/>
    <w:basedOn w:val="Normln"/>
    <w:next w:val="Normln"/>
    <w:autoRedefine/>
    <w:uiPriority w:val="39"/>
    <w:unhideWhenUsed/>
    <w:pPr>
      <w:spacing w:before="0" w:after="100"/>
      <w:ind w:left="1540"/>
    </w:pPr>
    <w:rPr>
      <w:rFonts w:asciiTheme="minorHAnsi" w:eastAsiaTheme="minorEastAsia" w:hAnsiTheme="minorHAnsi" w:cstheme="minorBidi"/>
      <w:lang w:eastAsia="cs-CZ"/>
    </w:rPr>
  </w:style>
  <w:style w:type="paragraph" w:styleId="Obsah9">
    <w:name w:val="toc 9"/>
    <w:basedOn w:val="Normln"/>
    <w:next w:val="Normln"/>
    <w:autoRedefine/>
    <w:uiPriority w:val="39"/>
    <w:unhideWhenUsed/>
    <w:pPr>
      <w:spacing w:before="0" w:after="100"/>
      <w:ind w:left="1760"/>
    </w:pPr>
    <w:rPr>
      <w:rFonts w:asciiTheme="minorHAnsi" w:eastAsiaTheme="minorEastAsia" w:hAnsiTheme="minorHAnsi" w:cstheme="minorBidi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Pr>
      <w:rFonts w:ascii="Trebuchet MS" w:eastAsia="+mj-ea" w:hAnsi="Trebuchet MS" w:cs="+mj-cs"/>
      <w:b/>
      <w:bCs/>
      <w:color w:val="2EAFA4" w:themeColor="accent1"/>
      <w:sz w:val="28"/>
      <w:szCs w:val="28"/>
      <w:lang w:val="en-GB"/>
    </w:rPr>
  </w:style>
  <w:style w:type="paragraph" w:styleId="Zkladntext-prvnodsazen">
    <w:name w:val="Body Text First Indent"/>
    <w:basedOn w:val="Zkladntext"/>
    <w:link w:val="Zkladntext-prvnodsazenChar"/>
    <w:pPr>
      <w:spacing w:before="0" w:line="240" w:lineRule="auto"/>
      <w:ind w:firstLine="210"/>
    </w:pPr>
    <w:rPr>
      <w:rFonts w:ascii="Times New Roman" w:hAnsi="Times New Roman"/>
      <w:sz w:val="24"/>
      <w:szCs w:val="24"/>
      <w:lang w:eastAsia="cs-CZ"/>
    </w:rPr>
  </w:style>
  <w:style w:type="character" w:customStyle="1" w:styleId="Zkladntext-prvnodsazenChar">
    <w:name w:val="Základní text - první odsazený Char"/>
    <w:basedOn w:val="ZkladntextChar"/>
    <w:link w:val="Zkladntext-prvnodsazen"/>
    <w:rPr>
      <w:rFonts w:ascii="Times New Roman" w:hAnsi="Times New Roman"/>
      <w:sz w:val="24"/>
      <w:szCs w:val="24"/>
      <w:lang w:eastAsia="en-US"/>
    </w:rPr>
  </w:style>
  <w:style w:type="character" w:styleId="Zdraznnintenzivn">
    <w:name w:val="Intense Emphasis"/>
    <w:basedOn w:val="Standardnpsmoodstavce"/>
    <w:uiPriority w:val="21"/>
    <w:qFormat/>
    <w:rPr>
      <w:b/>
      <w:bCs/>
      <w:i/>
      <w:iCs/>
      <w:color w:val="2EAFA4" w:themeColor="accent1"/>
    </w:rPr>
  </w:style>
  <w:style w:type="paragraph" w:customStyle="1" w:styleId="Text">
    <w:name w:val="Text"/>
    <w:basedOn w:val="Normln"/>
    <w:pPr>
      <w:spacing w:before="0" w:after="240" w:line="240" w:lineRule="auto"/>
    </w:pPr>
    <w:rPr>
      <w:rFonts w:ascii="Times New Roman" w:hAnsi="Times New Roman"/>
      <w:sz w:val="24"/>
      <w:szCs w:val="20"/>
      <w:lang w:val="en-US"/>
    </w:rPr>
  </w:style>
  <w:style w:type="paragraph" w:styleId="Citt">
    <w:name w:val="Quote"/>
    <w:basedOn w:val="Normln"/>
    <w:next w:val="Normln"/>
    <w:link w:val="CittChar"/>
    <w:uiPriority w:val="29"/>
    <w:qFormat/>
    <w:pPr>
      <w:spacing w:before="0" w:after="0" w:line="240" w:lineRule="auto"/>
    </w:pPr>
    <w:rPr>
      <w:rFonts w:ascii="Times New Roman" w:hAnsi="Times New Roman"/>
      <w:i/>
      <w:iCs/>
      <w:color w:val="000000"/>
      <w:sz w:val="24"/>
      <w:szCs w:val="24"/>
      <w:lang w:eastAsia="cs-CZ"/>
    </w:rPr>
  </w:style>
  <w:style w:type="character" w:customStyle="1" w:styleId="CittChar">
    <w:name w:val="Citát Char"/>
    <w:basedOn w:val="Standardnpsmoodstavce"/>
    <w:link w:val="Citt"/>
    <w:uiPriority w:val="29"/>
    <w:rPr>
      <w:rFonts w:ascii="Times New Roman" w:hAnsi="Times New Roman"/>
      <w:i/>
      <w:iCs/>
      <w:color w:val="000000"/>
      <w:sz w:val="24"/>
      <w:szCs w:val="24"/>
    </w:rPr>
  </w:style>
  <w:style w:type="character" w:customStyle="1" w:styleId="Indent2">
    <w:name w:val="Indent 2"/>
    <w:basedOn w:val="Standardnpsmoodstavce"/>
  </w:style>
  <w:style w:type="character" w:customStyle="1" w:styleId="a5KeyQual">
    <w:name w:val="a5 Key Qual."/>
    <w:basedOn w:val="Standardnpsmoodstavce"/>
    <w:rPr>
      <w:rFonts w:ascii="Frutiger Medium 10 punt" w:hAnsi="Frutiger Medium 10 punt"/>
      <w:noProof w:val="0"/>
      <w:sz w:val="20"/>
      <w:lang w:val="en-US"/>
    </w:rPr>
  </w:style>
  <w:style w:type="paragraph" w:customStyle="1" w:styleId="RASbullets">
    <w:name w:val="RAS bullets"/>
    <w:basedOn w:val="Normln"/>
    <w:pPr>
      <w:numPr>
        <w:numId w:val="6"/>
      </w:numPr>
      <w:spacing w:before="0" w:after="80" w:line="280" w:lineRule="exact"/>
      <w:ind w:right="2966"/>
    </w:pPr>
    <w:rPr>
      <w:rFonts w:ascii="Arial" w:hAnsi="Arial"/>
      <w:szCs w:val="20"/>
      <w:lang w:val="en-US"/>
    </w:rPr>
  </w:style>
  <w:style w:type="table" w:customStyle="1" w:styleId="Svtlseznamzvraznn11">
    <w:name w:val="Světlý seznam – zvýraznění 11"/>
    <w:basedOn w:val="Normlntabulka"/>
    <w:uiPriority w:val="61"/>
    <w:pPr>
      <w:spacing w:before="0"/>
    </w:pPr>
    <w:tblPr>
      <w:tblStyleRowBandSize w:val="1"/>
      <w:tblStyleColBandSize w:val="1"/>
      <w:tblBorders>
        <w:top w:val="single" w:sz="8" w:space="0" w:color="2EAFA4" w:themeColor="accent1"/>
        <w:left w:val="single" w:sz="8" w:space="0" w:color="2EAFA4" w:themeColor="accent1"/>
        <w:bottom w:val="single" w:sz="8" w:space="0" w:color="2EAFA4" w:themeColor="accent1"/>
        <w:right w:val="single" w:sz="8" w:space="0" w:color="2EAFA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EAFA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AFA4" w:themeColor="accent1"/>
          <w:left w:val="single" w:sz="8" w:space="0" w:color="2EAFA4" w:themeColor="accent1"/>
          <w:bottom w:val="single" w:sz="8" w:space="0" w:color="2EAFA4" w:themeColor="accent1"/>
          <w:right w:val="single" w:sz="8" w:space="0" w:color="2EAFA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EAFA4" w:themeColor="accent1"/>
          <w:left w:val="single" w:sz="8" w:space="0" w:color="2EAFA4" w:themeColor="accent1"/>
          <w:bottom w:val="single" w:sz="8" w:space="0" w:color="2EAFA4" w:themeColor="accent1"/>
          <w:right w:val="single" w:sz="8" w:space="0" w:color="2EAFA4" w:themeColor="accent1"/>
        </w:tcBorders>
      </w:tcPr>
    </w:tblStylePr>
    <w:tblStylePr w:type="band1Horz">
      <w:tblPr/>
      <w:tcPr>
        <w:tcBorders>
          <w:top w:val="single" w:sz="8" w:space="0" w:color="2EAFA4" w:themeColor="accent1"/>
          <w:left w:val="single" w:sz="8" w:space="0" w:color="2EAFA4" w:themeColor="accent1"/>
          <w:bottom w:val="single" w:sz="8" w:space="0" w:color="2EAFA4" w:themeColor="accent1"/>
          <w:right w:val="single" w:sz="8" w:space="0" w:color="2EAFA4" w:themeColor="accent1"/>
        </w:tcBorders>
      </w:tcPr>
    </w:tblStylePr>
  </w:style>
  <w:style w:type="character" w:styleId="Znakapoznpodarou">
    <w:name w:val="footnote reference"/>
    <w:rPr>
      <w:vertAlign w:val="superscript"/>
    </w:rPr>
  </w:style>
  <w:style w:type="paragraph" w:customStyle="1" w:styleId="Styl1">
    <w:name w:val="Styl1"/>
    <w:basedOn w:val="Normln"/>
    <w:pPr>
      <w:widowControl w:val="0"/>
      <w:numPr>
        <w:ilvl w:val="1"/>
        <w:numId w:val="7"/>
      </w:numPr>
      <w:tabs>
        <w:tab w:val="left" w:pos="1134"/>
      </w:tabs>
      <w:suppressAutoHyphens/>
      <w:spacing w:before="0" w:after="0" w:line="240" w:lineRule="auto"/>
      <w:jc w:val="both"/>
    </w:pPr>
    <w:rPr>
      <w:kern w:val="1"/>
    </w:rPr>
  </w:style>
  <w:style w:type="character" w:customStyle="1" w:styleId="OdstavecseseznamemChar">
    <w:name w:val="Odstavec se seznamem Char"/>
    <w:aliases w:val="seznam písmena Char"/>
    <w:link w:val="Odstavecseseznamem"/>
    <w:uiPriority w:val="34"/>
    <w:locked/>
    <w:rPr>
      <w:rFonts w:asciiTheme="majorHAnsi" w:eastAsia="Times" w:hAnsiTheme="majorHAnsi"/>
    </w:rPr>
  </w:style>
  <w:style w:type="paragraph" w:customStyle="1" w:styleId="Textpsmene">
    <w:name w:val="Text písmene"/>
    <w:basedOn w:val="Normln"/>
    <w:pPr>
      <w:spacing w:before="0" w:after="0" w:line="240" w:lineRule="auto"/>
      <w:ind w:left="2880" w:hanging="2160"/>
      <w:jc w:val="both"/>
      <w:outlineLvl w:val="7"/>
    </w:pPr>
    <w:rPr>
      <w:rFonts w:ascii="Times New Roman" w:hAnsi="Times New Roman"/>
      <w:color w:val="685040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02081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76085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2561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86008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21246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0012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0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0379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5118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5523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6977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7265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34608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8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5602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6803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5872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36731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49142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98373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7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7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8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12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67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30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25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09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7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tomas.prchal@homolka.cz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petr.slavicek@bdo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nna.veliskova@mupisek.cz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BDO">
      <a:dk1>
        <a:sysClr val="windowText" lastClr="000000"/>
      </a:dk1>
      <a:lt1>
        <a:sysClr val="window" lastClr="FFFFFF"/>
      </a:lt1>
      <a:dk2>
        <a:srgbClr val="685040"/>
      </a:dk2>
      <a:lt2>
        <a:srgbClr val="B9ACA5"/>
      </a:lt2>
      <a:accent1>
        <a:srgbClr val="2EAFA4"/>
      </a:accent1>
      <a:accent2>
        <a:srgbClr val="98002E"/>
      </a:accent2>
      <a:accent3>
        <a:srgbClr val="FFE39C"/>
      </a:accent3>
      <a:accent4>
        <a:srgbClr val="F6A1A8"/>
      </a:accent4>
      <a:accent5>
        <a:srgbClr val="62CAE3"/>
      </a:accent5>
      <a:accent6>
        <a:srgbClr val="ED1A3B"/>
      </a:accent6>
      <a:hlink>
        <a:srgbClr val="ED1A3B"/>
      </a:hlink>
      <a:folHlink>
        <a:srgbClr val="98002E"/>
      </a:folHlink>
    </a:clrScheme>
    <a:fontScheme name="Urbanistický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B9050A-7369-4E81-9B61-8BE7EB572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3693</Words>
  <Characters>21793</Characters>
  <Application>Microsoft Office Word</Application>
  <DocSecurity>0</DocSecurity>
  <Lines>181</Lines>
  <Paragraphs>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LENOVO CUSTOMER</Company>
  <LinksUpToDate>false</LinksUpToDate>
  <CharactersWithSpaces>25436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Daneckova</dc:creator>
  <cp:lastModifiedBy>Mgr. Andrea Nová</cp:lastModifiedBy>
  <cp:revision>3</cp:revision>
  <cp:lastPrinted>2016-06-10T13:48:00Z</cp:lastPrinted>
  <dcterms:created xsi:type="dcterms:W3CDTF">2016-07-19T05:33:00Z</dcterms:created>
  <dcterms:modified xsi:type="dcterms:W3CDTF">2016-07-27T11:31:00Z</dcterms:modified>
</cp:coreProperties>
</file>