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90" w:rsidRDefault="00553CCE">
      <w:pPr>
        <w:pStyle w:val="Heading10"/>
        <w:framePr w:wrap="none" w:vAnchor="page" w:hAnchor="page" w:x="3407" w:y="2099"/>
        <w:pBdr>
          <w:top w:val="single" w:sz="4" w:space="1" w:color="auto"/>
          <w:left w:val="single" w:sz="4" w:space="4" w:color="auto"/>
          <w:bottom w:val="single" w:sz="4" w:space="1" w:color="auto"/>
          <w:right w:val="single" w:sz="4" w:space="4" w:color="auto"/>
        </w:pBdr>
        <w:shd w:val="clear" w:color="auto" w:fill="auto"/>
        <w:spacing w:after="0"/>
      </w:pPr>
      <w:bookmarkStart w:id="0" w:name="bookmark0"/>
      <w:r>
        <w:t>Kupní smlouva spektrometr MIDEX</w:t>
      </w:r>
      <w:bookmarkEnd w:id="0"/>
    </w:p>
    <w:p w:rsidR="00D92B90" w:rsidRDefault="00553CCE">
      <w:pPr>
        <w:pStyle w:val="Heading20"/>
        <w:framePr w:wrap="none" w:vAnchor="page" w:hAnchor="page" w:x="3407" w:y="2825"/>
        <w:numPr>
          <w:ilvl w:val="0"/>
          <w:numId w:val="1"/>
        </w:numPr>
        <w:shd w:val="clear" w:color="auto" w:fill="auto"/>
        <w:tabs>
          <w:tab w:val="left" w:pos="2111"/>
        </w:tabs>
        <w:spacing w:before="0"/>
        <w:ind w:left="1820"/>
      </w:pPr>
      <w:bookmarkStart w:id="1" w:name="bookmark1"/>
      <w:r>
        <w:t>Smluvní strany</w:t>
      </w:r>
      <w:bookmarkEnd w:id="1"/>
    </w:p>
    <w:p w:rsidR="00D92B90" w:rsidRDefault="00553CCE">
      <w:pPr>
        <w:pStyle w:val="Heading20"/>
        <w:framePr w:wrap="none" w:vAnchor="page" w:hAnchor="page" w:x="1458" w:y="3304"/>
        <w:shd w:val="clear" w:color="auto" w:fill="auto"/>
        <w:spacing w:before="0"/>
      </w:pPr>
      <w:bookmarkStart w:id="2" w:name="bookmark2"/>
      <w:r>
        <w:t>1.1 Kupující:</w:t>
      </w:r>
      <w:bookmarkEnd w:id="2"/>
    </w:p>
    <w:p w:rsidR="00D92B90" w:rsidRDefault="00553CCE">
      <w:pPr>
        <w:pStyle w:val="Heading20"/>
        <w:framePr w:wrap="none" w:vAnchor="page" w:hAnchor="page" w:x="4828" w:y="3670"/>
        <w:shd w:val="clear" w:color="auto" w:fill="auto"/>
        <w:spacing w:before="0"/>
        <w:jc w:val="both"/>
      </w:pPr>
      <w:bookmarkStart w:id="3" w:name="bookmark3"/>
      <w:r>
        <w:t>Puncovní úřad</w:t>
      </w:r>
      <w:bookmarkEnd w:id="3"/>
    </w:p>
    <w:p w:rsidR="00D92B90" w:rsidRDefault="00553CCE">
      <w:pPr>
        <w:pStyle w:val="Bodytext20"/>
        <w:framePr w:wrap="none" w:vAnchor="page" w:hAnchor="page" w:x="1453" w:y="4322"/>
        <w:shd w:val="clear" w:color="auto" w:fill="auto"/>
        <w:spacing w:before="0" w:line="212" w:lineRule="exact"/>
        <w:ind w:firstLine="0"/>
        <w:jc w:val="left"/>
      </w:pPr>
      <w:r>
        <w:t>se sídlem:</w:t>
      </w:r>
    </w:p>
    <w:p w:rsidR="00D92B90" w:rsidRDefault="00553CCE">
      <w:pPr>
        <w:pStyle w:val="Heading20"/>
        <w:framePr w:wrap="none" w:vAnchor="page" w:hAnchor="page" w:x="4828" w:y="4318"/>
        <w:shd w:val="clear" w:color="auto" w:fill="auto"/>
        <w:spacing w:before="0"/>
      </w:pPr>
      <w:bookmarkStart w:id="4" w:name="bookmark4"/>
      <w:r>
        <w:t>Kozí 748/4, Praha - Staré Město, 110 00</w:t>
      </w:r>
      <w:bookmarkEnd w:id="4"/>
    </w:p>
    <w:p w:rsidR="00D92B90" w:rsidRDefault="00553CCE">
      <w:pPr>
        <w:pStyle w:val="Bodytext20"/>
        <w:framePr w:w="1632" w:h="1665" w:hRule="exact" w:wrap="none" w:vAnchor="page" w:hAnchor="page" w:x="1425" w:y="4778"/>
        <w:shd w:val="clear" w:color="auto" w:fill="auto"/>
        <w:spacing w:before="0" w:after="130" w:line="212" w:lineRule="exact"/>
        <w:ind w:firstLine="0"/>
      </w:pPr>
      <w:r>
        <w:t>jednající:</w:t>
      </w:r>
    </w:p>
    <w:p w:rsidR="00D92B90" w:rsidRDefault="00553CCE">
      <w:pPr>
        <w:pStyle w:val="Bodytext30"/>
        <w:framePr w:w="1632" w:h="1665" w:hRule="exact" w:wrap="none" w:vAnchor="page" w:hAnchor="page" w:x="1425" w:y="4778"/>
        <w:shd w:val="clear" w:color="auto" w:fill="auto"/>
        <w:spacing w:before="0" w:after="150"/>
      </w:pPr>
      <w:r>
        <w:t>IČ:</w:t>
      </w:r>
    </w:p>
    <w:p w:rsidR="00D92B90" w:rsidRDefault="00553CCE">
      <w:pPr>
        <w:pStyle w:val="Bodytext20"/>
        <w:framePr w:w="1632" w:h="1665" w:hRule="exact" w:wrap="none" w:vAnchor="page" w:hAnchor="page" w:x="1425" w:y="4778"/>
        <w:shd w:val="clear" w:color="auto" w:fill="auto"/>
        <w:spacing w:before="0" w:after="72" w:line="212" w:lineRule="exact"/>
        <w:ind w:firstLine="0"/>
      </w:pPr>
      <w:r>
        <w:t>DIČ:</w:t>
      </w:r>
    </w:p>
    <w:p w:rsidR="00D92B90" w:rsidRDefault="00553CCE">
      <w:pPr>
        <w:pStyle w:val="Bodytext20"/>
        <w:framePr w:w="1632" w:h="1665" w:hRule="exact" w:wrap="none" w:vAnchor="page" w:hAnchor="page" w:x="1425" w:y="4778"/>
        <w:shd w:val="clear" w:color="auto" w:fill="auto"/>
        <w:spacing w:before="0" w:line="298" w:lineRule="exact"/>
        <w:ind w:firstLine="0"/>
      </w:pPr>
      <w:r>
        <w:t>Bankovní spojeni: Registrace:</w:t>
      </w:r>
    </w:p>
    <w:p w:rsidR="00D92B90" w:rsidRDefault="00553CCE">
      <w:pPr>
        <w:pStyle w:val="Bodytext20"/>
        <w:framePr w:w="3739" w:h="1497" w:hRule="exact" w:wrap="none" w:vAnchor="page" w:hAnchor="page" w:x="4828" w:y="4660"/>
        <w:shd w:val="clear" w:color="auto" w:fill="auto"/>
        <w:spacing w:before="0"/>
        <w:ind w:firstLine="0"/>
      </w:pPr>
      <w:r>
        <w:t>Ing. Jana Davldková, předsedkyně úřadu 00002542</w:t>
      </w:r>
    </w:p>
    <w:p w:rsidR="00D92B90" w:rsidRDefault="00553CCE">
      <w:pPr>
        <w:pStyle w:val="Bodytext20"/>
        <w:framePr w:w="3739" w:h="1497" w:hRule="exact" w:wrap="none" w:vAnchor="page" w:hAnchor="page" w:x="4828" w:y="4660"/>
        <w:shd w:val="clear" w:color="auto" w:fill="auto"/>
        <w:spacing w:before="0"/>
        <w:ind w:firstLine="0"/>
      </w:pPr>
      <w:r>
        <w:t>PÚ není plátcem DPH</w:t>
      </w:r>
    </w:p>
    <w:p w:rsidR="00D92B90" w:rsidRDefault="00553CCE">
      <w:pPr>
        <w:pStyle w:val="Bodytext20"/>
        <w:framePr w:w="3739" w:h="1497" w:hRule="exact" w:wrap="none" w:vAnchor="page" w:hAnchor="page" w:x="4828" w:y="4660"/>
        <w:shd w:val="clear" w:color="auto" w:fill="auto"/>
        <w:spacing w:before="0"/>
        <w:ind w:firstLine="0"/>
      </w:pPr>
      <w:r>
        <w:t xml:space="preserve">ČNB, pob. </w:t>
      </w:r>
      <w:r>
        <w:t>Praha, č.ú.: 19-2728011/0710</w:t>
      </w:r>
    </w:p>
    <w:p w:rsidR="00D92B90" w:rsidRDefault="00553CCE">
      <w:pPr>
        <w:pStyle w:val="Heading20"/>
        <w:framePr w:wrap="none" w:vAnchor="page" w:hAnchor="page" w:x="1429" w:y="6775"/>
        <w:shd w:val="clear" w:color="auto" w:fill="auto"/>
        <w:spacing w:before="0"/>
      </w:pPr>
      <w:bookmarkStart w:id="5" w:name="bookmark5"/>
      <w:r>
        <w:t>1.2 Prodávající:</w:t>
      </w:r>
      <w:bookmarkEnd w:id="5"/>
    </w:p>
    <w:p w:rsidR="00D92B90" w:rsidRDefault="00553CCE">
      <w:pPr>
        <w:pStyle w:val="Bodytext20"/>
        <w:framePr w:w="1632" w:h="1795" w:hRule="exact" w:wrap="none" w:vAnchor="page" w:hAnchor="page" w:x="1473" w:y="7535"/>
        <w:shd w:val="clear" w:color="auto" w:fill="auto"/>
        <w:spacing w:before="0" w:line="336" w:lineRule="exact"/>
        <w:ind w:firstLine="0"/>
        <w:jc w:val="left"/>
      </w:pPr>
      <w:r>
        <w:t>se sídlem: zastoupená.</w:t>
      </w:r>
    </w:p>
    <w:p w:rsidR="00D92B90" w:rsidRDefault="00553CCE">
      <w:pPr>
        <w:pStyle w:val="Bodytext50"/>
        <w:framePr w:w="1632" w:h="1795" w:hRule="exact" w:wrap="none" w:vAnchor="page" w:hAnchor="page" w:x="1473" w:y="7535"/>
        <w:shd w:val="clear" w:color="auto" w:fill="auto"/>
      </w:pPr>
      <w:r>
        <w:t>IČ:</w:t>
      </w:r>
    </w:p>
    <w:p w:rsidR="00D92B90" w:rsidRDefault="00553CCE">
      <w:pPr>
        <w:pStyle w:val="Bodytext20"/>
        <w:framePr w:w="1632" w:h="1795" w:hRule="exact" w:wrap="none" w:vAnchor="page" w:hAnchor="page" w:x="1473" w:y="7535"/>
        <w:shd w:val="clear" w:color="auto" w:fill="auto"/>
        <w:spacing w:before="0" w:line="336" w:lineRule="exact"/>
        <w:ind w:firstLine="0"/>
        <w:jc w:val="left"/>
      </w:pPr>
      <w:r>
        <w:t>DIČ:</w:t>
      </w:r>
    </w:p>
    <w:p w:rsidR="00D92B90" w:rsidRDefault="00553CCE">
      <w:pPr>
        <w:pStyle w:val="Bodytext20"/>
        <w:framePr w:w="1632" w:h="1795" w:hRule="exact" w:wrap="none" w:vAnchor="page" w:hAnchor="page" w:x="1473" w:y="7535"/>
        <w:shd w:val="clear" w:color="auto" w:fill="auto"/>
        <w:spacing w:before="0" w:line="212" w:lineRule="exact"/>
        <w:ind w:firstLine="0"/>
        <w:jc w:val="left"/>
      </w:pPr>
      <w:r>
        <w:t>Bankovní spojení:</w:t>
      </w:r>
    </w:p>
    <w:p w:rsidR="00D92B90" w:rsidRDefault="00553CCE">
      <w:pPr>
        <w:pStyle w:val="Bodytext40"/>
        <w:framePr w:w="9187" w:h="2098" w:hRule="exact" w:wrap="none" w:vAnchor="page" w:hAnchor="page" w:x="1367" w:y="7236"/>
        <w:shd w:val="clear" w:color="auto" w:fill="auto"/>
        <w:spacing w:after="97"/>
        <w:ind w:left="3408"/>
      </w:pPr>
      <w:r>
        <w:t xml:space="preserve">RAMT Ostrava, </w:t>
      </w:r>
      <w:r>
        <w:rPr>
          <w:rStyle w:val="Bodytext4NotBold"/>
        </w:rPr>
        <w:t>spol. s r.o.</w:t>
      </w:r>
    </w:p>
    <w:p w:rsidR="00D92B90" w:rsidRDefault="00553CCE">
      <w:pPr>
        <w:pStyle w:val="Bodytext20"/>
        <w:framePr w:w="9187" w:h="2098" w:hRule="exact" w:wrap="none" w:vAnchor="page" w:hAnchor="page" w:x="1367" w:y="7236"/>
        <w:shd w:val="clear" w:color="auto" w:fill="auto"/>
        <w:spacing w:before="0" w:after="203" w:line="341" w:lineRule="exact"/>
        <w:ind w:left="3408" w:right="1820" w:firstLine="0"/>
        <w:jc w:val="left"/>
      </w:pPr>
      <w:r>
        <w:t>Rudná 51, 70030 Ostrava - Zábřeh</w:t>
      </w:r>
      <w:r>
        <w:br/>
        <w:t>Ing. Ludvíkem Švardalou, jednatelem</w:t>
      </w:r>
      <w:r>
        <w:br/>
        <w:t>25376578</w:t>
      </w:r>
      <w:r>
        <w:br/>
        <w:t>CZ25376578</w:t>
      </w:r>
    </w:p>
    <w:p w:rsidR="00D92B90" w:rsidRDefault="00553CCE">
      <w:pPr>
        <w:pStyle w:val="Bodytext20"/>
        <w:framePr w:w="9187" w:h="2098" w:hRule="exact" w:wrap="none" w:vAnchor="page" w:hAnchor="page" w:x="1367" w:y="7236"/>
        <w:shd w:val="clear" w:color="auto" w:fill="auto"/>
        <w:spacing w:before="0" w:line="212" w:lineRule="exact"/>
        <w:ind w:left="3408" w:firstLine="0"/>
        <w:jc w:val="left"/>
      </w:pPr>
      <w:r>
        <w:t>ČSOB Ostrava, č. ú. v CZK 373747633/0300</w:t>
      </w:r>
    </w:p>
    <w:p w:rsidR="00D92B90" w:rsidRDefault="00553CCE">
      <w:pPr>
        <w:pStyle w:val="Bodytext20"/>
        <w:framePr w:w="9187" w:h="1338" w:hRule="exact" w:wrap="none" w:vAnchor="page" w:hAnchor="page" w:x="1367" w:y="9368"/>
        <w:shd w:val="clear" w:color="auto" w:fill="auto"/>
        <w:tabs>
          <w:tab w:val="left" w:pos="3302"/>
        </w:tabs>
        <w:spacing w:before="0" w:line="336" w:lineRule="exact"/>
        <w:ind w:left="380" w:hanging="380"/>
      </w:pPr>
      <w:r>
        <w:t>Registrace v Obchodním rejstříku:</w:t>
      </w:r>
      <w:r>
        <w:tab/>
        <w:t>KS Ostrava, oddíl C, vložka 16408</w:t>
      </w:r>
    </w:p>
    <w:p w:rsidR="00D92B90" w:rsidRDefault="00553CCE">
      <w:pPr>
        <w:pStyle w:val="Bodytext20"/>
        <w:framePr w:w="9187" w:h="1338" w:hRule="exact" w:wrap="none" w:vAnchor="page" w:hAnchor="page" w:x="1367" w:y="9368"/>
        <w:shd w:val="clear" w:color="auto" w:fill="auto"/>
        <w:tabs>
          <w:tab w:val="left" w:pos="3302"/>
        </w:tabs>
        <w:spacing w:before="0" w:after="185" w:line="336" w:lineRule="exact"/>
        <w:ind w:left="380" w:hanging="380"/>
      </w:pPr>
      <w:r>
        <w:t>Adresa pro korespondenci:</w:t>
      </w:r>
      <w:r>
        <w:tab/>
        <w:t>viz. výše</w:t>
      </w:r>
    </w:p>
    <w:p w:rsidR="00D92B90" w:rsidRDefault="00553CCE">
      <w:pPr>
        <w:pStyle w:val="Bodytext20"/>
        <w:framePr w:w="9187" w:h="1338" w:hRule="exact" w:wrap="none" w:vAnchor="page" w:hAnchor="page" w:x="1367" w:y="9368"/>
        <w:shd w:val="clear" w:color="auto" w:fill="auto"/>
        <w:spacing w:before="0" w:line="230" w:lineRule="exact"/>
        <w:ind w:firstLine="0"/>
      </w:pPr>
      <w:r>
        <w:t xml:space="preserve">Kupující a prodávající jsou dále jednotlivé uváděni též jako </w:t>
      </w:r>
      <w:r>
        <w:rPr>
          <w:rStyle w:val="Bodytext2Bold"/>
        </w:rPr>
        <w:t xml:space="preserve">"smluvní strana" </w:t>
      </w:r>
      <w:r>
        <w:t xml:space="preserve">a společně jako </w:t>
      </w:r>
      <w:r>
        <w:rPr>
          <w:rStyle w:val="Bodytext2Bold"/>
        </w:rPr>
        <w:t xml:space="preserve">"smluvní strany"; </w:t>
      </w:r>
      <w:r>
        <w:t>tato smlouva je dále také označována jak</w:t>
      </w:r>
      <w:r>
        <w:t xml:space="preserve">o </w:t>
      </w:r>
      <w:r>
        <w:rPr>
          <w:rStyle w:val="Bodytext2Bold"/>
        </w:rPr>
        <w:t>"smlouva".</w:t>
      </w:r>
    </w:p>
    <w:p w:rsidR="00D92B90" w:rsidRDefault="00553CCE">
      <w:pPr>
        <w:pStyle w:val="Bodytext20"/>
        <w:framePr w:w="9187" w:h="3374" w:hRule="exact" w:wrap="none" w:vAnchor="page" w:hAnchor="page" w:x="1367" w:y="11118"/>
        <w:shd w:val="clear" w:color="auto" w:fill="auto"/>
        <w:spacing w:before="0" w:after="111" w:line="226" w:lineRule="exact"/>
        <w:ind w:firstLine="0"/>
      </w:pPr>
      <w:r>
        <w:t xml:space="preserve">Vzhledem ktomu, že smluvní strany dospěly k úplné a vzájemné shodě v níže uvedených skutečnostech, rozhodly se uzavřít v souladu s ustanoveními §§ 2085 - 2183 zákona č. 89/2012, Občanský zákoník - NOZ tuto </w:t>
      </w:r>
      <w:r>
        <w:rPr>
          <w:rStyle w:val="Bodytext2Bold"/>
        </w:rPr>
        <w:t>kupní smlouvu:</w:t>
      </w:r>
    </w:p>
    <w:p w:rsidR="00D92B90" w:rsidRDefault="00553CCE">
      <w:pPr>
        <w:pStyle w:val="Heading20"/>
        <w:framePr w:w="9187" w:h="3374" w:hRule="exact" w:wrap="none" w:vAnchor="page" w:hAnchor="page" w:x="1367" w:y="11118"/>
        <w:numPr>
          <w:ilvl w:val="0"/>
          <w:numId w:val="1"/>
        </w:numPr>
        <w:shd w:val="clear" w:color="auto" w:fill="auto"/>
        <w:tabs>
          <w:tab w:val="left" w:pos="3954"/>
        </w:tabs>
        <w:spacing w:before="0" w:after="85"/>
        <w:ind w:left="3580"/>
      </w:pPr>
      <w:bookmarkStart w:id="6" w:name="bookmark6"/>
      <w:r>
        <w:t>Úvodní ustanovení</w:t>
      </w:r>
      <w:bookmarkEnd w:id="6"/>
    </w:p>
    <w:p w:rsidR="00D92B90" w:rsidRDefault="00553CCE">
      <w:pPr>
        <w:pStyle w:val="Bodytext20"/>
        <w:framePr w:w="9187" w:h="3374" w:hRule="exact" w:wrap="none" w:vAnchor="page" w:hAnchor="page" w:x="1367" w:y="11118"/>
        <w:numPr>
          <w:ilvl w:val="0"/>
          <w:numId w:val="2"/>
        </w:numPr>
        <w:shd w:val="clear" w:color="auto" w:fill="auto"/>
        <w:tabs>
          <w:tab w:val="left" w:pos="528"/>
        </w:tabs>
        <w:spacing w:before="0" w:after="215" w:line="230" w:lineRule="exact"/>
        <w:ind w:left="600" w:hanging="600"/>
      </w:pPr>
      <w:r>
        <w:t>Smluvní strany se tímto dohodly, že dodávka, která bude realizována dle této smlouvy a vztahy vyplývající z činností dle této smlouvy, se budou řídit ustanoveními Občanského zákoníku - NOZ a ustanoveními této smlouvy.</w:t>
      </w:r>
    </w:p>
    <w:p w:rsidR="00D92B90" w:rsidRDefault="00553CCE">
      <w:pPr>
        <w:pStyle w:val="Heading20"/>
        <w:framePr w:w="9187" w:h="3374" w:hRule="exact" w:wrap="none" w:vAnchor="page" w:hAnchor="page" w:x="1367" w:y="11118"/>
        <w:numPr>
          <w:ilvl w:val="0"/>
          <w:numId w:val="1"/>
        </w:numPr>
        <w:shd w:val="clear" w:color="auto" w:fill="auto"/>
        <w:tabs>
          <w:tab w:val="left" w:pos="3959"/>
        </w:tabs>
        <w:spacing w:before="0" w:after="89"/>
        <w:ind w:left="3580"/>
      </w:pPr>
      <w:bookmarkStart w:id="7" w:name="bookmark7"/>
      <w:r>
        <w:t>Předmět smlouvy</w:t>
      </w:r>
      <w:bookmarkEnd w:id="7"/>
    </w:p>
    <w:p w:rsidR="00D92B90" w:rsidRDefault="00553CCE">
      <w:pPr>
        <w:pStyle w:val="Bodytext20"/>
        <w:framePr w:w="9187" w:h="3374" w:hRule="exact" w:wrap="none" w:vAnchor="page" w:hAnchor="page" w:x="1367" w:y="11118"/>
        <w:numPr>
          <w:ilvl w:val="0"/>
          <w:numId w:val="3"/>
        </w:numPr>
        <w:shd w:val="clear" w:color="auto" w:fill="auto"/>
        <w:tabs>
          <w:tab w:val="left" w:pos="528"/>
        </w:tabs>
        <w:spacing w:before="0" w:line="226" w:lineRule="exact"/>
        <w:ind w:left="380" w:hanging="380"/>
      </w:pPr>
      <w:r>
        <w:t>Prodávající se zavazuj</w:t>
      </w:r>
      <w:r>
        <w:t>e, že dodá kupujícímu stolní rentgenový spektrometr SPECTRO MIDEX LD. Předmět koupě je detailně specifikován v cenové nabídce (příloha č. 1 této smlouvy). Kupující se zavazuje, že předmět koupě od prodávajícího odebere a zaplatí za něj kupní cenu sjednanou</w:t>
      </w:r>
      <w:r>
        <w:t xml:space="preserve"> v čl V. této smlouvy.</w:t>
      </w:r>
    </w:p>
    <w:p w:rsidR="00D92B90" w:rsidRDefault="00553CCE">
      <w:pPr>
        <w:pStyle w:val="Heading20"/>
        <w:framePr w:w="9187" w:h="979" w:hRule="exact" w:wrap="none" w:vAnchor="page" w:hAnchor="page" w:x="1367" w:y="14482"/>
        <w:numPr>
          <w:ilvl w:val="0"/>
          <w:numId w:val="1"/>
        </w:numPr>
        <w:shd w:val="clear" w:color="auto" w:fill="auto"/>
        <w:tabs>
          <w:tab w:val="left" w:pos="3755"/>
        </w:tabs>
        <w:spacing w:before="0" w:line="461" w:lineRule="exact"/>
        <w:ind w:left="3360"/>
      </w:pPr>
      <w:bookmarkStart w:id="8" w:name="bookmark8"/>
      <w:r>
        <w:t>Způsob a místo plněni</w:t>
      </w:r>
      <w:bookmarkEnd w:id="8"/>
    </w:p>
    <w:p w:rsidR="00D92B90" w:rsidRDefault="00553CCE">
      <w:pPr>
        <w:pStyle w:val="Bodytext20"/>
        <w:framePr w:w="9187" w:h="979" w:hRule="exact" w:wrap="none" w:vAnchor="page" w:hAnchor="page" w:x="1367" w:y="14482"/>
        <w:numPr>
          <w:ilvl w:val="0"/>
          <w:numId w:val="4"/>
        </w:numPr>
        <w:shd w:val="clear" w:color="auto" w:fill="auto"/>
        <w:tabs>
          <w:tab w:val="left" w:pos="3755"/>
        </w:tabs>
        <w:spacing w:before="0" w:line="461" w:lineRule="exact"/>
        <w:ind w:left="3200" w:firstLine="0"/>
        <w:jc w:val="left"/>
      </w:pPr>
      <w:r>
        <w:t>Místem plnění je: Praha 1</w:t>
      </w:r>
    </w:p>
    <w:p w:rsidR="00D92B90" w:rsidRDefault="00553CCE">
      <w:pPr>
        <w:pStyle w:val="Headerorfooter0"/>
        <w:framePr w:wrap="none" w:vAnchor="page" w:hAnchor="page" w:x="1357" w:y="15993"/>
        <w:shd w:val="clear" w:color="auto" w:fill="auto"/>
      </w:pPr>
      <w:r>
        <w:t>Kupní smlouva</w:t>
      </w:r>
    </w:p>
    <w:p w:rsidR="00D92B90" w:rsidRDefault="00553CCE">
      <w:pPr>
        <w:pStyle w:val="Headerorfooter20"/>
        <w:framePr w:wrap="none" w:vAnchor="page" w:hAnchor="page" w:x="10050" w:y="15978"/>
        <w:shd w:val="clear" w:color="auto" w:fill="auto"/>
      </w:pPr>
      <w:r>
        <w:t>1 / 5</w:t>
      </w:r>
    </w:p>
    <w:p w:rsidR="00D92B90" w:rsidRDefault="00D92B90">
      <w:pPr>
        <w:rPr>
          <w:sz w:val="2"/>
          <w:szCs w:val="2"/>
        </w:rPr>
        <w:sectPr w:rsidR="00D92B90">
          <w:headerReference w:type="even" r:id="rId8"/>
          <w:headerReference w:type="default" r:id="rId9"/>
          <w:footerReference w:type="even" r:id="rId10"/>
          <w:footerReference w:type="default" r:id="rId11"/>
          <w:headerReference w:type="first" r:id="rId12"/>
          <w:footerReference w:type="first" r:id="rId13"/>
          <w:pgSz w:w="11900" w:h="16840"/>
          <w:pgMar w:top="360" w:right="360" w:bottom="360" w:left="360" w:header="0" w:footer="3" w:gutter="0"/>
          <w:cols w:space="720"/>
          <w:noEndnote/>
          <w:docGrid w:linePitch="360"/>
        </w:sectPr>
      </w:pPr>
    </w:p>
    <w:p w:rsidR="00D92B90" w:rsidRDefault="00553CCE">
      <w:pPr>
        <w:pStyle w:val="Bodytext40"/>
        <w:framePr w:wrap="none" w:vAnchor="page" w:hAnchor="page" w:x="1353" w:y="1686"/>
        <w:numPr>
          <w:ilvl w:val="0"/>
          <w:numId w:val="1"/>
        </w:numPr>
        <w:shd w:val="clear" w:color="auto" w:fill="auto"/>
        <w:tabs>
          <w:tab w:val="left" w:pos="4655"/>
        </w:tabs>
        <w:spacing w:after="0"/>
        <w:ind w:left="4300"/>
      </w:pPr>
      <w:r>
        <w:lastRenderedPageBreak/>
        <w:t>Cena Zboží</w:t>
      </w:r>
    </w:p>
    <w:p w:rsidR="00D92B90" w:rsidRDefault="00553CCE">
      <w:pPr>
        <w:pStyle w:val="Bodytext20"/>
        <w:framePr w:w="9254" w:h="2976" w:hRule="exact" w:wrap="none" w:vAnchor="page" w:hAnchor="page" w:x="1353" w:y="2488"/>
        <w:numPr>
          <w:ilvl w:val="0"/>
          <w:numId w:val="5"/>
        </w:numPr>
        <w:shd w:val="clear" w:color="auto" w:fill="auto"/>
        <w:tabs>
          <w:tab w:val="left" w:pos="542"/>
        </w:tabs>
        <w:spacing w:before="0" w:after="135" w:line="230" w:lineRule="exact"/>
        <w:ind w:left="620"/>
        <w:jc w:val="left"/>
      </w:pPr>
      <w:r>
        <w:t xml:space="preserve">Celková cena zboží specifikované v čl. </w:t>
      </w:r>
      <w:r>
        <w:rPr>
          <w:lang w:val="en-US" w:eastAsia="en-US" w:bidi="en-US"/>
        </w:rPr>
        <w:t xml:space="preserve">Ill </w:t>
      </w:r>
      <w:r>
        <w:t xml:space="preserve">a v cenové nabídce č. 1603, ze dne 16. 6. 2016 (příloha č. 1) smlouvy byla stanovena ve výši </w:t>
      </w:r>
      <w:r>
        <w:rPr>
          <w:rStyle w:val="Bodytext2Bold"/>
        </w:rPr>
        <w:t xml:space="preserve">1.179.130 Kč </w:t>
      </w:r>
      <w:r>
        <w:t xml:space="preserve">bez DPH (slovy jedenmilionjednostosedumdesátdevéttisícjednostotřicet korun českých). K ceně bude účtována DPH 21%, tj. </w:t>
      </w:r>
      <w:r>
        <w:rPr>
          <w:rStyle w:val="Bodytext2Bold"/>
        </w:rPr>
        <w:t xml:space="preserve">247.617.30 Kč; </w:t>
      </w:r>
      <w:r>
        <w:t xml:space="preserve">cena včetně DPH </w:t>
      </w:r>
      <w:r>
        <w:t xml:space="preserve">pak je </w:t>
      </w:r>
      <w:r>
        <w:rPr>
          <w:rStyle w:val="Bodytext2Bold"/>
        </w:rPr>
        <w:t>1.426.747,60 Kč.</w:t>
      </w:r>
    </w:p>
    <w:p w:rsidR="00D92B90" w:rsidRDefault="00553CCE">
      <w:pPr>
        <w:pStyle w:val="Bodytext20"/>
        <w:framePr w:w="9254" w:h="2976" w:hRule="exact" w:wrap="none" w:vAnchor="page" w:hAnchor="page" w:x="1353" w:y="2488"/>
        <w:shd w:val="clear" w:color="auto" w:fill="auto"/>
        <w:spacing w:before="0" w:after="229" w:line="212" w:lineRule="exact"/>
        <w:ind w:left="620" w:firstLine="0"/>
        <w:jc w:val="left"/>
      </w:pPr>
      <w:r>
        <w:t>Cena dodávky je stanovena jako pevná</w:t>
      </w:r>
    </w:p>
    <w:p w:rsidR="00D92B90" w:rsidRDefault="00553CCE">
      <w:pPr>
        <w:pStyle w:val="Bodytext20"/>
        <w:framePr w:w="9254" w:h="2976" w:hRule="exact" w:wrap="none" w:vAnchor="page" w:hAnchor="page" w:x="1353" w:y="2488"/>
        <w:shd w:val="clear" w:color="auto" w:fill="auto"/>
        <w:spacing w:before="0" w:after="236" w:line="226" w:lineRule="exact"/>
        <w:ind w:left="620"/>
      </w:pPr>
      <w:r>
        <w:t xml:space="preserve">5 2 Cena dodávky obsahuje veškeré náklady, které jsou nezbytné k dodávce zboží na místo plnění, zprovoznění zboží a proškoleni kupujícího v rozsahu požadovaných funkcí a dodaných návodů k </w:t>
      </w:r>
      <w:r>
        <w:t>použití.</w:t>
      </w:r>
    </w:p>
    <w:p w:rsidR="00D92B90" w:rsidRDefault="00553CCE">
      <w:pPr>
        <w:pStyle w:val="Bodytext20"/>
        <w:framePr w:w="9254" w:h="2976" w:hRule="exact" w:wrap="none" w:vAnchor="page" w:hAnchor="page" w:x="1353" w:y="2488"/>
        <w:numPr>
          <w:ilvl w:val="0"/>
          <w:numId w:val="6"/>
        </w:numPr>
        <w:shd w:val="clear" w:color="auto" w:fill="auto"/>
        <w:tabs>
          <w:tab w:val="left" w:pos="542"/>
        </w:tabs>
        <w:spacing w:before="0" w:line="230" w:lineRule="exact"/>
        <w:ind w:left="620"/>
        <w:jc w:val="left"/>
      </w:pPr>
      <w:r>
        <w:t>Cena dodávky zahrnuje i náhradu veškerých nákladů vynaložených prodávajícím a je považována za definitivní a nepřekročitelnou</w:t>
      </w:r>
    </w:p>
    <w:p w:rsidR="00D92B90" w:rsidRDefault="00553CCE">
      <w:pPr>
        <w:pStyle w:val="Bodytext40"/>
        <w:framePr w:w="9254" w:h="7326" w:hRule="exact" w:wrap="none" w:vAnchor="page" w:hAnchor="page" w:x="1353" w:y="6131"/>
        <w:numPr>
          <w:ilvl w:val="0"/>
          <w:numId w:val="1"/>
        </w:numPr>
        <w:shd w:val="clear" w:color="auto" w:fill="auto"/>
        <w:tabs>
          <w:tab w:val="left" w:pos="3978"/>
        </w:tabs>
        <w:spacing w:after="109"/>
        <w:ind w:left="3560"/>
      </w:pPr>
      <w:r>
        <w:t>Platební podmínky</w:t>
      </w:r>
    </w:p>
    <w:p w:rsidR="00D92B90" w:rsidRDefault="00553CCE">
      <w:pPr>
        <w:pStyle w:val="Bodytext20"/>
        <w:framePr w:w="9254" w:h="7326" w:hRule="exact" w:wrap="none" w:vAnchor="page" w:hAnchor="page" w:x="1353" w:y="6131"/>
        <w:numPr>
          <w:ilvl w:val="0"/>
          <w:numId w:val="7"/>
        </w:numPr>
        <w:shd w:val="clear" w:color="auto" w:fill="auto"/>
        <w:tabs>
          <w:tab w:val="left" w:pos="542"/>
        </w:tabs>
        <w:spacing w:before="0" w:after="251" w:line="226" w:lineRule="exact"/>
        <w:ind w:left="620"/>
        <w:jc w:val="left"/>
      </w:pPr>
      <w:r>
        <w:t>Smluvní strany se dohodly na bezhotovostním zaplacení ceny dodávky z účtu kupujícího na účet prodávajíc</w:t>
      </w:r>
      <w:r>
        <w:t>ího a to jedinou splátkou:</w:t>
      </w:r>
    </w:p>
    <w:p w:rsidR="00D92B90" w:rsidRDefault="00553CCE">
      <w:pPr>
        <w:pStyle w:val="Bodytext20"/>
        <w:framePr w:w="9254" w:h="7326" w:hRule="exact" w:wrap="none" w:vAnchor="page" w:hAnchor="page" w:x="1353" w:y="6131"/>
        <w:shd w:val="clear" w:color="auto" w:fill="auto"/>
        <w:spacing w:before="0" w:after="109" w:line="212" w:lineRule="exact"/>
        <w:ind w:left="620" w:firstLine="0"/>
        <w:jc w:val="left"/>
      </w:pPr>
      <w:r>
        <w:t>100 % tj. 1.179.130 Kč a DPH 21% (celkem 1.426.747,60 Kč) a to do 30 dnů po dodání.</w:t>
      </w:r>
    </w:p>
    <w:p w:rsidR="00D92B90" w:rsidRDefault="00553CCE">
      <w:pPr>
        <w:pStyle w:val="Bodytext20"/>
        <w:framePr w:w="9254" w:h="7326" w:hRule="exact" w:wrap="none" w:vAnchor="page" w:hAnchor="page" w:x="1353" w:y="6131"/>
        <w:shd w:val="clear" w:color="auto" w:fill="auto"/>
        <w:spacing w:before="0" w:after="116" w:line="226" w:lineRule="exact"/>
        <w:ind w:left="620" w:firstLine="0"/>
        <w:jc w:val="left"/>
      </w:pPr>
      <w:r>
        <w:t xml:space="preserve">Dodáním se rozumí doručeni předmětu koupě na určené místo plnění, instalace a zprovoznění předmětu koupě, proškolení kupujícího v rozsahu </w:t>
      </w:r>
      <w:r>
        <w:t>požadovaných funkci a dodaných návodů k použiti pro jednotlivé předměty koupě, předvedeni funkce zboží v testovacím provozu Smluvní strany se dále dohodly, že součástí dodávky je dále závazek plnit pozáruční servis od okamžiku uplynutí záruční doby po dobu</w:t>
      </w:r>
      <w:r>
        <w:t xml:space="preserve"> neurčitou.</w:t>
      </w:r>
    </w:p>
    <w:p w:rsidR="00D92B90" w:rsidRDefault="00553CCE">
      <w:pPr>
        <w:pStyle w:val="Bodytext20"/>
        <w:framePr w:w="9254" w:h="7326" w:hRule="exact" w:wrap="none" w:vAnchor="page" w:hAnchor="page" w:x="1353" w:y="6131"/>
        <w:numPr>
          <w:ilvl w:val="0"/>
          <w:numId w:val="7"/>
        </w:numPr>
        <w:shd w:val="clear" w:color="auto" w:fill="auto"/>
        <w:tabs>
          <w:tab w:val="left" w:pos="542"/>
        </w:tabs>
        <w:spacing w:before="0" w:after="244" w:line="230" w:lineRule="exact"/>
        <w:ind w:left="620"/>
      </w:pPr>
      <w:r>
        <w:t xml:space="preserve">Řádné proškolení a funkčnost zboží potvrdí kupující. Povinnost kupujícího zaplatit je splněna dnem připsání příslušné finanční částky kupujícím na účet prodávajícího uvedeného v záhlaví této smlouvy, není-li smluvními stranami písemně sjednáno </w:t>
      </w:r>
      <w:r>
        <w:t>jinak</w:t>
      </w:r>
    </w:p>
    <w:p w:rsidR="00D92B90" w:rsidRDefault="00553CCE">
      <w:pPr>
        <w:pStyle w:val="Bodytext20"/>
        <w:framePr w:w="9254" w:h="7326" w:hRule="exact" w:wrap="none" w:vAnchor="page" w:hAnchor="page" w:x="1353" w:y="6131"/>
        <w:numPr>
          <w:ilvl w:val="0"/>
          <w:numId w:val="7"/>
        </w:numPr>
        <w:shd w:val="clear" w:color="auto" w:fill="auto"/>
        <w:tabs>
          <w:tab w:val="left" w:pos="542"/>
        </w:tabs>
        <w:spacing w:before="0" w:after="240" w:line="226" w:lineRule="exact"/>
        <w:ind w:left="620"/>
      </w:pPr>
      <w:r>
        <w:t xml:space="preserve">Prodávajícím vystavená faktura bude mít náležitosti stanovené zákonem České republiky o DPH č. 235/2004 Sb., ve znění pozdějších předpisů, přičemž termín splatnosti takto vystavené faktury činí </w:t>
      </w:r>
      <w:r>
        <w:rPr>
          <w:rStyle w:val="Bodytext2Bold"/>
        </w:rPr>
        <w:t xml:space="preserve">30 dnů </w:t>
      </w:r>
      <w:r>
        <w:t>po doručení této faktury kupujícímu.</w:t>
      </w:r>
    </w:p>
    <w:p w:rsidR="00D92B90" w:rsidRDefault="00553CCE">
      <w:pPr>
        <w:pStyle w:val="Bodytext20"/>
        <w:framePr w:w="9254" w:h="7326" w:hRule="exact" w:wrap="none" w:vAnchor="page" w:hAnchor="page" w:x="1353" w:y="6131"/>
        <w:numPr>
          <w:ilvl w:val="0"/>
          <w:numId w:val="7"/>
        </w:numPr>
        <w:shd w:val="clear" w:color="auto" w:fill="auto"/>
        <w:tabs>
          <w:tab w:val="left" w:pos="542"/>
        </w:tabs>
        <w:spacing w:before="0" w:after="251" w:line="226" w:lineRule="exact"/>
        <w:ind w:left="620"/>
      </w:pPr>
      <w:r>
        <w:t>Nebude-li pr</w:t>
      </w:r>
      <w:r>
        <w:t>odávajícím vystavená faktura obsahovat náležitosti uvedené v předchozích ustanoveních nebo bude-li chybně vyúčtována cena Zboží, je kupující oprávněn takovou fakturu do data splatnosti prodávajícímu vrátit k doplnění scházejících údajů nebo k opravě nesprá</w:t>
      </w:r>
      <w:r>
        <w:t>vných údajů. U vrácené faktury musí kupující vyznačit důvod vráceni. Prodávající je povinen provést opravu vystavením nové faktury s novou dobou splatnosti.</w:t>
      </w:r>
    </w:p>
    <w:p w:rsidR="00D92B90" w:rsidRDefault="00553CCE">
      <w:pPr>
        <w:pStyle w:val="Bodytext40"/>
        <w:framePr w:w="9254" w:h="7326" w:hRule="exact" w:wrap="none" w:vAnchor="page" w:hAnchor="page" w:x="1353" w:y="6131"/>
        <w:numPr>
          <w:ilvl w:val="0"/>
          <w:numId w:val="1"/>
        </w:numPr>
        <w:shd w:val="clear" w:color="auto" w:fill="auto"/>
        <w:tabs>
          <w:tab w:val="left" w:pos="4146"/>
        </w:tabs>
        <w:spacing w:after="120"/>
        <w:ind w:left="3680"/>
      </w:pPr>
      <w:r>
        <w:t>Terminy plnění</w:t>
      </w:r>
    </w:p>
    <w:p w:rsidR="00D92B90" w:rsidRDefault="00553CCE">
      <w:pPr>
        <w:pStyle w:val="Bodytext20"/>
        <w:framePr w:w="9254" w:h="7326" w:hRule="exact" w:wrap="none" w:vAnchor="page" w:hAnchor="page" w:x="1353" w:y="6131"/>
        <w:shd w:val="clear" w:color="auto" w:fill="auto"/>
        <w:spacing w:before="0" w:after="240" w:line="212" w:lineRule="exact"/>
        <w:ind w:left="620"/>
        <w:jc w:val="left"/>
      </w:pPr>
      <w:r>
        <w:t xml:space="preserve">7 1 Prodávající se zavazuje realizovat dodávku zboží nejpozdéji do 3 měsíců po </w:t>
      </w:r>
      <w:r>
        <w:t>podpisu této KS.</w:t>
      </w:r>
    </w:p>
    <w:p w:rsidR="00D92B90" w:rsidRDefault="00553CCE">
      <w:pPr>
        <w:pStyle w:val="Bodytext40"/>
        <w:framePr w:w="9254" w:h="7326" w:hRule="exact" w:wrap="none" w:vAnchor="page" w:hAnchor="page" w:x="1353" w:y="6131"/>
        <w:shd w:val="clear" w:color="auto" w:fill="auto"/>
        <w:spacing w:after="120"/>
        <w:ind w:left="3560"/>
      </w:pPr>
      <w:r>
        <w:t>Vlil. Dodací podmínky</w:t>
      </w:r>
    </w:p>
    <w:p w:rsidR="00D92B90" w:rsidRDefault="00553CCE">
      <w:pPr>
        <w:pStyle w:val="Bodytext20"/>
        <w:framePr w:w="9254" w:h="7326" w:hRule="exact" w:wrap="none" w:vAnchor="page" w:hAnchor="page" w:x="1353" w:y="6131"/>
        <w:numPr>
          <w:ilvl w:val="0"/>
          <w:numId w:val="8"/>
        </w:numPr>
        <w:shd w:val="clear" w:color="auto" w:fill="auto"/>
        <w:tabs>
          <w:tab w:val="left" w:pos="542"/>
        </w:tabs>
        <w:spacing w:before="0" w:line="212" w:lineRule="exact"/>
        <w:ind w:left="620"/>
        <w:jc w:val="left"/>
      </w:pPr>
      <w:r>
        <w:t>Dodávka bude provázena protokolem o předáni a případně dalšími doklady - viz odst. 9.2</w:t>
      </w:r>
    </w:p>
    <w:p w:rsidR="00D92B90" w:rsidRDefault="00553CCE">
      <w:pPr>
        <w:pStyle w:val="Bodytext40"/>
        <w:framePr w:w="9254" w:h="1068" w:hRule="exact" w:wrap="none" w:vAnchor="page" w:hAnchor="page" w:x="1353" w:y="14104"/>
        <w:numPr>
          <w:ilvl w:val="0"/>
          <w:numId w:val="9"/>
        </w:numPr>
        <w:shd w:val="clear" w:color="auto" w:fill="auto"/>
        <w:tabs>
          <w:tab w:val="left" w:pos="2968"/>
        </w:tabs>
        <w:spacing w:after="113"/>
        <w:ind w:left="2560"/>
      </w:pPr>
      <w:r>
        <w:t>Kvalita zboží a technická dokumentace</w:t>
      </w:r>
    </w:p>
    <w:p w:rsidR="00D92B90" w:rsidRDefault="00553CCE">
      <w:pPr>
        <w:pStyle w:val="Bodytext20"/>
        <w:framePr w:w="9254" w:h="1068" w:hRule="exact" w:wrap="none" w:vAnchor="page" w:hAnchor="page" w:x="1353" w:y="14104"/>
        <w:numPr>
          <w:ilvl w:val="0"/>
          <w:numId w:val="10"/>
        </w:numPr>
        <w:shd w:val="clear" w:color="auto" w:fill="auto"/>
        <w:tabs>
          <w:tab w:val="left" w:pos="542"/>
        </w:tabs>
        <w:spacing w:before="0" w:line="221" w:lineRule="exact"/>
        <w:ind w:left="620"/>
      </w:pPr>
      <w:r>
        <w:t xml:space="preserve">Prodávající je povinen předat dodávku v požadované jakosti a ve stanovených dodacích termínech dle ustanovení této Smlouvy. Prodávající odpovídá za to, že dodávka má technické parametry stanovené v </w:t>
      </w:r>
      <w:r>
        <w:rPr>
          <w:rStyle w:val="Bodytext2Bold"/>
        </w:rPr>
        <w:t xml:space="preserve">Příloze </w:t>
      </w:r>
      <w:r>
        <w:t xml:space="preserve">č. </w:t>
      </w:r>
      <w:r>
        <w:rPr>
          <w:rStyle w:val="Bodytext2Bold"/>
        </w:rPr>
        <w:t xml:space="preserve">2 </w:t>
      </w:r>
      <w:r>
        <w:t>a další technické parametry sjednané ve smlou</w:t>
      </w:r>
      <w:r>
        <w:t>vě.</w:t>
      </w:r>
    </w:p>
    <w:p w:rsidR="00D92B90" w:rsidRDefault="00553CCE">
      <w:pPr>
        <w:pStyle w:val="Headerorfooter0"/>
        <w:framePr w:wrap="none" w:vAnchor="page" w:hAnchor="page" w:x="1344" w:y="15930"/>
        <w:shd w:val="clear" w:color="auto" w:fill="auto"/>
      </w:pPr>
      <w:r>
        <w:t>Kupní smlouva</w:t>
      </w:r>
    </w:p>
    <w:p w:rsidR="00D92B90" w:rsidRDefault="00553CCE">
      <w:pPr>
        <w:pStyle w:val="Headerorfooter20"/>
        <w:framePr w:wrap="none" w:vAnchor="page" w:hAnchor="page" w:x="10027" w:y="15939"/>
        <w:shd w:val="clear" w:color="auto" w:fill="auto"/>
      </w:pPr>
      <w:r>
        <w:t>2/5</w:t>
      </w:r>
    </w:p>
    <w:p w:rsidR="00D92B90" w:rsidRDefault="00D92B90">
      <w:pPr>
        <w:rPr>
          <w:sz w:val="2"/>
          <w:szCs w:val="2"/>
        </w:rPr>
        <w:sectPr w:rsidR="00D92B90">
          <w:pgSz w:w="11900" w:h="16840"/>
          <w:pgMar w:top="360" w:right="360" w:bottom="360" w:left="360" w:header="0" w:footer="3" w:gutter="0"/>
          <w:cols w:space="720"/>
          <w:noEndnote/>
          <w:docGrid w:linePitch="360"/>
        </w:sectPr>
      </w:pPr>
    </w:p>
    <w:p w:rsidR="00D92B90" w:rsidRDefault="00553CCE">
      <w:pPr>
        <w:pStyle w:val="Bodytext20"/>
        <w:framePr w:w="9274" w:h="12815" w:hRule="exact" w:wrap="none" w:vAnchor="page" w:hAnchor="page" w:x="1344" w:y="1758"/>
        <w:numPr>
          <w:ilvl w:val="0"/>
          <w:numId w:val="10"/>
        </w:numPr>
        <w:shd w:val="clear" w:color="auto" w:fill="auto"/>
        <w:tabs>
          <w:tab w:val="left" w:pos="518"/>
        </w:tabs>
        <w:spacing w:before="0" w:after="255" w:line="230" w:lineRule="exact"/>
        <w:ind w:left="600" w:hanging="600"/>
      </w:pPr>
      <w:r>
        <w:lastRenderedPageBreak/>
        <w:t>Prodávající se tímto dále zavazuje dodat dodávku se všemi doklady k tomu náležejícími, technickou dokumentací, návodem v českém jazyce, atesty a certifikáty a případné dalšími doklady, jsou-li potřebné k užíván</w:t>
      </w:r>
      <w:r>
        <w:t>í</w:t>
      </w:r>
    </w:p>
    <w:p w:rsidR="00D92B90" w:rsidRDefault="00553CCE">
      <w:pPr>
        <w:pStyle w:val="Heading20"/>
        <w:framePr w:w="9274" w:h="12815" w:hRule="exact" w:wrap="none" w:vAnchor="page" w:hAnchor="page" w:x="1344" w:y="1758"/>
        <w:numPr>
          <w:ilvl w:val="0"/>
          <w:numId w:val="9"/>
        </w:numPr>
        <w:shd w:val="clear" w:color="auto" w:fill="auto"/>
        <w:tabs>
          <w:tab w:val="left" w:pos="3966"/>
        </w:tabs>
        <w:spacing w:before="0" w:after="140"/>
        <w:ind w:left="3620"/>
      </w:pPr>
      <w:bookmarkStart w:id="9" w:name="bookmark9"/>
      <w:r>
        <w:t>Přechod vlastnictví</w:t>
      </w:r>
      <w:bookmarkEnd w:id="9"/>
    </w:p>
    <w:p w:rsidR="00D92B90" w:rsidRDefault="00553CCE">
      <w:pPr>
        <w:pStyle w:val="Bodytext20"/>
        <w:framePr w:w="9274" w:h="12815" w:hRule="exact" w:wrap="none" w:vAnchor="page" w:hAnchor="page" w:x="1344" w:y="1758"/>
        <w:numPr>
          <w:ilvl w:val="0"/>
          <w:numId w:val="11"/>
        </w:numPr>
        <w:shd w:val="clear" w:color="auto" w:fill="auto"/>
        <w:tabs>
          <w:tab w:val="left" w:pos="518"/>
        </w:tabs>
        <w:spacing w:before="0" w:after="240" w:line="212" w:lineRule="exact"/>
        <w:ind w:left="600" w:hanging="600"/>
      </w:pPr>
      <w:r>
        <w:t>Kupující nabývá vlastnického práva ke zboží okamžikem předáni, převzetí a zaplacení.</w:t>
      </w:r>
    </w:p>
    <w:p w:rsidR="00D92B90" w:rsidRDefault="00553CCE">
      <w:pPr>
        <w:pStyle w:val="Heading20"/>
        <w:framePr w:w="9274" w:h="12815" w:hRule="exact" w:wrap="none" w:vAnchor="page" w:hAnchor="page" w:x="1344" w:y="1758"/>
        <w:numPr>
          <w:ilvl w:val="0"/>
          <w:numId w:val="9"/>
        </w:numPr>
        <w:shd w:val="clear" w:color="auto" w:fill="auto"/>
        <w:tabs>
          <w:tab w:val="left" w:pos="4452"/>
        </w:tabs>
        <w:spacing w:before="0" w:after="125"/>
        <w:ind w:left="4020"/>
      </w:pPr>
      <w:bookmarkStart w:id="10" w:name="bookmark10"/>
      <w:r>
        <w:t>Vyšší moc</w:t>
      </w:r>
      <w:bookmarkEnd w:id="10"/>
    </w:p>
    <w:p w:rsidR="00D92B90" w:rsidRDefault="00553CCE">
      <w:pPr>
        <w:pStyle w:val="Bodytext20"/>
        <w:framePr w:w="9274" w:h="12815" w:hRule="exact" w:wrap="none" w:vAnchor="page" w:hAnchor="page" w:x="1344" w:y="1758"/>
        <w:numPr>
          <w:ilvl w:val="0"/>
          <w:numId w:val="12"/>
        </w:numPr>
        <w:shd w:val="clear" w:color="auto" w:fill="auto"/>
        <w:tabs>
          <w:tab w:val="left" w:pos="518"/>
        </w:tabs>
        <w:spacing w:before="0" w:after="244" w:line="230" w:lineRule="exact"/>
        <w:ind w:left="600" w:hanging="600"/>
      </w:pPr>
      <w:r>
        <w:t xml:space="preserve">Za okolnosti vylučující odpovědnost se považují případy vyšší moci dle ustanovení příslušného paragrafu občanského zákoníku. Za vyšší moc </w:t>
      </w:r>
      <w:r>
        <w:t>se považuje překážka, jež nastala nezávisle na vůli povinné strany a brání ji ve splnění její povinnosti, jestliže nelze rozumně předpokládat, že by povinná strana tuto překážku nebo její následky odvrátila nebo překonala, a dále, že by v době uzavření tét</w:t>
      </w:r>
      <w:r>
        <w:t>o smlouvy tuto překážku předvídala.</w:t>
      </w:r>
    </w:p>
    <w:p w:rsidR="00D92B90" w:rsidRDefault="00553CCE">
      <w:pPr>
        <w:pStyle w:val="Bodytext20"/>
        <w:framePr w:w="9274" w:h="12815" w:hRule="exact" w:wrap="none" w:vAnchor="page" w:hAnchor="page" w:x="1344" w:y="1758"/>
        <w:numPr>
          <w:ilvl w:val="0"/>
          <w:numId w:val="12"/>
        </w:numPr>
        <w:shd w:val="clear" w:color="auto" w:fill="auto"/>
        <w:tabs>
          <w:tab w:val="left" w:pos="518"/>
        </w:tabs>
        <w:spacing w:before="0" w:after="236" w:line="226" w:lineRule="exact"/>
        <w:ind w:left="600" w:hanging="600"/>
      </w:pPr>
      <w:r>
        <w:t>Odpovědnost smluvních stran nevylučuje taková překážka, která nastala teprve v době, kdy povinná strana byla v prodleni s plněním své povinnosti, nebo která vznikla z hospodářských poměrů povinné strany nebo překážka, kt</w:t>
      </w:r>
      <w:r>
        <w:t>erá prokazatelné a podstatně nemohla ovlivnit plnění dle této smlouvy.</w:t>
      </w:r>
    </w:p>
    <w:p w:rsidR="00D92B90" w:rsidRDefault="00553CCE">
      <w:pPr>
        <w:pStyle w:val="Bodytext20"/>
        <w:framePr w:w="9274" w:h="12815" w:hRule="exact" w:wrap="none" w:vAnchor="page" w:hAnchor="page" w:x="1344" w:y="1758"/>
        <w:numPr>
          <w:ilvl w:val="0"/>
          <w:numId w:val="12"/>
        </w:numPr>
        <w:shd w:val="clear" w:color="auto" w:fill="auto"/>
        <w:tabs>
          <w:tab w:val="left" w:pos="518"/>
        </w:tabs>
        <w:spacing w:before="0" w:after="244" w:line="230" w:lineRule="exact"/>
        <w:ind w:left="600" w:hanging="600"/>
      </w:pPr>
      <w:r>
        <w:t xml:space="preserve">Smluvní strana dovolávající se postižení vyšší mocí je povinna tuto skutečnost neprodlené písemné oznámit druhé smluvní straně (nejpozdéji do </w:t>
      </w:r>
      <w:r>
        <w:rPr>
          <w:rStyle w:val="Bodytext2Bold"/>
        </w:rPr>
        <w:t xml:space="preserve">10 kalendářních dnů </w:t>
      </w:r>
      <w:r>
        <w:t>od jejich vzniku) s urč</w:t>
      </w:r>
      <w:r>
        <w:t>ením povahy překážky, která jí brání nebo bude bránit v plnění povinnosti, předpokládanou délku trvání překážky a o jejich důsledcích a učinit veškerá dostupná opatření ke zmírnění následků neplnění smluvních povinnosti.</w:t>
      </w:r>
    </w:p>
    <w:p w:rsidR="00D92B90" w:rsidRDefault="00553CCE">
      <w:pPr>
        <w:pStyle w:val="Bodytext20"/>
        <w:framePr w:w="9274" w:h="12815" w:hRule="exact" w:wrap="none" w:vAnchor="page" w:hAnchor="page" w:x="1344" w:y="1758"/>
        <w:numPr>
          <w:ilvl w:val="0"/>
          <w:numId w:val="12"/>
        </w:numPr>
        <w:shd w:val="clear" w:color="auto" w:fill="auto"/>
        <w:tabs>
          <w:tab w:val="left" w:pos="518"/>
        </w:tabs>
        <w:spacing w:before="0" w:after="240" w:line="226" w:lineRule="exact"/>
        <w:ind w:left="600" w:hanging="600"/>
      </w:pPr>
      <w:r>
        <w:t xml:space="preserve">Dovolávající se smluvní strana se také zavazuje neprodlené písemné oznámit druhé straně o skončení účinku vyšší moci a písemný důkaz předložit nejpozději do </w:t>
      </w:r>
      <w:r>
        <w:rPr>
          <w:rStyle w:val="Bodytext2Bold"/>
        </w:rPr>
        <w:t xml:space="preserve">10 kalendářních dnů </w:t>
      </w:r>
      <w:r>
        <w:t>od jejího skončení popř po odstranění překážek, které mu bránily ve splněni sml</w:t>
      </w:r>
      <w:r>
        <w:t>uvních závazků Druhá smluvní strana je povinna přijetí takové zprávy bez zbytečného odkladu písemné potvrdit.</w:t>
      </w:r>
    </w:p>
    <w:p w:rsidR="00D92B90" w:rsidRDefault="00553CCE">
      <w:pPr>
        <w:pStyle w:val="Bodytext20"/>
        <w:framePr w:w="9274" w:h="12815" w:hRule="exact" w:wrap="none" w:vAnchor="page" w:hAnchor="page" w:x="1344" w:y="1758"/>
        <w:numPr>
          <w:ilvl w:val="0"/>
          <w:numId w:val="12"/>
        </w:numPr>
        <w:shd w:val="clear" w:color="auto" w:fill="auto"/>
        <w:tabs>
          <w:tab w:val="left" w:pos="518"/>
        </w:tabs>
        <w:spacing w:before="0" w:after="251" w:line="226" w:lineRule="exact"/>
        <w:ind w:left="600" w:hanging="600"/>
      </w:pPr>
      <w:r>
        <w:t xml:space="preserve">Pokud účinek vyšší moci prokazatelné trvá déle než </w:t>
      </w:r>
      <w:r>
        <w:rPr>
          <w:rStyle w:val="Bodytext2Bold"/>
        </w:rPr>
        <w:t xml:space="preserve">3 měsíce </w:t>
      </w:r>
      <w:r>
        <w:t>a pokud účinky vyšší moci prokazatelné brání některé smluvní straně v plnění závazků s</w:t>
      </w:r>
      <w:r>
        <w:t xml:space="preserve">jednaných v této smlouvě, mají obé smluvní strany právo odstoupit od této smlouvy postupem stanoveným </w:t>
      </w:r>
      <w:r>
        <w:rPr>
          <w:rStyle w:val="Bodytext2Bold"/>
        </w:rPr>
        <w:t xml:space="preserve">odst. 15.2 </w:t>
      </w:r>
      <w:r>
        <w:t>této smlouvy nebo dohodnout prodloužení dodacích termínů.</w:t>
      </w:r>
    </w:p>
    <w:p w:rsidR="00D92B90" w:rsidRDefault="00553CCE">
      <w:pPr>
        <w:pStyle w:val="Bodytext20"/>
        <w:framePr w:w="9274" w:h="12815" w:hRule="exact" w:wrap="none" w:vAnchor="page" w:hAnchor="page" w:x="1344" w:y="1758"/>
        <w:numPr>
          <w:ilvl w:val="0"/>
          <w:numId w:val="12"/>
        </w:numPr>
        <w:shd w:val="clear" w:color="auto" w:fill="auto"/>
        <w:tabs>
          <w:tab w:val="left" w:pos="518"/>
        </w:tabs>
        <w:spacing w:before="0" w:after="240" w:line="212" w:lineRule="exact"/>
        <w:ind w:left="600" w:hanging="600"/>
      </w:pPr>
      <w:r>
        <w:t xml:space="preserve">Vyšší moc vylučuje nárok na uplatnění smluvních pokut proti straně postižené vyšší </w:t>
      </w:r>
      <w:r>
        <w:t>mocí.</w:t>
      </w:r>
    </w:p>
    <w:p w:rsidR="00D92B90" w:rsidRDefault="00553CCE">
      <w:pPr>
        <w:pStyle w:val="Heading20"/>
        <w:framePr w:w="9274" w:h="12815" w:hRule="exact" w:wrap="none" w:vAnchor="page" w:hAnchor="page" w:x="1344" w:y="1758"/>
        <w:numPr>
          <w:ilvl w:val="0"/>
          <w:numId w:val="9"/>
        </w:numPr>
        <w:shd w:val="clear" w:color="auto" w:fill="auto"/>
        <w:tabs>
          <w:tab w:val="left" w:pos="4452"/>
        </w:tabs>
        <w:spacing w:before="0" w:after="129"/>
        <w:ind w:left="4020"/>
      </w:pPr>
      <w:bookmarkStart w:id="11" w:name="bookmark11"/>
      <w:r>
        <w:t>Záruky</w:t>
      </w:r>
      <w:bookmarkEnd w:id="11"/>
    </w:p>
    <w:p w:rsidR="00D92B90" w:rsidRDefault="00553CCE">
      <w:pPr>
        <w:pStyle w:val="Bodytext20"/>
        <w:framePr w:w="9274" w:h="12815" w:hRule="exact" w:wrap="none" w:vAnchor="page" w:hAnchor="page" w:x="1344" w:y="1758"/>
        <w:numPr>
          <w:ilvl w:val="0"/>
          <w:numId w:val="13"/>
        </w:numPr>
        <w:shd w:val="clear" w:color="auto" w:fill="auto"/>
        <w:tabs>
          <w:tab w:val="left" w:pos="518"/>
        </w:tabs>
        <w:spacing w:before="0" w:after="240" w:line="226" w:lineRule="exact"/>
        <w:ind w:left="600" w:hanging="600"/>
      </w:pPr>
      <w:r>
        <w:t xml:space="preserve">Na zboží dle této smlouvy poskytuje Prodávající záruku po dobu </w:t>
      </w:r>
      <w:r>
        <w:rPr>
          <w:rStyle w:val="Bodytext2Bold"/>
        </w:rPr>
        <w:t xml:space="preserve">24 měsíců, </w:t>
      </w:r>
      <w:r>
        <w:t>která začne běžet od okamžiku podpisu předávacího protokolu oprávněnými zástupci obou smluvních stran při kompletním dodání zboží, tj. od uvedení do provozu a proškoleni</w:t>
      </w:r>
      <w:r>
        <w:t xml:space="preserve"> obsluhy.</w:t>
      </w:r>
    </w:p>
    <w:p w:rsidR="00D92B90" w:rsidRDefault="00553CCE">
      <w:pPr>
        <w:pStyle w:val="Bodytext20"/>
        <w:framePr w:w="9274" w:h="12815" w:hRule="exact" w:wrap="none" w:vAnchor="page" w:hAnchor="page" w:x="1344" w:y="1758"/>
        <w:numPr>
          <w:ilvl w:val="0"/>
          <w:numId w:val="13"/>
        </w:numPr>
        <w:shd w:val="clear" w:color="auto" w:fill="auto"/>
        <w:tabs>
          <w:tab w:val="left" w:pos="518"/>
        </w:tabs>
        <w:spacing w:before="0" w:after="251" w:line="226" w:lineRule="exact"/>
        <w:ind w:left="600" w:hanging="600"/>
      </w:pPr>
      <w:r>
        <w:t>Prodávající se zavazuje bezplatné odstranit jakékoliv vady zboží, které vznikly nebo které se projevily v průběhu záruční doby, a to ve lhůté 5 pracovních dnů ode dne jejich oznámení Kupujícím, nebo ve stejné lhůté řádně uspokojit jiný smluvní či</w:t>
      </w:r>
      <w:r>
        <w:t xml:space="preserve"> zákonný nárok uplatněný Kupujícím u Prodávajícího z titulu odpovědnosti za vady zboží.</w:t>
      </w:r>
    </w:p>
    <w:p w:rsidR="00D92B90" w:rsidRDefault="00553CCE">
      <w:pPr>
        <w:pStyle w:val="Bodytext20"/>
        <w:framePr w:w="9274" w:h="12815" w:hRule="exact" w:wrap="none" w:vAnchor="page" w:hAnchor="page" w:x="1344" w:y="1758"/>
        <w:numPr>
          <w:ilvl w:val="0"/>
          <w:numId w:val="14"/>
        </w:numPr>
        <w:shd w:val="clear" w:color="auto" w:fill="auto"/>
        <w:tabs>
          <w:tab w:val="left" w:pos="330"/>
        </w:tabs>
        <w:spacing w:before="0" w:after="240" w:line="212" w:lineRule="exact"/>
        <w:ind w:left="600" w:hanging="600"/>
      </w:pPr>
      <w:r>
        <w:t>3 V záruční době bude servis v pracovních dnech zajištěn do 24 hod po ohlášeni.</w:t>
      </w:r>
    </w:p>
    <w:p w:rsidR="00D92B90" w:rsidRDefault="00553CCE">
      <w:pPr>
        <w:pStyle w:val="Heading20"/>
        <w:framePr w:w="9274" w:h="12815" w:hRule="exact" w:wrap="none" w:vAnchor="page" w:hAnchor="page" w:x="1344" w:y="1758"/>
        <w:numPr>
          <w:ilvl w:val="0"/>
          <w:numId w:val="9"/>
        </w:numPr>
        <w:shd w:val="clear" w:color="auto" w:fill="auto"/>
        <w:tabs>
          <w:tab w:val="left" w:pos="3714"/>
        </w:tabs>
        <w:spacing w:before="0" w:after="129"/>
        <w:ind w:left="3200"/>
      </w:pPr>
      <w:bookmarkStart w:id="12" w:name="bookmark12"/>
      <w:r>
        <w:t>Ochrana důvěrných informací</w:t>
      </w:r>
      <w:bookmarkEnd w:id="12"/>
    </w:p>
    <w:p w:rsidR="00D92B90" w:rsidRDefault="00553CCE">
      <w:pPr>
        <w:pStyle w:val="Bodytext20"/>
        <w:framePr w:w="9274" w:h="12815" w:hRule="exact" w:wrap="none" w:vAnchor="page" w:hAnchor="page" w:x="1344" w:y="1758"/>
        <w:numPr>
          <w:ilvl w:val="0"/>
          <w:numId w:val="14"/>
        </w:numPr>
        <w:shd w:val="clear" w:color="auto" w:fill="auto"/>
        <w:tabs>
          <w:tab w:val="left" w:pos="332"/>
        </w:tabs>
        <w:spacing w:before="0" w:line="226" w:lineRule="exact"/>
        <w:ind w:left="600" w:hanging="600"/>
      </w:pPr>
      <w:r>
        <w:t xml:space="preserve">1 Smluvní strany se dále zavazují, že uchovají v tajnosti </w:t>
      </w:r>
      <w:r>
        <w:t>veškeré informace, které o sobě a o této</w:t>
      </w:r>
    </w:p>
    <w:p w:rsidR="00D92B90" w:rsidRDefault="00553CCE">
      <w:pPr>
        <w:pStyle w:val="Bodytext20"/>
        <w:framePr w:w="9274" w:h="12815" w:hRule="exact" w:wrap="none" w:vAnchor="page" w:hAnchor="page" w:x="1344" w:y="1758"/>
        <w:shd w:val="clear" w:color="auto" w:fill="auto"/>
        <w:spacing w:before="0" w:line="226" w:lineRule="exact"/>
        <w:ind w:left="600" w:firstLine="0"/>
      </w:pPr>
      <w:r>
        <w:t>smlouvě navzájem získaly v průběhu uzavírání a plněni této smlouvy a které nejsou veřejně přístupné, a to po skončení platnosti této smlouvy.</w:t>
      </w:r>
    </w:p>
    <w:p w:rsidR="00D92B90" w:rsidRDefault="00553CCE">
      <w:pPr>
        <w:pStyle w:val="Headerorfooter0"/>
        <w:framePr w:wrap="none" w:vAnchor="page" w:hAnchor="page" w:x="1320" w:y="16035"/>
        <w:shd w:val="clear" w:color="auto" w:fill="auto"/>
      </w:pPr>
      <w:r>
        <w:t>Kupní smlouva</w:t>
      </w:r>
    </w:p>
    <w:p w:rsidR="00D92B90" w:rsidRDefault="00553CCE">
      <w:pPr>
        <w:pStyle w:val="Headerorfooter20"/>
        <w:framePr w:wrap="none" w:vAnchor="page" w:hAnchor="page" w:x="9979" w:y="16040"/>
        <w:shd w:val="clear" w:color="auto" w:fill="auto"/>
      </w:pPr>
      <w:r>
        <w:t>3/5</w:t>
      </w:r>
    </w:p>
    <w:p w:rsidR="00D92B90" w:rsidRDefault="00D92B90">
      <w:pPr>
        <w:rPr>
          <w:sz w:val="2"/>
          <w:szCs w:val="2"/>
        </w:rPr>
        <w:sectPr w:rsidR="00D92B90">
          <w:pgSz w:w="11900" w:h="16840"/>
          <w:pgMar w:top="360" w:right="360" w:bottom="360" w:left="360" w:header="0" w:footer="3" w:gutter="0"/>
          <w:cols w:space="720"/>
          <w:noEndnote/>
          <w:docGrid w:linePitch="360"/>
        </w:sectPr>
      </w:pPr>
    </w:p>
    <w:p w:rsidR="00D92B90" w:rsidRDefault="00553CCE">
      <w:pPr>
        <w:pStyle w:val="Bodytext20"/>
        <w:framePr w:w="9278" w:h="6029" w:hRule="exact" w:wrap="none" w:vAnchor="page" w:hAnchor="page" w:x="1341" w:y="1682"/>
        <w:numPr>
          <w:ilvl w:val="1"/>
          <w:numId w:val="14"/>
        </w:numPr>
        <w:shd w:val="clear" w:color="auto" w:fill="auto"/>
        <w:tabs>
          <w:tab w:val="left" w:pos="533"/>
        </w:tabs>
        <w:spacing w:before="0" w:after="255" w:line="230" w:lineRule="exact"/>
        <w:ind w:left="600" w:hanging="600"/>
      </w:pPr>
      <w:r>
        <w:t>Bez ohledu na výše uvedená usta</w:t>
      </w:r>
      <w:r>
        <w:t>novení se za důvěrné nebudou považovat informace dodané druhou smluvní stranou, které:</w:t>
      </w:r>
    </w:p>
    <w:p w:rsidR="00D92B90" w:rsidRDefault="00553CCE">
      <w:pPr>
        <w:pStyle w:val="Bodytext20"/>
        <w:framePr w:w="9278" w:h="6029" w:hRule="exact" w:wrap="none" w:vAnchor="page" w:hAnchor="page" w:x="1341" w:y="1682"/>
        <w:numPr>
          <w:ilvl w:val="0"/>
          <w:numId w:val="15"/>
        </w:numPr>
        <w:shd w:val="clear" w:color="auto" w:fill="auto"/>
        <w:tabs>
          <w:tab w:val="left" w:pos="961"/>
        </w:tabs>
        <w:spacing w:before="0" w:after="225" w:line="212" w:lineRule="exact"/>
        <w:ind w:left="980" w:hanging="380"/>
      </w:pPr>
      <w:r>
        <w:t>jsou nebo se stanou, nikoli však chybou přijímací strany, veřejné známé;</w:t>
      </w:r>
    </w:p>
    <w:p w:rsidR="00D92B90" w:rsidRDefault="00553CCE">
      <w:pPr>
        <w:pStyle w:val="Bodytext20"/>
        <w:framePr w:w="9278" w:h="6029" w:hRule="exact" w:wrap="none" w:vAnchor="page" w:hAnchor="page" w:x="1341" w:y="1682"/>
        <w:numPr>
          <w:ilvl w:val="0"/>
          <w:numId w:val="15"/>
        </w:numPr>
        <w:shd w:val="clear" w:color="auto" w:fill="auto"/>
        <w:tabs>
          <w:tab w:val="left" w:pos="961"/>
        </w:tabs>
        <w:spacing w:before="0" w:after="236" w:line="230" w:lineRule="exact"/>
        <w:ind w:left="980" w:hanging="380"/>
      </w:pPr>
      <w:r>
        <w:t>byly přijímací straně známy již v době, kdy byly zveřejněny, jak prokazují písemné dokumenty;</w:t>
      </w:r>
    </w:p>
    <w:p w:rsidR="00D92B90" w:rsidRDefault="00553CCE">
      <w:pPr>
        <w:pStyle w:val="Bodytext20"/>
        <w:framePr w:w="9278" w:h="6029" w:hRule="exact" w:wrap="none" w:vAnchor="page" w:hAnchor="page" w:x="1341" w:y="1682"/>
        <w:numPr>
          <w:ilvl w:val="0"/>
          <w:numId w:val="15"/>
        </w:numPr>
        <w:shd w:val="clear" w:color="auto" w:fill="auto"/>
        <w:tabs>
          <w:tab w:val="left" w:pos="961"/>
        </w:tabs>
        <w:spacing w:before="0" w:after="248" w:line="235" w:lineRule="exact"/>
        <w:ind w:left="980" w:hanging="380"/>
      </w:pPr>
      <w:r>
        <w:t>byly nezávisle získány přijímající stranou bez odkazování se nebo používání informaci obdržených od poskytující strany;</w:t>
      </w:r>
    </w:p>
    <w:p w:rsidR="00D92B90" w:rsidRDefault="00553CCE">
      <w:pPr>
        <w:pStyle w:val="Bodytext20"/>
        <w:framePr w:w="9278" w:h="6029" w:hRule="exact" w:wrap="none" w:vAnchor="page" w:hAnchor="page" w:x="1341" w:y="1682"/>
        <w:numPr>
          <w:ilvl w:val="0"/>
          <w:numId w:val="15"/>
        </w:numPr>
        <w:shd w:val="clear" w:color="auto" w:fill="auto"/>
        <w:tabs>
          <w:tab w:val="left" w:pos="961"/>
        </w:tabs>
        <w:spacing w:before="0" w:after="236" w:line="226" w:lineRule="exact"/>
        <w:ind w:left="980" w:hanging="380"/>
      </w:pPr>
      <w:r>
        <w:t>přijímající strana obdržela zákonným způsobem od třetí strany, nebo musí podle zákona přijímající strana sdělit.</w:t>
      </w:r>
    </w:p>
    <w:p w:rsidR="00D92B90" w:rsidRDefault="00553CCE">
      <w:pPr>
        <w:pStyle w:val="Bodytext20"/>
        <w:framePr w:w="9278" w:h="6029" w:hRule="exact" w:wrap="none" w:vAnchor="page" w:hAnchor="page" w:x="1341" w:y="1682"/>
        <w:numPr>
          <w:ilvl w:val="1"/>
          <w:numId w:val="14"/>
        </w:numPr>
        <w:shd w:val="clear" w:color="auto" w:fill="auto"/>
        <w:tabs>
          <w:tab w:val="left" w:pos="533"/>
        </w:tabs>
        <w:spacing w:before="0" w:after="255" w:line="230" w:lineRule="exact"/>
        <w:ind w:left="600" w:hanging="600"/>
      </w:pPr>
      <w:r>
        <w:t>Ustanoveni § 17 a násl.</w:t>
      </w:r>
      <w:r>
        <w:t xml:space="preserve"> (obchodní tajemství) Obchodního zákoníku nejsou tímto článkem dotčena.</w:t>
      </w:r>
    </w:p>
    <w:p w:rsidR="00D92B90" w:rsidRDefault="00553CCE">
      <w:pPr>
        <w:pStyle w:val="Heading20"/>
        <w:framePr w:w="9278" w:h="6029" w:hRule="exact" w:wrap="none" w:vAnchor="page" w:hAnchor="page" w:x="1341" w:y="1682"/>
        <w:numPr>
          <w:ilvl w:val="0"/>
          <w:numId w:val="9"/>
        </w:numPr>
        <w:shd w:val="clear" w:color="auto" w:fill="auto"/>
        <w:tabs>
          <w:tab w:val="left" w:pos="4172"/>
        </w:tabs>
        <w:spacing w:before="0" w:after="109"/>
        <w:ind w:left="3620"/>
      </w:pPr>
      <w:bookmarkStart w:id="13" w:name="bookmark13"/>
      <w:r>
        <w:t>Smluvní pokuty</w:t>
      </w:r>
      <w:bookmarkEnd w:id="13"/>
    </w:p>
    <w:p w:rsidR="00D92B90" w:rsidRDefault="00553CCE">
      <w:pPr>
        <w:pStyle w:val="Bodytext20"/>
        <w:framePr w:w="9278" w:h="6029" w:hRule="exact" w:wrap="none" w:vAnchor="page" w:hAnchor="page" w:x="1341" w:y="1682"/>
        <w:numPr>
          <w:ilvl w:val="0"/>
          <w:numId w:val="16"/>
        </w:numPr>
        <w:shd w:val="clear" w:color="auto" w:fill="auto"/>
        <w:tabs>
          <w:tab w:val="left" w:pos="533"/>
        </w:tabs>
        <w:spacing w:before="0" w:after="236" w:line="226" w:lineRule="exact"/>
        <w:ind w:left="600" w:hanging="600"/>
      </w:pPr>
      <w:r>
        <w:t>Smluvní strany se dohodly, že v případě prodlení s termínem dodání zboží je Prodávající povinen Kupujícímu zaplatit smluvní pokutu ve výši 0,05 % z ceny dodávky za každý</w:t>
      </w:r>
      <w:r>
        <w:t xml:space="preserve"> započatý den prodlení, nejvýše však 5%.</w:t>
      </w:r>
    </w:p>
    <w:p w:rsidR="00D92B90" w:rsidRDefault="00553CCE">
      <w:pPr>
        <w:pStyle w:val="Bodytext20"/>
        <w:framePr w:w="9278" w:h="6029" w:hRule="exact" w:wrap="none" w:vAnchor="page" w:hAnchor="page" w:x="1341" w:y="1682"/>
        <w:numPr>
          <w:ilvl w:val="0"/>
          <w:numId w:val="16"/>
        </w:numPr>
        <w:shd w:val="clear" w:color="auto" w:fill="auto"/>
        <w:tabs>
          <w:tab w:val="left" w:pos="533"/>
        </w:tabs>
        <w:spacing w:before="0" w:line="230" w:lineRule="exact"/>
        <w:ind w:left="600" w:hanging="600"/>
      </w:pPr>
      <w:r>
        <w:t>Smluvní strany se dohodly, že v případě prodlení se zaplacením zboží po termínu splatnosti je Kupující povinen zaplatit Prodávajícímu smluvní pokutu ve výši 0,05 % z ceny dodávky za každý započatý den prodlení, nejv</w:t>
      </w:r>
      <w:r>
        <w:t>ýše však 5%</w:t>
      </w:r>
    </w:p>
    <w:p w:rsidR="00D92B90" w:rsidRDefault="00553CCE">
      <w:pPr>
        <w:pStyle w:val="Heading20"/>
        <w:framePr w:w="9278" w:h="7048" w:hRule="exact" w:wrap="none" w:vAnchor="page" w:hAnchor="page" w:x="1341" w:y="8373"/>
        <w:numPr>
          <w:ilvl w:val="0"/>
          <w:numId w:val="9"/>
        </w:numPr>
        <w:shd w:val="clear" w:color="auto" w:fill="auto"/>
        <w:tabs>
          <w:tab w:val="left" w:pos="3434"/>
        </w:tabs>
        <w:spacing w:before="0" w:after="105"/>
        <w:ind w:left="2980"/>
      </w:pPr>
      <w:bookmarkStart w:id="14" w:name="bookmark14"/>
      <w:r>
        <w:t>Trvání smlouvy a její ukončení</w:t>
      </w:r>
      <w:bookmarkEnd w:id="14"/>
    </w:p>
    <w:p w:rsidR="00D92B90" w:rsidRDefault="00553CCE">
      <w:pPr>
        <w:pStyle w:val="Bodytext20"/>
        <w:framePr w:w="9278" w:h="7048" w:hRule="exact" w:wrap="none" w:vAnchor="page" w:hAnchor="page" w:x="1341" w:y="8373"/>
        <w:numPr>
          <w:ilvl w:val="0"/>
          <w:numId w:val="17"/>
        </w:numPr>
        <w:shd w:val="clear" w:color="auto" w:fill="auto"/>
        <w:tabs>
          <w:tab w:val="left" w:pos="533"/>
        </w:tabs>
        <w:spacing w:before="0" w:after="135" w:line="230" w:lineRule="exact"/>
        <w:ind w:left="600" w:hanging="600"/>
      </w:pPr>
      <w:r>
        <w:t>Smlouva nabývá platnosti a účinnosti dnem jejího podepsání oběma smluvními stranami, přičemž rozhoduje pozdější datum podpisu.</w:t>
      </w:r>
    </w:p>
    <w:p w:rsidR="00D92B90" w:rsidRDefault="00553CCE">
      <w:pPr>
        <w:pStyle w:val="Bodytext20"/>
        <w:framePr w:w="9278" w:h="7048" w:hRule="exact" w:wrap="none" w:vAnchor="page" w:hAnchor="page" w:x="1341" w:y="8373"/>
        <w:numPr>
          <w:ilvl w:val="0"/>
          <w:numId w:val="17"/>
        </w:numPr>
        <w:shd w:val="clear" w:color="auto" w:fill="auto"/>
        <w:tabs>
          <w:tab w:val="left" w:pos="533"/>
        </w:tabs>
        <w:spacing w:before="0" w:after="105" w:line="212" w:lineRule="exact"/>
        <w:ind w:left="600" w:hanging="600"/>
      </w:pPr>
      <w:r>
        <w:t>Tato smlouva může být ukončena jedním z následujících způsobů:</w:t>
      </w:r>
    </w:p>
    <w:p w:rsidR="00D92B90" w:rsidRDefault="00553CCE">
      <w:pPr>
        <w:pStyle w:val="Bodytext20"/>
        <w:framePr w:w="9278" w:h="7048" w:hRule="exact" w:wrap="none" w:vAnchor="page" w:hAnchor="page" w:x="1341" w:y="8373"/>
        <w:numPr>
          <w:ilvl w:val="0"/>
          <w:numId w:val="18"/>
        </w:numPr>
        <w:shd w:val="clear" w:color="auto" w:fill="auto"/>
        <w:tabs>
          <w:tab w:val="left" w:pos="961"/>
        </w:tabs>
        <w:spacing w:before="0" w:after="244" w:line="230" w:lineRule="exact"/>
        <w:ind w:left="980" w:hanging="380"/>
      </w:pPr>
      <w:r>
        <w:t xml:space="preserve">písemnou dohodou </w:t>
      </w:r>
      <w:r>
        <w:t>smluvních stran, jejíž součásti je i vypořádáni vzájemných závazků a pohledávek, ke dni stanovenému v takové dohodě;</w:t>
      </w:r>
    </w:p>
    <w:p w:rsidR="00D92B90" w:rsidRDefault="00553CCE">
      <w:pPr>
        <w:pStyle w:val="Bodytext20"/>
        <w:framePr w:w="9278" w:h="7048" w:hRule="exact" w:wrap="none" w:vAnchor="page" w:hAnchor="page" w:x="1341" w:y="8373"/>
        <w:numPr>
          <w:ilvl w:val="0"/>
          <w:numId w:val="18"/>
        </w:numPr>
        <w:shd w:val="clear" w:color="auto" w:fill="auto"/>
        <w:tabs>
          <w:tab w:val="left" w:pos="961"/>
        </w:tabs>
        <w:spacing w:before="0" w:line="226" w:lineRule="exact"/>
        <w:ind w:left="980" w:hanging="380"/>
      </w:pPr>
      <w:r>
        <w:t>písemným odstoupením některé ze smluvních stran zejména kdy druhá smluvní strana neplní řádné povinnosti dle této smlouvy, byla na tuto sku</w:t>
      </w:r>
      <w:r>
        <w:t>tečnost písemné upozorněna a nezjednala nápravu ani v dodatečně poskytnuté přiměřené lhůté, která nesmi být kratší než 10</w:t>
      </w:r>
    </w:p>
    <w:p w:rsidR="00D92B90" w:rsidRDefault="00553CCE">
      <w:pPr>
        <w:pStyle w:val="Bodytext40"/>
        <w:framePr w:w="9278" w:h="7048" w:hRule="exact" w:wrap="none" w:vAnchor="page" w:hAnchor="page" w:x="1341" w:y="8373"/>
        <w:shd w:val="clear" w:color="auto" w:fill="auto"/>
        <w:spacing w:after="225"/>
        <w:ind w:left="980"/>
      </w:pPr>
      <w:r>
        <w:t>kalendářních dnů.</w:t>
      </w:r>
    </w:p>
    <w:p w:rsidR="00D92B90" w:rsidRDefault="00553CCE">
      <w:pPr>
        <w:pStyle w:val="Bodytext20"/>
        <w:framePr w:w="9278" w:h="7048" w:hRule="exact" w:wrap="none" w:vAnchor="page" w:hAnchor="page" w:x="1341" w:y="8373"/>
        <w:numPr>
          <w:ilvl w:val="0"/>
          <w:numId w:val="17"/>
        </w:numPr>
        <w:shd w:val="clear" w:color="auto" w:fill="auto"/>
        <w:tabs>
          <w:tab w:val="left" w:pos="533"/>
        </w:tabs>
        <w:spacing w:before="0" w:after="255" w:line="230" w:lineRule="exact"/>
        <w:ind w:left="600" w:hanging="600"/>
      </w:pPr>
      <w:r>
        <w:t xml:space="preserve">V případě zániku této smlouvy z jakéhokoli důvodu jsou smluvní strany povinny vypořádat si vzájemné nároky z této </w:t>
      </w:r>
      <w:r>
        <w:t>smlouvy do 30 kalendářních dnů od zániku smlouvy.</w:t>
      </w:r>
    </w:p>
    <w:p w:rsidR="00D92B90" w:rsidRDefault="00553CCE">
      <w:pPr>
        <w:pStyle w:val="Heading20"/>
        <w:framePr w:w="9278" w:h="7048" w:hRule="exact" w:wrap="none" w:vAnchor="page" w:hAnchor="page" w:x="1341" w:y="8373"/>
        <w:numPr>
          <w:ilvl w:val="0"/>
          <w:numId w:val="9"/>
        </w:numPr>
        <w:shd w:val="clear" w:color="auto" w:fill="auto"/>
        <w:tabs>
          <w:tab w:val="left" w:pos="3429"/>
        </w:tabs>
        <w:spacing w:before="0" w:after="109"/>
        <w:ind w:left="2860"/>
      </w:pPr>
      <w:bookmarkStart w:id="15" w:name="bookmark15"/>
      <w:r>
        <w:t>Ostatní a závěrečná ustanoveni</w:t>
      </w:r>
      <w:bookmarkEnd w:id="15"/>
    </w:p>
    <w:p w:rsidR="00D92B90" w:rsidRDefault="00553CCE">
      <w:pPr>
        <w:pStyle w:val="Bodytext20"/>
        <w:framePr w:w="9278" w:h="7048" w:hRule="exact" w:wrap="none" w:vAnchor="page" w:hAnchor="page" w:x="1341" w:y="8373"/>
        <w:shd w:val="clear" w:color="auto" w:fill="auto"/>
        <w:spacing w:before="0" w:after="120" w:line="226" w:lineRule="exact"/>
        <w:ind w:left="600" w:hanging="600"/>
      </w:pPr>
      <w:r>
        <w:t>16 1 Smluvní strany jsou povinny neprodlené si oznamovat změny týkající se své právní subjektivity, např. sloučení nebo splynutí s jiným subjektem, přechod závazků na právního</w:t>
      </w:r>
      <w:r>
        <w:t xml:space="preserve"> nástupce nebo třetí osobu (postupnika), jakož i jiné skutečnosti, které mohou ovlivnit plnění závazků z této smlouvy</w:t>
      </w:r>
    </w:p>
    <w:p w:rsidR="00D92B90" w:rsidRDefault="00553CCE">
      <w:pPr>
        <w:pStyle w:val="Bodytext20"/>
        <w:framePr w:w="9278" w:h="7048" w:hRule="exact" w:wrap="none" w:vAnchor="page" w:hAnchor="page" w:x="1341" w:y="8373"/>
        <w:numPr>
          <w:ilvl w:val="0"/>
          <w:numId w:val="19"/>
        </w:numPr>
        <w:shd w:val="clear" w:color="auto" w:fill="auto"/>
        <w:tabs>
          <w:tab w:val="left" w:pos="533"/>
        </w:tabs>
        <w:spacing w:before="0" w:after="131" w:line="226" w:lineRule="exact"/>
        <w:ind w:left="600" w:hanging="600"/>
      </w:pPr>
      <w:r>
        <w:t>Jednotlivé články této smlouvy včetně Příloh mohou být doplňovány, měněny nebo rušeny písemnými, vzájemně dohodnutými, číslovanými dodatky</w:t>
      </w:r>
      <w:r>
        <w:t xml:space="preserve"> podepsanými oprávněnými zástupci smluvních stran Údaje pro komunikaci je možné měnit písemným oznámením doručeným druhé smluvní straně, bez nutnosti uzavřít dodatek k této smlouvě.</w:t>
      </w:r>
    </w:p>
    <w:p w:rsidR="00D92B90" w:rsidRDefault="00553CCE">
      <w:pPr>
        <w:pStyle w:val="Bodytext20"/>
        <w:framePr w:w="9278" w:h="7048" w:hRule="exact" w:wrap="none" w:vAnchor="page" w:hAnchor="page" w:x="1341" w:y="8373"/>
        <w:numPr>
          <w:ilvl w:val="0"/>
          <w:numId w:val="19"/>
        </w:numPr>
        <w:shd w:val="clear" w:color="auto" w:fill="auto"/>
        <w:tabs>
          <w:tab w:val="left" w:pos="533"/>
        </w:tabs>
        <w:spacing w:before="0" w:after="113" w:line="212" w:lineRule="exact"/>
        <w:ind w:left="600" w:hanging="600"/>
      </w:pPr>
      <w:r>
        <w:t>Práva a závazky touto smlouvou neupravené se řídl právním řádem České repu</w:t>
      </w:r>
      <w:r>
        <w:t>bliky.</w:t>
      </w:r>
    </w:p>
    <w:p w:rsidR="00D92B90" w:rsidRDefault="00553CCE">
      <w:pPr>
        <w:pStyle w:val="Bodytext20"/>
        <w:framePr w:w="9278" w:h="7048" w:hRule="exact" w:wrap="none" w:vAnchor="page" w:hAnchor="page" w:x="1341" w:y="8373"/>
        <w:numPr>
          <w:ilvl w:val="0"/>
          <w:numId w:val="19"/>
        </w:numPr>
        <w:shd w:val="clear" w:color="auto" w:fill="auto"/>
        <w:tabs>
          <w:tab w:val="left" w:pos="533"/>
        </w:tabs>
        <w:spacing w:before="0" w:line="221" w:lineRule="exact"/>
        <w:ind w:left="600" w:hanging="600"/>
      </w:pPr>
      <w:r>
        <w:t>Případné spory, které by vzešly z této smlouvy nebo v souvislosti s ní, budou přednostně řešeny smírčí cestou Nedojde-li k dohodě smluvních stran, bude spor řešen u věcně a místně příslušného soudu.</w:t>
      </w:r>
    </w:p>
    <w:p w:rsidR="00D92B90" w:rsidRDefault="00553CCE">
      <w:pPr>
        <w:pStyle w:val="Headerorfooter0"/>
        <w:framePr w:wrap="none" w:vAnchor="page" w:hAnchor="page" w:x="1322" w:y="15958"/>
        <w:shd w:val="clear" w:color="auto" w:fill="auto"/>
      </w:pPr>
      <w:r>
        <w:t>Kupní smlouva</w:t>
      </w:r>
    </w:p>
    <w:p w:rsidR="00D92B90" w:rsidRDefault="00553CCE">
      <w:pPr>
        <w:pStyle w:val="Headerorfooter20"/>
        <w:framePr w:wrap="none" w:vAnchor="page" w:hAnchor="page" w:x="9996" w:y="15958"/>
        <w:shd w:val="clear" w:color="auto" w:fill="auto"/>
      </w:pPr>
      <w:r>
        <w:t>4/5</w:t>
      </w:r>
    </w:p>
    <w:p w:rsidR="00D92B90" w:rsidRDefault="00D92B90">
      <w:pPr>
        <w:rPr>
          <w:sz w:val="2"/>
          <w:szCs w:val="2"/>
        </w:rPr>
        <w:sectPr w:rsidR="00D92B90">
          <w:pgSz w:w="11900" w:h="16840"/>
          <w:pgMar w:top="360" w:right="360" w:bottom="360" w:left="360" w:header="0" w:footer="3" w:gutter="0"/>
          <w:cols w:space="720"/>
          <w:noEndnote/>
          <w:docGrid w:linePitch="360"/>
        </w:sectPr>
      </w:pPr>
    </w:p>
    <w:p w:rsidR="00D92B90" w:rsidRDefault="00553CCE">
      <w:pPr>
        <w:pStyle w:val="Bodytext20"/>
        <w:framePr w:w="9106" w:h="2996" w:hRule="exact" w:wrap="none" w:vAnchor="page" w:hAnchor="page" w:x="1428" w:y="1725"/>
        <w:numPr>
          <w:ilvl w:val="0"/>
          <w:numId w:val="19"/>
        </w:numPr>
        <w:shd w:val="clear" w:color="auto" w:fill="auto"/>
        <w:tabs>
          <w:tab w:val="left" w:pos="517"/>
        </w:tabs>
        <w:spacing w:before="0" w:after="120" w:line="230" w:lineRule="exact"/>
        <w:ind w:left="560" w:hanging="560"/>
      </w:pPr>
      <w:r>
        <w:t>Pokud by</w:t>
      </w:r>
      <w:r>
        <w:t xml:space="preserve"> se z jakéhokoli důvodu jakékoli ujednání této smlouvy stalo neplatným nebo nevymahatelným, neplatnost nebo nevymahatelnost takového ujednáni nebude mít vliv na platnost a účinnost zbývajících ujednáni, pokud z povahy tohoto ujednáni nebo z jeho obsahu nev</w:t>
      </w:r>
      <w:r>
        <w:t>yplývá, že neplatné nebo nevymahatelné ujednáni nelze oddělit od ostatního obsahu smlouvy. Pokud se jakékoli ujednání této smlouvy stane neplatným nebo nevymahatelným, zahájí smluvní strany jednání za účelem nové úpravy vzájemných vztahů tak, aby byl zacho</w:t>
      </w:r>
      <w:r>
        <w:t>ván původní záměr smlouvy.</w:t>
      </w:r>
    </w:p>
    <w:p w:rsidR="00D92B90" w:rsidRDefault="00553CCE">
      <w:pPr>
        <w:pStyle w:val="Bodytext20"/>
        <w:framePr w:w="9106" w:h="2996" w:hRule="exact" w:wrap="none" w:vAnchor="page" w:hAnchor="page" w:x="1428" w:y="1725"/>
        <w:numPr>
          <w:ilvl w:val="0"/>
          <w:numId w:val="19"/>
        </w:numPr>
        <w:shd w:val="clear" w:color="auto" w:fill="auto"/>
        <w:tabs>
          <w:tab w:val="left" w:pos="517"/>
        </w:tabs>
        <w:spacing w:before="0" w:after="135" w:line="230" w:lineRule="exact"/>
        <w:ind w:left="560" w:hanging="560"/>
      </w:pPr>
      <w:r>
        <w:t>Tato smlouva je vyhotovena ve dvou stejnopisech, z nichž každý má platnost originálu. Každá smluvní strana obdrží po jednom stejnopisu.</w:t>
      </w:r>
    </w:p>
    <w:p w:rsidR="00D92B90" w:rsidRDefault="00553CCE">
      <w:pPr>
        <w:pStyle w:val="Bodytext20"/>
        <w:framePr w:w="9106" w:h="2996" w:hRule="exact" w:wrap="none" w:vAnchor="page" w:hAnchor="page" w:x="1428" w:y="1725"/>
        <w:numPr>
          <w:ilvl w:val="0"/>
          <w:numId w:val="19"/>
        </w:numPr>
        <w:shd w:val="clear" w:color="auto" w:fill="auto"/>
        <w:tabs>
          <w:tab w:val="left" w:pos="517"/>
        </w:tabs>
        <w:spacing w:before="0" w:after="120" w:line="212" w:lineRule="exact"/>
        <w:ind w:left="560" w:hanging="560"/>
      </w:pPr>
      <w:r>
        <w:t>Nedílnou součást této smlouvy tvofí následující přílohy:</w:t>
      </w:r>
    </w:p>
    <w:p w:rsidR="00D92B90" w:rsidRDefault="00553CCE">
      <w:pPr>
        <w:pStyle w:val="Bodytext20"/>
        <w:framePr w:w="9106" w:h="2996" w:hRule="exact" w:wrap="none" w:vAnchor="page" w:hAnchor="page" w:x="1428" w:y="1725"/>
        <w:shd w:val="clear" w:color="auto" w:fill="auto"/>
        <w:spacing w:before="0" w:line="212" w:lineRule="exact"/>
        <w:ind w:left="560" w:firstLine="0"/>
        <w:jc w:val="left"/>
      </w:pPr>
      <w:r>
        <w:rPr>
          <w:rStyle w:val="Bodytext2Bold"/>
        </w:rPr>
        <w:t xml:space="preserve">Příloha </w:t>
      </w:r>
      <w:r>
        <w:t xml:space="preserve">č. 1 - Cenová nabídka č. </w:t>
      </w:r>
      <w:r>
        <w:t>1603, ze dne 16. 6. 2016.</w:t>
      </w:r>
    </w:p>
    <w:p w:rsidR="00D92B90" w:rsidRDefault="00553CCE">
      <w:pPr>
        <w:pStyle w:val="Picturecaption0"/>
        <w:framePr w:wrap="none" w:vAnchor="page" w:hAnchor="page" w:x="1389" w:y="5368"/>
        <w:shd w:val="clear" w:color="auto" w:fill="auto"/>
      </w:pPr>
      <w:r>
        <w:t>V Praze dne</w:t>
      </w:r>
    </w:p>
    <w:p w:rsidR="00D92B90" w:rsidRDefault="00AB14EC">
      <w:pPr>
        <w:framePr w:wrap="none" w:vAnchor="page" w:hAnchor="page" w:x="2791" w:y="5158"/>
        <w:rPr>
          <w:sz w:val="2"/>
          <w:szCs w:val="2"/>
        </w:rPr>
      </w:pPr>
      <w:r w:rsidRPr="00553CCE">
        <w:rPr>
          <w:noProof/>
          <w:highlight w:val="black"/>
          <w:lang w:bidi="ar-SA"/>
        </w:rPr>
        <w:drawing>
          <wp:inline distT="0" distB="0" distL="0" distR="0" wp14:anchorId="349130D5" wp14:editId="410B2722">
            <wp:extent cx="1038225" cy="257175"/>
            <wp:effectExtent l="0" t="0" r="9525" b="9525"/>
            <wp:docPr id="1" name="obrázek 1" descr="U:\Dokumenty\PU\Registr smluv\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kumenty\PU\Registr smluv\media\image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225" cy="257175"/>
                    </a:xfrm>
                    <a:prstGeom prst="rect">
                      <a:avLst/>
                    </a:prstGeom>
                    <a:noFill/>
                    <a:ln>
                      <a:noFill/>
                    </a:ln>
                  </pic:spPr>
                </pic:pic>
              </a:graphicData>
            </a:graphic>
          </wp:inline>
        </w:drawing>
      </w:r>
    </w:p>
    <w:p w:rsidR="00D92B90" w:rsidRDefault="00553CCE">
      <w:pPr>
        <w:pStyle w:val="Picturecaption0"/>
        <w:framePr w:wrap="none" w:vAnchor="page" w:hAnchor="page" w:x="6280" w:y="5386"/>
        <w:shd w:val="clear" w:color="auto" w:fill="auto"/>
      </w:pPr>
      <w:r>
        <w:t>V Ostravě dne</w:t>
      </w:r>
    </w:p>
    <w:p w:rsidR="00D92B90" w:rsidRDefault="00AB14EC">
      <w:pPr>
        <w:framePr w:wrap="none" w:vAnchor="page" w:hAnchor="page" w:x="7783" w:y="5182"/>
        <w:rPr>
          <w:sz w:val="2"/>
          <w:szCs w:val="2"/>
        </w:rPr>
      </w:pPr>
      <w:r>
        <w:rPr>
          <w:noProof/>
          <w:lang w:bidi="ar-SA"/>
        </w:rPr>
        <w:drawing>
          <wp:inline distT="0" distB="0" distL="0" distR="0">
            <wp:extent cx="1628775" cy="295275"/>
            <wp:effectExtent l="0" t="0" r="9525" b="9525"/>
            <wp:docPr id="2" name="obrázek 2" descr="U:\Dokumenty\PU\Registr smluv\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kumenty\PU\Registr smluv\media\image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8775" cy="295275"/>
                    </a:xfrm>
                    <a:prstGeom prst="rect">
                      <a:avLst/>
                    </a:prstGeom>
                    <a:noFill/>
                    <a:ln>
                      <a:noFill/>
                    </a:ln>
                  </pic:spPr>
                </pic:pic>
              </a:graphicData>
            </a:graphic>
          </wp:inline>
        </w:drawing>
      </w:r>
    </w:p>
    <w:p w:rsidR="00D92B90" w:rsidRDefault="00D92B90">
      <w:pPr>
        <w:framePr w:wrap="none" w:vAnchor="page" w:hAnchor="page" w:x="1384" w:y="6867"/>
        <w:rPr>
          <w:sz w:val="2"/>
          <w:szCs w:val="2"/>
        </w:rPr>
      </w:pPr>
    </w:p>
    <w:p w:rsidR="00D92B90" w:rsidRDefault="00D92B90">
      <w:pPr>
        <w:framePr w:wrap="none" w:vAnchor="page" w:hAnchor="page" w:x="6242" w:y="6512"/>
        <w:rPr>
          <w:sz w:val="2"/>
          <w:szCs w:val="2"/>
        </w:rPr>
      </w:pPr>
      <w:bookmarkStart w:id="16" w:name="_GoBack"/>
      <w:bookmarkEnd w:id="16"/>
    </w:p>
    <w:p w:rsidR="00D92B90" w:rsidRDefault="00553CCE">
      <w:pPr>
        <w:pStyle w:val="Bodytext20"/>
        <w:framePr w:w="2515" w:h="1041" w:hRule="exact" w:wrap="none" w:vAnchor="page" w:hAnchor="page" w:x="1519" w:y="7429"/>
        <w:shd w:val="clear" w:color="auto" w:fill="auto"/>
        <w:spacing w:before="0" w:line="456" w:lineRule="exact"/>
        <w:ind w:firstLine="0"/>
      </w:pPr>
      <w:r>
        <w:t>jméno: Ing. Jana Davídková funkce: předsedkyně úřadu</w:t>
      </w:r>
    </w:p>
    <w:p w:rsidR="00D92B90" w:rsidRDefault="00553CCE">
      <w:pPr>
        <w:pStyle w:val="Bodytext20"/>
        <w:framePr w:w="2486" w:h="975" w:hRule="exact" w:wrap="none" w:vAnchor="page" w:hAnchor="page" w:x="6453" w:y="7505"/>
        <w:shd w:val="clear" w:color="auto" w:fill="auto"/>
        <w:spacing w:before="0" w:line="456" w:lineRule="exact"/>
        <w:ind w:left="20" w:firstLine="0"/>
        <w:jc w:val="center"/>
      </w:pPr>
      <w:r>
        <w:t xml:space="preserve">jméno: Ing. </w:t>
      </w:r>
      <w:r>
        <w:t>Ludvík švardala</w:t>
      </w:r>
      <w:r>
        <w:br/>
        <w:t>funkce: jednatel</w:t>
      </w:r>
    </w:p>
    <w:p w:rsidR="00D92B90" w:rsidRDefault="00553CCE">
      <w:pPr>
        <w:pStyle w:val="Headerorfooter20"/>
        <w:framePr w:wrap="none" w:vAnchor="page" w:hAnchor="page" w:x="1274" w:y="16002"/>
        <w:shd w:val="clear" w:color="auto" w:fill="auto"/>
      </w:pPr>
      <w:r>
        <w:rPr>
          <w:rStyle w:val="Headerorfooter2Spacing0pt"/>
          <w:b/>
          <w:bCs/>
        </w:rPr>
        <w:t>Kupní smlouva</w:t>
      </w:r>
    </w:p>
    <w:p w:rsidR="00D92B90" w:rsidRDefault="00553CCE">
      <w:pPr>
        <w:pStyle w:val="Headerorfooter20"/>
        <w:framePr w:wrap="none" w:vAnchor="page" w:hAnchor="page" w:x="9866" w:y="16016"/>
        <w:shd w:val="clear" w:color="auto" w:fill="auto"/>
      </w:pPr>
      <w:r>
        <w:rPr>
          <w:rStyle w:val="Headerorfooter2Spacing0pt"/>
          <w:b/>
          <w:bCs/>
        </w:rPr>
        <w:t>5/5</w:t>
      </w:r>
    </w:p>
    <w:p w:rsidR="00D92B90" w:rsidRDefault="00D92B90">
      <w:pPr>
        <w:rPr>
          <w:sz w:val="2"/>
          <w:szCs w:val="2"/>
        </w:rPr>
      </w:pPr>
    </w:p>
    <w:sectPr w:rsidR="00D92B9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3CCE">
      <w:r>
        <w:separator/>
      </w:r>
    </w:p>
  </w:endnote>
  <w:endnote w:type="continuationSeparator" w:id="0">
    <w:p w:rsidR="00000000" w:rsidRDefault="0055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4EC" w:rsidRDefault="00AB14E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4EC" w:rsidRDefault="00AB14E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4EC" w:rsidRDefault="00AB14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90" w:rsidRDefault="00D92B90"/>
  </w:footnote>
  <w:footnote w:type="continuationSeparator" w:id="0">
    <w:p w:rsidR="00D92B90" w:rsidRDefault="00D92B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4EC" w:rsidRDefault="00AB14E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4EC" w:rsidRDefault="00AB14E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4EC" w:rsidRDefault="00AB14E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1B3E"/>
    <w:multiLevelType w:val="multilevel"/>
    <w:tmpl w:val="962C86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D7158"/>
    <w:multiLevelType w:val="multilevel"/>
    <w:tmpl w:val="0E4E4912"/>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312468"/>
    <w:multiLevelType w:val="multilevel"/>
    <w:tmpl w:val="D53CDA7E"/>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A70AFC"/>
    <w:multiLevelType w:val="multilevel"/>
    <w:tmpl w:val="29C02DD0"/>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D63E80"/>
    <w:multiLevelType w:val="multilevel"/>
    <w:tmpl w:val="044C58EC"/>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C22C8E"/>
    <w:multiLevelType w:val="multilevel"/>
    <w:tmpl w:val="22AC6182"/>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3B1C7E"/>
    <w:multiLevelType w:val="multilevel"/>
    <w:tmpl w:val="8800ECF0"/>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E77A8E"/>
    <w:multiLevelType w:val="multilevel"/>
    <w:tmpl w:val="D13809D4"/>
    <w:lvl w:ilvl="0">
      <w:start w:val="2"/>
      <w:numFmt w:val="decimal"/>
      <w:lvlText w:val="1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B733D"/>
    <w:multiLevelType w:val="multilevel"/>
    <w:tmpl w:val="77CA1B4A"/>
    <w:lvl w:ilvl="0">
      <w:start w:val="3"/>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447532"/>
    <w:multiLevelType w:val="multilevel"/>
    <w:tmpl w:val="C2A4A1EA"/>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2C559D"/>
    <w:multiLevelType w:val="multilevel"/>
    <w:tmpl w:val="74DCB19C"/>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2772CC"/>
    <w:multiLevelType w:val="multilevel"/>
    <w:tmpl w:val="9AE0132A"/>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3D25A2"/>
    <w:multiLevelType w:val="multilevel"/>
    <w:tmpl w:val="D8D87EE2"/>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4304A3"/>
    <w:multiLevelType w:val="multilevel"/>
    <w:tmpl w:val="3662D130"/>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DD1AB9"/>
    <w:multiLevelType w:val="multilevel"/>
    <w:tmpl w:val="BFEC3E90"/>
    <w:lvl w:ilvl="0">
      <w:start w:val="9"/>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E86B8F"/>
    <w:multiLevelType w:val="multilevel"/>
    <w:tmpl w:val="4D7C0EDC"/>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E24FFC"/>
    <w:multiLevelType w:val="multilevel"/>
    <w:tmpl w:val="97E0EC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EA00D9"/>
    <w:multiLevelType w:val="multilevel"/>
    <w:tmpl w:val="76285C20"/>
    <w:lvl w:ilvl="0">
      <w:start w:val="1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444E45"/>
    <w:multiLevelType w:val="multilevel"/>
    <w:tmpl w:val="F892AE9E"/>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2"/>
  </w:num>
  <w:num w:numId="4">
    <w:abstractNumId w:val="13"/>
  </w:num>
  <w:num w:numId="5">
    <w:abstractNumId w:val="11"/>
  </w:num>
  <w:num w:numId="6">
    <w:abstractNumId w:val="8"/>
  </w:num>
  <w:num w:numId="7">
    <w:abstractNumId w:val="6"/>
  </w:num>
  <w:num w:numId="8">
    <w:abstractNumId w:val="4"/>
  </w:num>
  <w:num w:numId="9">
    <w:abstractNumId w:val="14"/>
  </w:num>
  <w:num w:numId="10">
    <w:abstractNumId w:val="12"/>
  </w:num>
  <w:num w:numId="11">
    <w:abstractNumId w:val="1"/>
  </w:num>
  <w:num w:numId="12">
    <w:abstractNumId w:val="15"/>
  </w:num>
  <w:num w:numId="13">
    <w:abstractNumId w:val="3"/>
  </w:num>
  <w:num w:numId="14">
    <w:abstractNumId w:val="17"/>
  </w:num>
  <w:num w:numId="15">
    <w:abstractNumId w:val="16"/>
  </w:num>
  <w:num w:numId="16">
    <w:abstractNumId w:val="18"/>
  </w:num>
  <w:num w:numId="17">
    <w:abstractNumId w:val="9"/>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90"/>
    <w:rsid w:val="00553CCE"/>
    <w:rsid w:val="00AB14EC"/>
    <w:rsid w:val="00D92B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bCs/>
      <w:i w:val="0"/>
      <w:iCs w:val="0"/>
      <w:smallCaps w:val="0"/>
      <w:strike w:val="0"/>
      <w:sz w:val="30"/>
      <w:szCs w:val="30"/>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19"/>
      <w:szCs w:val="19"/>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Bodytext5">
    <w:name w:val="Body text (5)_"/>
    <w:basedOn w:val="Standardnpsmoodstavce"/>
    <w:link w:val="Bodytext50"/>
    <w:rPr>
      <w:rFonts w:ascii="Franklin Gothic Demi" w:eastAsia="Franklin Gothic Demi" w:hAnsi="Franklin Gothic Demi" w:cs="Franklin Gothic Demi"/>
      <w:b w:val="0"/>
      <w:bCs w:val="0"/>
      <w:i w:val="0"/>
      <w:iCs w:val="0"/>
      <w:smallCaps w:val="0"/>
      <w:strike w:val="0"/>
      <w:sz w:val="20"/>
      <w:szCs w:val="20"/>
      <w:u w:val="none"/>
    </w:rPr>
  </w:style>
  <w:style w:type="character" w:customStyle="1" w:styleId="Bodytext4">
    <w:name w:val="Body text (4)_"/>
    <w:basedOn w:val="Standardnpsmoodstavce"/>
    <w:link w:val="Bodytext40"/>
    <w:rPr>
      <w:rFonts w:ascii="Arial" w:eastAsia="Arial" w:hAnsi="Arial" w:cs="Arial"/>
      <w:b/>
      <w:bCs/>
      <w:i w:val="0"/>
      <w:iCs w:val="0"/>
      <w:smallCaps w:val="0"/>
      <w:strike w:val="0"/>
      <w:sz w:val="19"/>
      <w:szCs w:val="19"/>
      <w:u w:val="none"/>
    </w:rPr>
  </w:style>
  <w:style w:type="character" w:customStyle="1" w:styleId="Bodytext4NotBold">
    <w:name w:val="Body text (4) + Not Bold"/>
    <w:basedOn w:val="Bodytext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erorfooter">
    <w:name w:val="Header or footer_"/>
    <w:basedOn w:val="Standardnpsmoodstavce"/>
    <w:link w:val="Headerorfooter0"/>
    <w:rPr>
      <w:rFonts w:ascii="Arial" w:eastAsia="Arial" w:hAnsi="Arial" w:cs="Arial"/>
      <w:b/>
      <w:bCs/>
      <w:i w:val="0"/>
      <w:iCs w:val="0"/>
      <w:smallCaps w:val="0"/>
      <w:strike w:val="0"/>
      <w:sz w:val="14"/>
      <w:szCs w:val="14"/>
      <w:u w:val="none"/>
    </w:rPr>
  </w:style>
  <w:style w:type="character" w:customStyle="1" w:styleId="Headerorfooter2">
    <w:name w:val="Header or footer (2)_"/>
    <w:basedOn w:val="Standardnpsmoodstavce"/>
    <w:link w:val="Headerorfooter20"/>
    <w:rPr>
      <w:rFonts w:ascii="Arial" w:eastAsia="Arial" w:hAnsi="Arial" w:cs="Arial"/>
      <w:b/>
      <w:bCs/>
      <w:i w:val="0"/>
      <w:iCs w:val="0"/>
      <w:smallCaps w:val="0"/>
      <w:strike w:val="0"/>
      <w:spacing w:val="50"/>
      <w:sz w:val="14"/>
      <w:szCs w:val="14"/>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9"/>
      <w:szCs w:val="19"/>
      <w:u w:val="none"/>
    </w:rPr>
  </w:style>
  <w:style w:type="character" w:customStyle="1" w:styleId="Headerorfooter2Spacing0pt">
    <w:name w:val="Header or footer (2) + Spacing 0 pt"/>
    <w:basedOn w:val="Headerorfooter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paragraph" w:customStyle="1" w:styleId="Heading10">
    <w:name w:val="Heading #1"/>
    <w:basedOn w:val="Normln"/>
    <w:link w:val="Heading1"/>
    <w:pPr>
      <w:shd w:val="clear" w:color="auto" w:fill="FFFFFF"/>
      <w:spacing w:after="280" w:line="334" w:lineRule="exact"/>
      <w:outlineLvl w:val="0"/>
    </w:pPr>
    <w:rPr>
      <w:rFonts w:ascii="Arial" w:eastAsia="Arial" w:hAnsi="Arial" w:cs="Arial"/>
      <w:b/>
      <w:bCs/>
      <w:sz w:val="30"/>
      <w:szCs w:val="30"/>
    </w:rPr>
  </w:style>
  <w:style w:type="paragraph" w:customStyle="1" w:styleId="Heading20">
    <w:name w:val="Heading #2"/>
    <w:basedOn w:val="Normln"/>
    <w:link w:val="Heading2"/>
    <w:pPr>
      <w:shd w:val="clear" w:color="auto" w:fill="FFFFFF"/>
      <w:spacing w:before="280" w:line="212" w:lineRule="exact"/>
      <w:outlineLvl w:val="1"/>
    </w:pPr>
    <w:rPr>
      <w:rFonts w:ascii="Arial" w:eastAsia="Arial" w:hAnsi="Arial" w:cs="Arial"/>
      <w:b/>
      <w:bCs/>
      <w:sz w:val="19"/>
      <w:szCs w:val="19"/>
    </w:rPr>
  </w:style>
  <w:style w:type="paragraph" w:customStyle="1" w:styleId="Bodytext20">
    <w:name w:val="Body text (2)"/>
    <w:basedOn w:val="Normln"/>
    <w:link w:val="Bodytext2"/>
    <w:pPr>
      <w:shd w:val="clear" w:color="auto" w:fill="FFFFFF"/>
      <w:spacing w:before="240" w:line="355" w:lineRule="exact"/>
      <w:ind w:hanging="620"/>
      <w:jc w:val="both"/>
    </w:pPr>
    <w:rPr>
      <w:rFonts w:ascii="Arial" w:eastAsia="Arial" w:hAnsi="Arial" w:cs="Arial"/>
      <w:sz w:val="19"/>
      <w:szCs w:val="19"/>
    </w:rPr>
  </w:style>
  <w:style w:type="paragraph" w:customStyle="1" w:styleId="Bodytext30">
    <w:name w:val="Body text (3)"/>
    <w:basedOn w:val="Normln"/>
    <w:link w:val="Bodytext3"/>
    <w:pPr>
      <w:shd w:val="clear" w:color="auto" w:fill="FFFFFF"/>
      <w:spacing w:before="140" w:after="140" w:line="224" w:lineRule="exact"/>
      <w:jc w:val="both"/>
    </w:pPr>
    <w:rPr>
      <w:rFonts w:ascii="Arial" w:eastAsia="Arial" w:hAnsi="Arial" w:cs="Arial"/>
      <w:b/>
      <w:bCs/>
      <w:sz w:val="20"/>
      <w:szCs w:val="20"/>
    </w:rPr>
  </w:style>
  <w:style w:type="paragraph" w:customStyle="1" w:styleId="Bodytext50">
    <w:name w:val="Body text (5)"/>
    <w:basedOn w:val="Normln"/>
    <w:link w:val="Bodytext5"/>
    <w:pPr>
      <w:shd w:val="clear" w:color="auto" w:fill="FFFFFF"/>
      <w:spacing w:line="336" w:lineRule="exact"/>
    </w:pPr>
    <w:rPr>
      <w:rFonts w:ascii="Franklin Gothic Demi" w:eastAsia="Franklin Gothic Demi" w:hAnsi="Franklin Gothic Demi" w:cs="Franklin Gothic Demi"/>
      <w:sz w:val="20"/>
      <w:szCs w:val="20"/>
    </w:rPr>
  </w:style>
  <w:style w:type="paragraph" w:customStyle="1" w:styleId="Bodytext40">
    <w:name w:val="Body text (4)"/>
    <w:basedOn w:val="Normln"/>
    <w:link w:val="Bodytext4"/>
    <w:pPr>
      <w:shd w:val="clear" w:color="auto" w:fill="FFFFFF"/>
      <w:spacing w:after="200" w:line="212" w:lineRule="exact"/>
    </w:pPr>
    <w:rPr>
      <w:rFonts w:ascii="Arial" w:eastAsia="Arial" w:hAnsi="Arial" w:cs="Arial"/>
      <w:b/>
      <w:bCs/>
      <w:sz w:val="19"/>
      <w:szCs w:val="19"/>
    </w:rPr>
  </w:style>
  <w:style w:type="paragraph" w:customStyle="1" w:styleId="Headerorfooter0">
    <w:name w:val="Header or footer"/>
    <w:basedOn w:val="Normln"/>
    <w:link w:val="Headerorfooter"/>
    <w:pPr>
      <w:shd w:val="clear" w:color="auto" w:fill="FFFFFF"/>
      <w:spacing w:line="156" w:lineRule="exact"/>
    </w:pPr>
    <w:rPr>
      <w:rFonts w:ascii="Arial" w:eastAsia="Arial" w:hAnsi="Arial" w:cs="Arial"/>
      <w:b/>
      <w:bCs/>
      <w:sz w:val="14"/>
      <w:szCs w:val="14"/>
    </w:rPr>
  </w:style>
  <w:style w:type="paragraph" w:customStyle="1" w:styleId="Headerorfooter20">
    <w:name w:val="Header or footer (2)"/>
    <w:basedOn w:val="Normln"/>
    <w:link w:val="Headerorfooter2"/>
    <w:pPr>
      <w:shd w:val="clear" w:color="auto" w:fill="FFFFFF"/>
      <w:spacing w:line="156" w:lineRule="exact"/>
    </w:pPr>
    <w:rPr>
      <w:rFonts w:ascii="Arial" w:eastAsia="Arial" w:hAnsi="Arial" w:cs="Arial"/>
      <w:b/>
      <w:bCs/>
      <w:spacing w:val="50"/>
      <w:sz w:val="14"/>
      <w:szCs w:val="14"/>
    </w:rPr>
  </w:style>
  <w:style w:type="paragraph" w:customStyle="1" w:styleId="Picturecaption0">
    <w:name w:val="Picture caption"/>
    <w:basedOn w:val="Normln"/>
    <w:link w:val="Picturecaption"/>
    <w:pPr>
      <w:shd w:val="clear" w:color="auto" w:fill="FFFFFF"/>
      <w:spacing w:line="212" w:lineRule="exact"/>
    </w:pPr>
    <w:rPr>
      <w:rFonts w:ascii="Arial" w:eastAsia="Arial" w:hAnsi="Arial" w:cs="Arial"/>
      <w:sz w:val="19"/>
      <w:szCs w:val="19"/>
    </w:rPr>
  </w:style>
  <w:style w:type="paragraph" w:styleId="Zhlav">
    <w:name w:val="header"/>
    <w:basedOn w:val="Normln"/>
    <w:link w:val="ZhlavChar"/>
    <w:uiPriority w:val="99"/>
    <w:unhideWhenUsed/>
    <w:rsid w:val="00AB14EC"/>
    <w:pPr>
      <w:tabs>
        <w:tab w:val="center" w:pos="4536"/>
        <w:tab w:val="right" w:pos="9072"/>
      </w:tabs>
    </w:pPr>
  </w:style>
  <w:style w:type="character" w:customStyle="1" w:styleId="ZhlavChar">
    <w:name w:val="Záhlaví Char"/>
    <w:basedOn w:val="Standardnpsmoodstavce"/>
    <w:link w:val="Zhlav"/>
    <w:uiPriority w:val="99"/>
    <w:rsid w:val="00AB14EC"/>
    <w:rPr>
      <w:color w:val="000000"/>
    </w:rPr>
  </w:style>
  <w:style w:type="paragraph" w:styleId="Zpat">
    <w:name w:val="footer"/>
    <w:basedOn w:val="Normln"/>
    <w:link w:val="ZpatChar"/>
    <w:uiPriority w:val="99"/>
    <w:unhideWhenUsed/>
    <w:rsid w:val="00AB14EC"/>
    <w:pPr>
      <w:tabs>
        <w:tab w:val="center" w:pos="4536"/>
        <w:tab w:val="right" w:pos="9072"/>
      </w:tabs>
    </w:pPr>
  </w:style>
  <w:style w:type="character" w:customStyle="1" w:styleId="ZpatChar">
    <w:name w:val="Zápatí Char"/>
    <w:basedOn w:val="Standardnpsmoodstavce"/>
    <w:link w:val="Zpat"/>
    <w:uiPriority w:val="99"/>
    <w:rsid w:val="00AB14EC"/>
    <w:rPr>
      <w:color w:val="000000"/>
    </w:rPr>
  </w:style>
  <w:style w:type="paragraph" w:styleId="Textbubliny">
    <w:name w:val="Balloon Text"/>
    <w:basedOn w:val="Normln"/>
    <w:link w:val="TextbublinyChar"/>
    <w:uiPriority w:val="99"/>
    <w:semiHidden/>
    <w:unhideWhenUsed/>
    <w:rsid w:val="00553CCE"/>
    <w:rPr>
      <w:rFonts w:ascii="Tahoma" w:hAnsi="Tahoma" w:cs="Tahoma"/>
      <w:sz w:val="16"/>
      <w:szCs w:val="16"/>
    </w:rPr>
  </w:style>
  <w:style w:type="character" w:customStyle="1" w:styleId="TextbublinyChar">
    <w:name w:val="Text bubliny Char"/>
    <w:basedOn w:val="Standardnpsmoodstavce"/>
    <w:link w:val="Textbubliny"/>
    <w:uiPriority w:val="99"/>
    <w:semiHidden/>
    <w:rsid w:val="00553CC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bCs/>
      <w:i w:val="0"/>
      <w:iCs w:val="0"/>
      <w:smallCaps w:val="0"/>
      <w:strike w:val="0"/>
      <w:sz w:val="30"/>
      <w:szCs w:val="30"/>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19"/>
      <w:szCs w:val="19"/>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Bodytext5">
    <w:name w:val="Body text (5)_"/>
    <w:basedOn w:val="Standardnpsmoodstavce"/>
    <w:link w:val="Bodytext50"/>
    <w:rPr>
      <w:rFonts w:ascii="Franklin Gothic Demi" w:eastAsia="Franklin Gothic Demi" w:hAnsi="Franklin Gothic Demi" w:cs="Franklin Gothic Demi"/>
      <w:b w:val="0"/>
      <w:bCs w:val="0"/>
      <w:i w:val="0"/>
      <w:iCs w:val="0"/>
      <w:smallCaps w:val="0"/>
      <w:strike w:val="0"/>
      <w:sz w:val="20"/>
      <w:szCs w:val="20"/>
      <w:u w:val="none"/>
    </w:rPr>
  </w:style>
  <w:style w:type="character" w:customStyle="1" w:styleId="Bodytext4">
    <w:name w:val="Body text (4)_"/>
    <w:basedOn w:val="Standardnpsmoodstavce"/>
    <w:link w:val="Bodytext40"/>
    <w:rPr>
      <w:rFonts w:ascii="Arial" w:eastAsia="Arial" w:hAnsi="Arial" w:cs="Arial"/>
      <w:b/>
      <w:bCs/>
      <w:i w:val="0"/>
      <w:iCs w:val="0"/>
      <w:smallCaps w:val="0"/>
      <w:strike w:val="0"/>
      <w:sz w:val="19"/>
      <w:szCs w:val="19"/>
      <w:u w:val="none"/>
    </w:rPr>
  </w:style>
  <w:style w:type="character" w:customStyle="1" w:styleId="Bodytext4NotBold">
    <w:name w:val="Body text (4) + Not Bold"/>
    <w:basedOn w:val="Bodytext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erorfooter">
    <w:name w:val="Header or footer_"/>
    <w:basedOn w:val="Standardnpsmoodstavce"/>
    <w:link w:val="Headerorfooter0"/>
    <w:rPr>
      <w:rFonts w:ascii="Arial" w:eastAsia="Arial" w:hAnsi="Arial" w:cs="Arial"/>
      <w:b/>
      <w:bCs/>
      <w:i w:val="0"/>
      <w:iCs w:val="0"/>
      <w:smallCaps w:val="0"/>
      <w:strike w:val="0"/>
      <w:sz w:val="14"/>
      <w:szCs w:val="14"/>
      <w:u w:val="none"/>
    </w:rPr>
  </w:style>
  <w:style w:type="character" w:customStyle="1" w:styleId="Headerorfooter2">
    <w:name w:val="Header or footer (2)_"/>
    <w:basedOn w:val="Standardnpsmoodstavce"/>
    <w:link w:val="Headerorfooter20"/>
    <w:rPr>
      <w:rFonts w:ascii="Arial" w:eastAsia="Arial" w:hAnsi="Arial" w:cs="Arial"/>
      <w:b/>
      <w:bCs/>
      <w:i w:val="0"/>
      <w:iCs w:val="0"/>
      <w:smallCaps w:val="0"/>
      <w:strike w:val="0"/>
      <w:spacing w:val="50"/>
      <w:sz w:val="14"/>
      <w:szCs w:val="14"/>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9"/>
      <w:szCs w:val="19"/>
      <w:u w:val="none"/>
    </w:rPr>
  </w:style>
  <w:style w:type="character" w:customStyle="1" w:styleId="Headerorfooter2Spacing0pt">
    <w:name w:val="Header or footer (2) + Spacing 0 pt"/>
    <w:basedOn w:val="Headerorfooter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paragraph" w:customStyle="1" w:styleId="Heading10">
    <w:name w:val="Heading #1"/>
    <w:basedOn w:val="Normln"/>
    <w:link w:val="Heading1"/>
    <w:pPr>
      <w:shd w:val="clear" w:color="auto" w:fill="FFFFFF"/>
      <w:spacing w:after="280" w:line="334" w:lineRule="exact"/>
      <w:outlineLvl w:val="0"/>
    </w:pPr>
    <w:rPr>
      <w:rFonts w:ascii="Arial" w:eastAsia="Arial" w:hAnsi="Arial" w:cs="Arial"/>
      <w:b/>
      <w:bCs/>
      <w:sz w:val="30"/>
      <w:szCs w:val="30"/>
    </w:rPr>
  </w:style>
  <w:style w:type="paragraph" w:customStyle="1" w:styleId="Heading20">
    <w:name w:val="Heading #2"/>
    <w:basedOn w:val="Normln"/>
    <w:link w:val="Heading2"/>
    <w:pPr>
      <w:shd w:val="clear" w:color="auto" w:fill="FFFFFF"/>
      <w:spacing w:before="280" w:line="212" w:lineRule="exact"/>
      <w:outlineLvl w:val="1"/>
    </w:pPr>
    <w:rPr>
      <w:rFonts w:ascii="Arial" w:eastAsia="Arial" w:hAnsi="Arial" w:cs="Arial"/>
      <w:b/>
      <w:bCs/>
      <w:sz w:val="19"/>
      <w:szCs w:val="19"/>
    </w:rPr>
  </w:style>
  <w:style w:type="paragraph" w:customStyle="1" w:styleId="Bodytext20">
    <w:name w:val="Body text (2)"/>
    <w:basedOn w:val="Normln"/>
    <w:link w:val="Bodytext2"/>
    <w:pPr>
      <w:shd w:val="clear" w:color="auto" w:fill="FFFFFF"/>
      <w:spacing w:before="240" w:line="355" w:lineRule="exact"/>
      <w:ind w:hanging="620"/>
      <w:jc w:val="both"/>
    </w:pPr>
    <w:rPr>
      <w:rFonts w:ascii="Arial" w:eastAsia="Arial" w:hAnsi="Arial" w:cs="Arial"/>
      <w:sz w:val="19"/>
      <w:szCs w:val="19"/>
    </w:rPr>
  </w:style>
  <w:style w:type="paragraph" w:customStyle="1" w:styleId="Bodytext30">
    <w:name w:val="Body text (3)"/>
    <w:basedOn w:val="Normln"/>
    <w:link w:val="Bodytext3"/>
    <w:pPr>
      <w:shd w:val="clear" w:color="auto" w:fill="FFFFFF"/>
      <w:spacing w:before="140" w:after="140" w:line="224" w:lineRule="exact"/>
      <w:jc w:val="both"/>
    </w:pPr>
    <w:rPr>
      <w:rFonts w:ascii="Arial" w:eastAsia="Arial" w:hAnsi="Arial" w:cs="Arial"/>
      <w:b/>
      <w:bCs/>
      <w:sz w:val="20"/>
      <w:szCs w:val="20"/>
    </w:rPr>
  </w:style>
  <w:style w:type="paragraph" w:customStyle="1" w:styleId="Bodytext50">
    <w:name w:val="Body text (5)"/>
    <w:basedOn w:val="Normln"/>
    <w:link w:val="Bodytext5"/>
    <w:pPr>
      <w:shd w:val="clear" w:color="auto" w:fill="FFFFFF"/>
      <w:spacing w:line="336" w:lineRule="exact"/>
    </w:pPr>
    <w:rPr>
      <w:rFonts w:ascii="Franklin Gothic Demi" w:eastAsia="Franklin Gothic Demi" w:hAnsi="Franklin Gothic Demi" w:cs="Franklin Gothic Demi"/>
      <w:sz w:val="20"/>
      <w:szCs w:val="20"/>
    </w:rPr>
  </w:style>
  <w:style w:type="paragraph" w:customStyle="1" w:styleId="Bodytext40">
    <w:name w:val="Body text (4)"/>
    <w:basedOn w:val="Normln"/>
    <w:link w:val="Bodytext4"/>
    <w:pPr>
      <w:shd w:val="clear" w:color="auto" w:fill="FFFFFF"/>
      <w:spacing w:after="200" w:line="212" w:lineRule="exact"/>
    </w:pPr>
    <w:rPr>
      <w:rFonts w:ascii="Arial" w:eastAsia="Arial" w:hAnsi="Arial" w:cs="Arial"/>
      <w:b/>
      <w:bCs/>
      <w:sz w:val="19"/>
      <w:szCs w:val="19"/>
    </w:rPr>
  </w:style>
  <w:style w:type="paragraph" w:customStyle="1" w:styleId="Headerorfooter0">
    <w:name w:val="Header or footer"/>
    <w:basedOn w:val="Normln"/>
    <w:link w:val="Headerorfooter"/>
    <w:pPr>
      <w:shd w:val="clear" w:color="auto" w:fill="FFFFFF"/>
      <w:spacing w:line="156" w:lineRule="exact"/>
    </w:pPr>
    <w:rPr>
      <w:rFonts w:ascii="Arial" w:eastAsia="Arial" w:hAnsi="Arial" w:cs="Arial"/>
      <w:b/>
      <w:bCs/>
      <w:sz w:val="14"/>
      <w:szCs w:val="14"/>
    </w:rPr>
  </w:style>
  <w:style w:type="paragraph" w:customStyle="1" w:styleId="Headerorfooter20">
    <w:name w:val="Header or footer (2)"/>
    <w:basedOn w:val="Normln"/>
    <w:link w:val="Headerorfooter2"/>
    <w:pPr>
      <w:shd w:val="clear" w:color="auto" w:fill="FFFFFF"/>
      <w:spacing w:line="156" w:lineRule="exact"/>
    </w:pPr>
    <w:rPr>
      <w:rFonts w:ascii="Arial" w:eastAsia="Arial" w:hAnsi="Arial" w:cs="Arial"/>
      <w:b/>
      <w:bCs/>
      <w:spacing w:val="50"/>
      <w:sz w:val="14"/>
      <w:szCs w:val="14"/>
    </w:rPr>
  </w:style>
  <w:style w:type="paragraph" w:customStyle="1" w:styleId="Picturecaption0">
    <w:name w:val="Picture caption"/>
    <w:basedOn w:val="Normln"/>
    <w:link w:val="Picturecaption"/>
    <w:pPr>
      <w:shd w:val="clear" w:color="auto" w:fill="FFFFFF"/>
      <w:spacing w:line="212" w:lineRule="exact"/>
    </w:pPr>
    <w:rPr>
      <w:rFonts w:ascii="Arial" w:eastAsia="Arial" w:hAnsi="Arial" w:cs="Arial"/>
      <w:sz w:val="19"/>
      <w:szCs w:val="19"/>
    </w:rPr>
  </w:style>
  <w:style w:type="paragraph" w:styleId="Zhlav">
    <w:name w:val="header"/>
    <w:basedOn w:val="Normln"/>
    <w:link w:val="ZhlavChar"/>
    <w:uiPriority w:val="99"/>
    <w:unhideWhenUsed/>
    <w:rsid w:val="00AB14EC"/>
    <w:pPr>
      <w:tabs>
        <w:tab w:val="center" w:pos="4536"/>
        <w:tab w:val="right" w:pos="9072"/>
      </w:tabs>
    </w:pPr>
  </w:style>
  <w:style w:type="character" w:customStyle="1" w:styleId="ZhlavChar">
    <w:name w:val="Záhlaví Char"/>
    <w:basedOn w:val="Standardnpsmoodstavce"/>
    <w:link w:val="Zhlav"/>
    <w:uiPriority w:val="99"/>
    <w:rsid w:val="00AB14EC"/>
    <w:rPr>
      <w:color w:val="000000"/>
    </w:rPr>
  </w:style>
  <w:style w:type="paragraph" w:styleId="Zpat">
    <w:name w:val="footer"/>
    <w:basedOn w:val="Normln"/>
    <w:link w:val="ZpatChar"/>
    <w:uiPriority w:val="99"/>
    <w:unhideWhenUsed/>
    <w:rsid w:val="00AB14EC"/>
    <w:pPr>
      <w:tabs>
        <w:tab w:val="center" w:pos="4536"/>
        <w:tab w:val="right" w:pos="9072"/>
      </w:tabs>
    </w:pPr>
  </w:style>
  <w:style w:type="character" w:customStyle="1" w:styleId="ZpatChar">
    <w:name w:val="Zápatí Char"/>
    <w:basedOn w:val="Standardnpsmoodstavce"/>
    <w:link w:val="Zpat"/>
    <w:uiPriority w:val="99"/>
    <w:rsid w:val="00AB14EC"/>
    <w:rPr>
      <w:color w:val="000000"/>
    </w:rPr>
  </w:style>
  <w:style w:type="paragraph" w:styleId="Textbubliny">
    <w:name w:val="Balloon Text"/>
    <w:basedOn w:val="Normln"/>
    <w:link w:val="TextbublinyChar"/>
    <w:uiPriority w:val="99"/>
    <w:semiHidden/>
    <w:unhideWhenUsed/>
    <w:rsid w:val="00553CCE"/>
    <w:rPr>
      <w:rFonts w:ascii="Tahoma" w:hAnsi="Tahoma" w:cs="Tahoma"/>
      <w:sz w:val="16"/>
      <w:szCs w:val="16"/>
    </w:rPr>
  </w:style>
  <w:style w:type="character" w:customStyle="1" w:styleId="TextbublinyChar">
    <w:name w:val="Text bubliny Char"/>
    <w:basedOn w:val="Standardnpsmoodstavce"/>
    <w:link w:val="Textbubliny"/>
    <w:uiPriority w:val="99"/>
    <w:semiHidden/>
    <w:rsid w:val="00553CC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9700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2016-08-03T09:41:00Z</dcterms:created>
  <dcterms:modified xsi:type="dcterms:W3CDTF">2016-08-03T09:46:00Z</dcterms:modified>
</cp:coreProperties>
</file>