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5pt;margin-top:0.1pt;width:532.1pt;height:215.1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62" w:line="2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Nemocnice Třinec, příspěvková organizace</w:t>
                  </w:r>
                </w:p>
                <w:p>
                  <w:pPr>
                    <w:pStyle w:val="Style5"/>
                    <w:tabs>
                      <w:tab w:leader="none" w:pos="121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 w:val="0"/>
                      <w:bCs w:val="0"/>
                    </w:rPr>
                    <w:t>Inkasní data: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Komerční banka Třinec</w:t>
                  </w:r>
                </w:p>
                <w:p>
                  <w:pPr>
                    <w:pStyle w:val="Style5"/>
                    <w:tabs>
                      <w:tab w:leader="none" w:pos="113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7440" w:firstLine="126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č. ú. 29034-781 /0100 </w:t>
                  </w:r>
                  <w:r>
                    <w:rPr>
                      <w:rStyle w:val="CharStyle7"/>
                      <w:b w:val="0"/>
                      <w:bCs w:val="0"/>
                    </w:rPr>
                    <w:t>DIČ: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CZ00534242</w:t>
                  </w:r>
                </w:p>
                <w:p>
                  <w:pPr>
                    <w:pStyle w:val="Style5"/>
                    <w:tabs>
                      <w:tab w:leader="none" w:pos="113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 w:val="0"/>
                      <w:bCs w:val="0"/>
                    </w:rPr>
                    <w:t>IČO: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00534242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2"/>
                    <w:ind w:left="0" w:right="594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Organizace je zapsána v obchodním rejstříku vedeném u Krajského soudu v Ostravě v oddílu PR, vložce číslo 908.</w:t>
                  </w:r>
                </w:p>
                <w:p>
                  <w:pPr>
                    <w:pStyle w:val="Style8"/>
                    <w:tabs>
                      <w:tab w:leader="none" w:pos="26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2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Dopravní dispozice: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5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Dodací lhůta:</w:t>
                  </w:r>
                </w:p>
                <w:p>
                  <w:pPr>
                    <w:pStyle w:val="Style8"/>
                    <w:tabs>
                      <w:tab w:leader="none" w:pos="887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Specifikace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Ze dne: 23.04.2018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91.4pt;margin-top:0.1pt;width:243.pt;height:15.2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Kaštanová 268, Dolní Líštná, 739 61 Třinec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3.55pt;margin-top:30.85pt;width:205.9pt;height:16.8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none" w:pos="245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Objednávka číslo:</w:t>
                    <w:tab/>
                    <w:t>TNv00004/2018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5.15pt;margin-top:82.25pt;width:127.6pt;height:81.8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APL ELEKTRONIK s.r.o. Sluneční 697</w:t>
                  </w:r>
                  <w:bookmarkEnd w:id="0"/>
                </w:p>
                <w:p>
                  <w:pPr>
                    <w:pStyle w:val="Style11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 w:line="515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53341 Lázně Bohdaneě IČO: 28827198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.1pt;margin-top:229.1pt;width:529.55pt;height:59.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Objednáváme u Vás dodání kombinované lednice/mrazák Bolarus typ: WS/SN-711 M, dle Vaší cenové nabídky ze dne 23. 4. 2018 (cena 52 400,- Kč bez DPH).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3" w:lineRule="exact"/>
                    <w:ind w:left="0" w:right="824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Vnitřní vybavení následující: v části lednice - 3 police v části mrazáku - 3 šuplíky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5.e-002pt;margin-top:744.9pt;width:138.25pt;height:13.4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Vyhotovil: Galijaševičová Aurelie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5.15pt;margin-top:742.6pt;width:139.85pt;height:34.4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MUDr. Mgr. Zdeněk Matušek ředitel Nemocnice Třinec, p. o.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92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46" w:left="590" w:right="622" w:bottom="42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Základní text (4) Exact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Základní text (4) + Ne tučné Exact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9">
    <w:name w:val="Základní text (2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Základní text (2) + 12 pt,Řádkování 3 pt Exact"/>
    <w:basedOn w:val="CharStyle9"/>
    <w:rPr>
      <w:lang w:val="cs-CZ" w:eastAsia="cs-CZ" w:bidi="cs-CZ"/>
      <w:sz w:val="24"/>
      <w:szCs w:val="24"/>
      <w:w w:val="100"/>
      <w:spacing w:val="60"/>
      <w:color w:val="000000"/>
      <w:position w:val="0"/>
    </w:rPr>
  </w:style>
  <w:style w:type="character" w:customStyle="1" w:styleId="CharStyle12">
    <w:name w:val="Nadpis #1 Exact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jc w:val="both"/>
      <w:spacing w:after="42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  <w:jc w:val="both"/>
      <w:spacing w:before="420" w:line="313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after="180" w:line="22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jc w:val="both"/>
      <w:outlineLvl w:val="0"/>
      <w:spacing w:line="34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