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2E2" w:rsidRPr="00776421" w:rsidRDefault="001451DB">
      <w:pPr>
        <w:spacing w:after="1" w:line="259" w:lineRule="auto"/>
        <w:ind w:firstLine="0"/>
        <w:jc w:val="center"/>
        <w:rPr>
          <w:b/>
          <w:szCs w:val="20"/>
        </w:rPr>
      </w:pPr>
      <w:r w:rsidRPr="00776421">
        <w:rPr>
          <w:b/>
          <w:szCs w:val="20"/>
        </w:rPr>
        <w:t>DODATEK Č. 1</w:t>
      </w:r>
    </w:p>
    <w:p w:rsidR="002954F1" w:rsidRDefault="001451DB" w:rsidP="002954F1">
      <w:pPr>
        <w:spacing w:after="0" w:line="268" w:lineRule="auto"/>
        <w:ind w:left="298" w:right="742" w:hanging="10"/>
        <w:jc w:val="center"/>
        <w:rPr>
          <w:b/>
          <w:szCs w:val="20"/>
        </w:rPr>
      </w:pPr>
      <w:r w:rsidRPr="00776421">
        <w:rPr>
          <w:b/>
          <w:szCs w:val="20"/>
        </w:rPr>
        <w:t xml:space="preserve">k licenční smlouvě ze dne 1.12.2014 </w:t>
      </w:r>
    </w:p>
    <w:p w:rsidR="005D22E2" w:rsidRPr="00776421" w:rsidRDefault="001451DB">
      <w:pPr>
        <w:spacing w:after="448" w:line="268" w:lineRule="auto"/>
        <w:ind w:left="298" w:right="742" w:hanging="10"/>
        <w:jc w:val="center"/>
        <w:rPr>
          <w:b/>
          <w:szCs w:val="20"/>
        </w:rPr>
      </w:pPr>
      <w:r w:rsidRPr="00776421">
        <w:rPr>
          <w:b/>
          <w:szCs w:val="20"/>
        </w:rPr>
        <w:t>mezi níže uvedenými smluvními stranami</w:t>
      </w:r>
    </w:p>
    <w:p w:rsidR="000143F0" w:rsidRPr="00776421" w:rsidRDefault="001451DB" w:rsidP="000143F0">
      <w:pPr>
        <w:spacing w:after="0"/>
        <w:ind w:left="238" w:right="5337"/>
        <w:rPr>
          <w:b/>
          <w:szCs w:val="20"/>
        </w:rPr>
      </w:pPr>
      <w:proofErr w:type="spellStart"/>
      <w:r w:rsidRPr="00776421">
        <w:rPr>
          <w:b/>
          <w:szCs w:val="20"/>
        </w:rPr>
        <w:t>IReS</w:t>
      </w:r>
      <w:r w:rsidR="000143F0" w:rsidRPr="00776421">
        <w:rPr>
          <w:b/>
          <w:szCs w:val="20"/>
        </w:rPr>
        <w:t>o</w:t>
      </w:r>
      <w:r w:rsidRPr="00776421">
        <w:rPr>
          <w:b/>
          <w:szCs w:val="20"/>
        </w:rPr>
        <w:t>ft</w:t>
      </w:r>
      <w:proofErr w:type="spellEnd"/>
      <w:r w:rsidRPr="00776421">
        <w:rPr>
          <w:b/>
          <w:szCs w:val="20"/>
        </w:rPr>
        <w:t xml:space="preserve">, s.r.o. </w:t>
      </w:r>
    </w:p>
    <w:p w:rsidR="000143F0" w:rsidRPr="00776421" w:rsidRDefault="001451DB" w:rsidP="000143F0">
      <w:pPr>
        <w:spacing w:after="0"/>
        <w:ind w:left="238" w:right="4648"/>
        <w:rPr>
          <w:szCs w:val="20"/>
        </w:rPr>
      </w:pPr>
      <w:r w:rsidRPr="00776421">
        <w:rPr>
          <w:szCs w:val="20"/>
        </w:rPr>
        <w:t xml:space="preserve">se sídlem </w:t>
      </w:r>
      <w:r w:rsidR="000143F0" w:rsidRPr="00776421">
        <w:rPr>
          <w:szCs w:val="20"/>
        </w:rPr>
        <w:t>C</w:t>
      </w:r>
      <w:r w:rsidRPr="00776421">
        <w:rPr>
          <w:szCs w:val="20"/>
        </w:rPr>
        <w:t xml:space="preserve">ejl 62, Brno, 602 </w:t>
      </w:r>
      <w:r w:rsidR="002954F1">
        <w:rPr>
          <w:szCs w:val="20"/>
        </w:rPr>
        <w:t>00</w:t>
      </w:r>
      <w:r w:rsidRPr="00776421">
        <w:rPr>
          <w:szCs w:val="20"/>
        </w:rPr>
        <w:t xml:space="preserve">, </w:t>
      </w:r>
      <w:r w:rsidR="000143F0" w:rsidRPr="00776421">
        <w:rPr>
          <w:szCs w:val="20"/>
        </w:rPr>
        <w:t>IČ</w:t>
      </w:r>
      <w:r w:rsidRPr="00776421">
        <w:rPr>
          <w:szCs w:val="20"/>
        </w:rPr>
        <w:t xml:space="preserve">: 26297850, registrována u Krajského soudu Brno, odd. C, vložka 42453 </w:t>
      </w:r>
    </w:p>
    <w:p w:rsidR="000143F0" w:rsidRPr="00776421" w:rsidRDefault="001451DB" w:rsidP="000143F0">
      <w:pPr>
        <w:spacing w:after="0"/>
        <w:ind w:left="238" w:right="4648"/>
        <w:rPr>
          <w:szCs w:val="20"/>
        </w:rPr>
      </w:pPr>
      <w:r w:rsidRPr="00776421">
        <w:rPr>
          <w:szCs w:val="20"/>
        </w:rPr>
        <w:t xml:space="preserve">jejímž jménem jedná Ing. Jiří </w:t>
      </w:r>
      <w:proofErr w:type="spellStart"/>
      <w:r w:rsidRPr="00776421">
        <w:rPr>
          <w:szCs w:val="20"/>
        </w:rPr>
        <w:t>Halousek</w:t>
      </w:r>
      <w:proofErr w:type="spellEnd"/>
      <w:r w:rsidRPr="00776421">
        <w:rPr>
          <w:szCs w:val="20"/>
        </w:rPr>
        <w:t xml:space="preserve">, jednatel </w:t>
      </w:r>
    </w:p>
    <w:p w:rsidR="005D22E2" w:rsidRPr="00776421" w:rsidRDefault="001451DB" w:rsidP="000143F0">
      <w:pPr>
        <w:spacing w:after="0"/>
        <w:ind w:left="238" w:right="5337"/>
        <w:rPr>
          <w:szCs w:val="20"/>
        </w:rPr>
      </w:pPr>
      <w:r w:rsidRPr="00776421">
        <w:rPr>
          <w:szCs w:val="20"/>
        </w:rPr>
        <w:t xml:space="preserve">na straně jedné jako </w:t>
      </w:r>
      <w:r w:rsidRPr="00776421">
        <w:rPr>
          <w:b/>
          <w:szCs w:val="20"/>
        </w:rPr>
        <w:t>autor</w:t>
      </w:r>
    </w:p>
    <w:p w:rsidR="005D22E2" w:rsidRPr="00776421" w:rsidRDefault="001451DB">
      <w:pPr>
        <w:spacing w:after="183" w:line="248" w:lineRule="auto"/>
        <w:ind w:left="276" w:right="339" w:hanging="10"/>
        <w:jc w:val="left"/>
        <w:rPr>
          <w:szCs w:val="20"/>
        </w:rPr>
      </w:pPr>
      <w:r w:rsidRPr="00776421">
        <w:rPr>
          <w:szCs w:val="20"/>
        </w:rPr>
        <w:t>a</w:t>
      </w:r>
    </w:p>
    <w:p w:rsidR="000143F0" w:rsidRPr="00776421" w:rsidRDefault="001451DB" w:rsidP="000143F0">
      <w:pPr>
        <w:spacing w:after="0"/>
        <w:ind w:left="245" w:right="3373"/>
        <w:rPr>
          <w:szCs w:val="20"/>
        </w:rPr>
      </w:pPr>
      <w:r w:rsidRPr="00776421">
        <w:rPr>
          <w:b/>
          <w:szCs w:val="20"/>
        </w:rPr>
        <w:t>Sociální služby pro osoby se zdravotním postižením, příspěvková organizace</w:t>
      </w:r>
      <w:r w:rsidRPr="00776421">
        <w:rPr>
          <w:szCs w:val="20"/>
        </w:rPr>
        <w:t xml:space="preserve"> </w:t>
      </w:r>
    </w:p>
    <w:p w:rsidR="000143F0" w:rsidRPr="00776421" w:rsidRDefault="001451DB" w:rsidP="000143F0">
      <w:pPr>
        <w:spacing w:after="0"/>
        <w:ind w:left="245" w:right="3373"/>
        <w:rPr>
          <w:szCs w:val="20"/>
        </w:rPr>
      </w:pPr>
      <w:r w:rsidRPr="00776421">
        <w:rPr>
          <w:szCs w:val="20"/>
        </w:rPr>
        <w:t xml:space="preserve">se sídlem Na Hrádku 100, Fryšták, 763 16, </w:t>
      </w:r>
      <w:r w:rsidR="000143F0" w:rsidRPr="00776421">
        <w:rPr>
          <w:szCs w:val="20"/>
        </w:rPr>
        <w:t>IČ</w:t>
      </w:r>
      <w:r w:rsidRPr="00776421">
        <w:rPr>
          <w:szCs w:val="20"/>
        </w:rPr>
        <w:t xml:space="preserve">: 70850917, jejímž jménem jedná (postavení): Mgr. et Ing. Adéla Machalová, ředitelka </w:t>
      </w:r>
    </w:p>
    <w:p w:rsidR="005D22E2" w:rsidRPr="00776421" w:rsidRDefault="001451DB" w:rsidP="000143F0">
      <w:pPr>
        <w:spacing w:after="0"/>
        <w:ind w:left="245" w:right="3373"/>
        <w:rPr>
          <w:b/>
          <w:szCs w:val="20"/>
        </w:rPr>
      </w:pPr>
      <w:r w:rsidRPr="00776421">
        <w:rPr>
          <w:szCs w:val="20"/>
        </w:rPr>
        <w:t xml:space="preserve">na straně druhé jako </w:t>
      </w:r>
      <w:r w:rsidRPr="00776421">
        <w:rPr>
          <w:b/>
          <w:szCs w:val="20"/>
        </w:rPr>
        <w:t>nabyvatel</w:t>
      </w:r>
    </w:p>
    <w:p w:rsidR="000143F0" w:rsidRPr="00776421" w:rsidRDefault="000143F0" w:rsidP="000143F0">
      <w:pPr>
        <w:spacing w:after="0"/>
        <w:ind w:left="245" w:right="3373"/>
        <w:rPr>
          <w:szCs w:val="20"/>
        </w:rPr>
      </w:pPr>
    </w:p>
    <w:p w:rsidR="005D22E2" w:rsidRPr="00776421" w:rsidRDefault="001451DB">
      <w:pPr>
        <w:spacing w:after="308"/>
        <w:ind w:left="266" w:right="518"/>
        <w:rPr>
          <w:b/>
          <w:szCs w:val="20"/>
        </w:rPr>
      </w:pPr>
      <w:r w:rsidRPr="00776421">
        <w:rPr>
          <w:b/>
          <w:szCs w:val="20"/>
        </w:rPr>
        <w:t>Tímto dodatkem se mění a doplňuje licenční smlouva následovně:</w:t>
      </w:r>
    </w:p>
    <w:p w:rsidR="005D22E2" w:rsidRPr="00776421" w:rsidRDefault="000143F0">
      <w:pPr>
        <w:spacing w:after="83" w:line="268" w:lineRule="auto"/>
        <w:ind w:left="298" w:right="735" w:hanging="10"/>
        <w:jc w:val="center"/>
        <w:rPr>
          <w:b/>
          <w:szCs w:val="20"/>
        </w:rPr>
      </w:pPr>
      <w:r w:rsidRPr="00776421">
        <w:rPr>
          <w:b/>
          <w:szCs w:val="20"/>
        </w:rPr>
        <w:t>I</w:t>
      </w:r>
      <w:r w:rsidR="001451DB" w:rsidRPr="00776421">
        <w:rPr>
          <w:b/>
          <w:szCs w:val="20"/>
        </w:rPr>
        <w:t>.</w:t>
      </w:r>
    </w:p>
    <w:p w:rsidR="005D22E2" w:rsidRPr="00776421" w:rsidRDefault="001451DB">
      <w:pPr>
        <w:spacing w:after="15" w:line="268" w:lineRule="auto"/>
        <w:ind w:left="298" w:right="727" w:hanging="10"/>
        <w:jc w:val="center"/>
        <w:rPr>
          <w:b/>
          <w:szCs w:val="20"/>
        </w:rPr>
      </w:pPr>
      <w:r w:rsidRPr="00776421">
        <w:rPr>
          <w:b/>
          <w:szCs w:val="20"/>
        </w:rPr>
        <w:t>Změna přílohy č. 1 a č. 2 smlouvy</w:t>
      </w:r>
    </w:p>
    <w:p w:rsidR="005D22E2" w:rsidRPr="00776421" w:rsidRDefault="001451DB" w:rsidP="000143F0">
      <w:pPr>
        <w:pStyle w:val="Odstavecseseznamem"/>
        <w:numPr>
          <w:ilvl w:val="1"/>
          <w:numId w:val="2"/>
        </w:numPr>
        <w:tabs>
          <w:tab w:val="center" w:pos="461"/>
          <w:tab w:val="center" w:pos="4404"/>
        </w:tabs>
        <w:spacing w:after="345"/>
        <w:ind w:right="0"/>
        <w:jc w:val="left"/>
        <w:rPr>
          <w:szCs w:val="20"/>
        </w:rPr>
      </w:pPr>
      <w:r w:rsidRPr="00776421">
        <w:rPr>
          <w:szCs w:val="20"/>
        </w:rPr>
        <w:t>.</w:t>
      </w:r>
      <w:r w:rsidRPr="00776421">
        <w:rPr>
          <w:szCs w:val="20"/>
        </w:rPr>
        <w:tab/>
        <w:t>Dosavadní znění přílohy č. 1 smlouvy se v plném rozsahu nahrazuje zněním následujícím:</w:t>
      </w:r>
    </w:p>
    <w:p w:rsidR="005D22E2" w:rsidRPr="00776421" w:rsidRDefault="001451DB">
      <w:pPr>
        <w:spacing w:after="15" w:line="268" w:lineRule="auto"/>
        <w:ind w:left="298" w:right="742" w:hanging="10"/>
        <w:jc w:val="center"/>
        <w:rPr>
          <w:b/>
          <w:szCs w:val="20"/>
        </w:rPr>
      </w:pPr>
      <w:r w:rsidRPr="00776421">
        <w:rPr>
          <w:b/>
          <w:szCs w:val="20"/>
        </w:rPr>
        <w:t>PŘÍLOHA Č. 1</w:t>
      </w:r>
    </w:p>
    <w:p w:rsidR="005D22E2" w:rsidRPr="00776421" w:rsidRDefault="001451DB">
      <w:pPr>
        <w:spacing w:after="355" w:line="268" w:lineRule="auto"/>
        <w:ind w:left="298" w:right="735" w:hanging="10"/>
        <w:jc w:val="center"/>
        <w:rPr>
          <w:b/>
          <w:szCs w:val="20"/>
        </w:rPr>
      </w:pPr>
      <w:r w:rsidRPr="00776421">
        <w:rPr>
          <w:b/>
          <w:szCs w:val="20"/>
        </w:rPr>
        <w:t>SEZNAM ZAŘÍZENÍ, VE VZTAHU KE KTERÝM BUDE PŘÍSLUŠNÝ MODUL UŽÍVÁN A VÝŠE ODMĚNY AUTORA</w:t>
      </w:r>
    </w:p>
    <w:p w:rsidR="005D22E2" w:rsidRPr="00776421" w:rsidRDefault="001451DB">
      <w:pPr>
        <w:ind w:left="274" w:right="518"/>
        <w:rPr>
          <w:b/>
          <w:szCs w:val="20"/>
        </w:rPr>
      </w:pPr>
      <w:r w:rsidRPr="00776421">
        <w:rPr>
          <w:b/>
          <w:szCs w:val="20"/>
        </w:rPr>
        <w:t>Hrádek, Na Hrádku 100, Fryšták, 76316</w:t>
      </w:r>
    </w:p>
    <w:tbl>
      <w:tblPr>
        <w:tblStyle w:val="TableGrid"/>
        <w:tblW w:w="9927" w:type="dxa"/>
        <w:tblInd w:w="202" w:type="dxa"/>
        <w:tblCellMar>
          <w:top w:w="94" w:type="dxa"/>
          <w:left w:w="65" w:type="dxa"/>
          <w:bottom w:w="73" w:type="dxa"/>
          <w:right w:w="115" w:type="dxa"/>
        </w:tblCellMar>
        <w:tblLook w:val="04A0" w:firstRow="1" w:lastRow="0" w:firstColumn="1" w:lastColumn="0" w:noHBand="0" w:noVBand="1"/>
      </w:tblPr>
      <w:tblGrid>
        <w:gridCol w:w="1908"/>
        <w:gridCol w:w="1573"/>
        <w:gridCol w:w="1984"/>
        <w:gridCol w:w="4462"/>
      </w:tblGrid>
      <w:tr w:rsidR="005D22E2" w:rsidRPr="00776421" w:rsidTr="000143F0">
        <w:trPr>
          <w:trHeight w:val="331"/>
        </w:trPr>
        <w:tc>
          <w:tcPr>
            <w:tcW w:w="1908"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7" w:right="0" w:firstLine="0"/>
              <w:jc w:val="left"/>
              <w:rPr>
                <w:b/>
                <w:szCs w:val="20"/>
              </w:rPr>
            </w:pPr>
            <w:r w:rsidRPr="00776421">
              <w:rPr>
                <w:b/>
                <w:szCs w:val="20"/>
              </w:rPr>
              <w:t>Modul</w:t>
            </w:r>
          </w:p>
        </w:tc>
        <w:tc>
          <w:tcPr>
            <w:tcW w:w="1573"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right="0" w:firstLine="0"/>
              <w:jc w:val="left"/>
              <w:rPr>
                <w:b/>
                <w:szCs w:val="20"/>
              </w:rPr>
            </w:pPr>
            <w:r w:rsidRPr="00776421">
              <w:rPr>
                <w:b/>
                <w:szCs w:val="20"/>
              </w:rPr>
              <w:t>Verze</w:t>
            </w:r>
          </w:p>
        </w:tc>
        <w:tc>
          <w:tcPr>
            <w:tcW w:w="1984"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6" w:right="0" w:firstLine="0"/>
              <w:jc w:val="left"/>
              <w:rPr>
                <w:b/>
                <w:szCs w:val="20"/>
              </w:rPr>
            </w:pPr>
            <w:r w:rsidRPr="00776421">
              <w:rPr>
                <w:b/>
                <w:szCs w:val="20"/>
              </w:rPr>
              <w:t>Limit</w:t>
            </w:r>
          </w:p>
        </w:tc>
        <w:tc>
          <w:tcPr>
            <w:tcW w:w="4462"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39" w:right="0" w:firstLine="0"/>
              <w:jc w:val="center"/>
              <w:rPr>
                <w:b/>
                <w:szCs w:val="20"/>
              </w:rPr>
            </w:pPr>
            <w:r w:rsidRPr="00776421">
              <w:rPr>
                <w:b/>
                <w:szCs w:val="20"/>
              </w:rPr>
              <w:t>Odměna bez DPH za I kalendářní měsíc</w:t>
            </w:r>
          </w:p>
        </w:tc>
      </w:tr>
      <w:tr w:rsidR="005D22E2" w:rsidRPr="00776421" w:rsidTr="000143F0">
        <w:trPr>
          <w:trHeight w:val="343"/>
        </w:trPr>
        <w:tc>
          <w:tcPr>
            <w:tcW w:w="1908"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7" w:right="0" w:firstLine="0"/>
              <w:jc w:val="left"/>
              <w:rPr>
                <w:szCs w:val="20"/>
              </w:rPr>
            </w:pPr>
            <w:r w:rsidRPr="00776421">
              <w:rPr>
                <w:szCs w:val="20"/>
              </w:rPr>
              <w:t>Klienti</w:t>
            </w:r>
          </w:p>
        </w:tc>
        <w:tc>
          <w:tcPr>
            <w:tcW w:w="1573" w:type="dxa"/>
            <w:tcBorders>
              <w:top w:val="single" w:sz="2" w:space="0" w:color="000000"/>
              <w:left w:val="single" w:sz="2" w:space="0" w:color="000000"/>
              <w:bottom w:val="single" w:sz="2" w:space="0" w:color="000000"/>
              <w:right w:val="single" w:sz="2" w:space="0" w:color="000000"/>
            </w:tcBorders>
            <w:vAlign w:val="center"/>
          </w:tcPr>
          <w:p w:rsidR="005D22E2" w:rsidRPr="00776421" w:rsidRDefault="001451DB">
            <w:pPr>
              <w:spacing w:after="0" w:line="259" w:lineRule="auto"/>
              <w:ind w:right="0" w:firstLine="0"/>
              <w:jc w:val="left"/>
              <w:rPr>
                <w:szCs w:val="20"/>
              </w:rPr>
            </w:pPr>
            <w:r w:rsidRPr="00776421">
              <w:rPr>
                <w:szCs w:val="20"/>
              </w:rPr>
              <w:t>PREMIUM</w:t>
            </w:r>
          </w:p>
        </w:tc>
        <w:tc>
          <w:tcPr>
            <w:tcW w:w="1984"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14" w:right="0" w:firstLine="0"/>
              <w:jc w:val="left"/>
              <w:rPr>
                <w:szCs w:val="20"/>
              </w:rPr>
            </w:pPr>
            <w:r w:rsidRPr="00776421">
              <w:rPr>
                <w:szCs w:val="20"/>
              </w:rPr>
              <w:t xml:space="preserve">50 </w:t>
            </w:r>
            <w:proofErr w:type="spellStart"/>
            <w:r w:rsidRPr="00776421">
              <w:rPr>
                <w:szCs w:val="20"/>
              </w:rPr>
              <w:t>kliento</w:t>
            </w:r>
            <w:proofErr w:type="spellEnd"/>
            <w:r w:rsidRPr="00776421">
              <w:rPr>
                <w:szCs w:val="20"/>
              </w:rPr>
              <w:t>-služeb*</w:t>
            </w:r>
          </w:p>
        </w:tc>
        <w:tc>
          <w:tcPr>
            <w:tcW w:w="4462"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46" w:right="0" w:firstLine="0"/>
              <w:jc w:val="center"/>
              <w:rPr>
                <w:szCs w:val="20"/>
              </w:rPr>
            </w:pPr>
            <w:r w:rsidRPr="00776421">
              <w:rPr>
                <w:szCs w:val="20"/>
              </w:rPr>
              <w:t>3 545 Kč</w:t>
            </w:r>
          </w:p>
        </w:tc>
      </w:tr>
      <w:tr w:rsidR="005D22E2" w:rsidRPr="00776421" w:rsidTr="000143F0">
        <w:trPr>
          <w:trHeight w:val="622"/>
        </w:trPr>
        <w:tc>
          <w:tcPr>
            <w:tcW w:w="3481" w:type="dxa"/>
            <w:gridSpan w:val="2"/>
            <w:tcBorders>
              <w:top w:val="single" w:sz="2" w:space="0" w:color="000000"/>
              <w:left w:val="nil"/>
              <w:bottom w:val="single" w:sz="2" w:space="0" w:color="000000"/>
              <w:right w:val="nil"/>
            </w:tcBorders>
            <w:vAlign w:val="bottom"/>
          </w:tcPr>
          <w:p w:rsidR="005D22E2" w:rsidRPr="00776421" w:rsidRDefault="001451DB" w:rsidP="000143F0">
            <w:pPr>
              <w:spacing w:after="0" w:line="259" w:lineRule="auto"/>
              <w:ind w:left="7" w:right="-480" w:firstLine="0"/>
              <w:jc w:val="left"/>
              <w:rPr>
                <w:b/>
                <w:szCs w:val="20"/>
              </w:rPr>
            </w:pPr>
            <w:r w:rsidRPr="00776421">
              <w:rPr>
                <w:b/>
                <w:szCs w:val="20"/>
              </w:rPr>
              <w:t>Radost, Pod Vodojemem 3651, Zlín,76001</w:t>
            </w:r>
          </w:p>
        </w:tc>
        <w:tc>
          <w:tcPr>
            <w:tcW w:w="1984" w:type="dxa"/>
            <w:tcBorders>
              <w:top w:val="single" w:sz="2" w:space="0" w:color="000000"/>
              <w:left w:val="nil"/>
              <w:bottom w:val="single" w:sz="2" w:space="0" w:color="000000"/>
              <w:right w:val="nil"/>
            </w:tcBorders>
          </w:tcPr>
          <w:p w:rsidR="005D22E2" w:rsidRPr="00776421" w:rsidRDefault="005D22E2" w:rsidP="000143F0">
            <w:pPr>
              <w:spacing w:after="160" w:line="259" w:lineRule="auto"/>
              <w:ind w:left="300" w:right="0" w:firstLine="141"/>
              <w:jc w:val="left"/>
              <w:rPr>
                <w:b/>
                <w:szCs w:val="20"/>
              </w:rPr>
            </w:pPr>
          </w:p>
        </w:tc>
        <w:tc>
          <w:tcPr>
            <w:tcW w:w="4462" w:type="dxa"/>
            <w:tcBorders>
              <w:top w:val="single" w:sz="2" w:space="0" w:color="000000"/>
              <w:left w:val="nil"/>
              <w:bottom w:val="single" w:sz="2" w:space="0" w:color="000000"/>
              <w:right w:val="nil"/>
            </w:tcBorders>
          </w:tcPr>
          <w:p w:rsidR="005D22E2" w:rsidRPr="00776421" w:rsidRDefault="005D22E2">
            <w:pPr>
              <w:spacing w:after="160" w:line="259" w:lineRule="auto"/>
              <w:ind w:right="0" w:firstLine="0"/>
              <w:jc w:val="left"/>
              <w:rPr>
                <w:szCs w:val="20"/>
              </w:rPr>
            </w:pPr>
          </w:p>
        </w:tc>
      </w:tr>
      <w:tr w:rsidR="005D22E2" w:rsidRPr="00776421" w:rsidTr="000143F0">
        <w:trPr>
          <w:trHeight w:val="324"/>
        </w:trPr>
        <w:tc>
          <w:tcPr>
            <w:tcW w:w="1908"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7" w:right="0" w:firstLine="0"/>
              <w:jc w:val="left"/>
              <w:rPr>
                <w:b/>
                <w:szCs w:val="20"/>
              </w:rPr>
            </w:pPr>
            <w:r w:rsidRPr="00776421">
              <w:rPr>
                <w:b/>
                <w:szCs w:val="20"/>
              </w:rPr>
              <w:t>Modul</w:t>
            </w:r>
          </w:p>
        </w:tc>
        <w:tc>
          <w:tcPr>
            <w:tcW w:w="1573"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right="0" w:firstLine="0"/>
              <w:jc w:val="left"/>
              <w:rPr>
                <w:b/>
                <w:szCs w:val="20"/>
              </w:rPr>
            </w:pPr>
            <w:r w:rsidRPr="00776421">
              <w:rPr>
                <w:b/>
                <w:szCs w:val="20"/>
              </w:rPr>
              <w:t>Verze</w:t>
            </w:r>
          </w:p>
        </w:tc>
        <w:tc>
          <w:tcPr>
            <w:tcW w:w="1984"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6" w:right="0" w:firstLine="0"/>
              <w:jc w:val="left"/>
              <w:rPr>
                <w:b/>
                <w:szCs w:val="20"/>
              </w:rPr>
            </w:pPr>
            <w:r w:rsidRPr="00776421">
              <w:rPr>
                <w:b/>
                <w:szCs w:val="20"/>
              </w:rPr>
              <w:t>Limit</w:t>
            </w:r>
          </w:p>
        </w:tc>
        <w:tc>
          <w:tcPr>
            <w:tcW w:w="4462"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39" w:right="0" w:firstLine="0"/>
              <w:jc w:val="center"/>
              <w:rPr>
                <w:b/>
                <w:szCs w:val="20"/>
              </w:rPr>
            </w:pPr>
            <w:r w:rsidRPr="00776421">
              <w:rPr>
                <w:b/>
                <w:szCs w:val="20"/>
              </w:rPr>
              <w:t>Odměna bez DPH za 1 kalendářní měsíc</w:t>
            </w:r>
          </w:p>
        </w:tc>
      </w:tr>
      <w:tr w:rsidR="005D22E2" w:rsidRPr="00776421" w:rsidTr="000143F0">
        <w:trPr>
          <w:trHeight w:val="346"/>
        </w:trPr>
        <w:tc>
          <w:tcPr>
            <w:tcW w:w="1908" w:type="dxa"/>
            <w:tcBorders>
              <w:top w:val="single" w:sz="2" w:space="0" w:color="000000"/>
              <w:left w:val="single" w:sz="2" w:space="0" w:color="000000"/>
              <w:bottom w:val="single" w:sz="2" w:space="0" w:color="000000"/>
              <w:right w:val="single" w:sz="2" w:space="0" w:color="000000"/>
            </w:tcBorders>
            <w:vAlign w:val="center"/>
          </w:tcPr>
          <w:p w:rsidR="005D22E2" w:rsidRPr="00776421" w:rsidRDefault="001451DB">
            <w:pPr>
              <w:spacing w:after="0" w:line="259" w:lineRule="auto"/>
              <w:ind w:left="7" w:right="0" w:firstLine="0"/>
              <w:jc w:val="left"/>
              <w:rPr>
                <w:szCs w:val="20"/>
              </w:rPr>
            </w:pPr>
            <w:r w:rsidRPr="00776421">
              <w:rPr>
                <w:szCs w:val="20"/>
              </w:rPr>
              <w:t>Klienti</w:t>
            </w:r>
          </w:p>
        </w:tc>
        <w:tc>
          <w:tcPr>
            <w:tcW w:w="1573" w:type="dxa"/>
            <w:tcBorders>
              <w:top w:val="single" w:sz="2" w:space="0" w:color="000000"/>
              <w:left w:val="single" w:sz="2" w:space="0" w:color="000000"/>
              <w:bottom w:val="single" w:sz="2" w:space="0" w:color="000000"/>
              <w:right w:val="single" w:sz="2" w:space="0" w:color="000000"/>
            </w:tcBorders>
            <w:vAlign w:val="center"/>
          </w:tcPr>
          <w:p w:rsidR="005D22E2" w:rsidRPr="00776421" w:rsidRDefault="001451DB">
            <w:pPr>
              <w:spacing w:after="0" w:line="259" w:lineRule="auto"/>
              <w:ind w:right="0" w:firstLine="0"/>
              <w:jc w:val="left"/>
              <w:rPr>
                <w:szCs w:val="20"/>
              </w:rPr>
            </w:pPr>
            <w:r w:rsidRPr="00776421">
              <w:rPr>
                <w:szCs w:val="20"/>
              </w:rPr>
              <w:t>PREMIUM</w:t>
            </w:r>
          </w:p>
        </w:tc>
        <w:tc>
          <w:tcPr>
            <w:tcW w:w="1984"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14" w:right="0" w:firstLine="0"/>
              <w:jc w:val="left"/>
              <w:rPr>
                <w:szCs w:val="20"/>
              </w:rPr>
            </w:pPr>
            <w:r w:rsidRPr="00776421">
              <w:rPr>
                <w:szCs w:val="20"/>
              </w:rPr>
              <w:t xml:space="preserve">50 </w:t>
            </w:r>
            <w:proofErr w:type="spellStart"/>
            <w:r w:rsidRPr="00776421">
              <w:rPr>
                <w:szCs w:val="20"/>
              </w:rPr>
              <w:t>kliento</w:t>
            </w:r>
            <w:proofErr w:type="spellEnd"/>
            <w:r w:rsidRPr="00776421">
              <w:rPr>
                <w:szCs w:val="20"/>
              </w:rPr>
              <w:t>-služeb*</w:t>
            </w:r>
          </w:p>
        </w:tc>
        <w:tc>
          <w:tcPr>
            <w:tcW w:w="4462"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46" w:right="0" w:firstLine="0"/>
              <w:jc w:val="center"/>
              <w:rPr>
                <w:szCs w:val="20"/>
              </w:rPr>
            </w:pPr>
            <w:r w:rsidRPr="00776421">
              <w:rPr>
                <w:szCs w:val="20"/>
              </w:rPr>
              <w:t>2 572 Kč</w:t>
            </w:r>
          </w:p>
        </w:tc>
      </w:tr>
    </w:tbl>
    <w:p w:rsidR="005D22E2" w:rsidRPr="00776421" w:rsidRDefault="001451DB" w:rsidP="000143F0">
      <w:pPr>
        <w:spacing w:after="0"/>
        <w:ind w:left="266" w:right="518"/>
        <w:rPr>
          <w:szCs w:val="20"/>
        </w:rPr>
      </w:pPr>
      <w:r w:rsidRPr="00776421">
        <w:rPr>
          <w:szCs w:val="20"/>
        </w:rPr>
        <w:t xml:space="preserve">* Za jednu </w:t>
      </w:r>
      <w:proofErr w:type="spellStart"/>
      <w:r w:rsidRPr="00776421">
        <w:rPr>
          <w:szCs w:val="20"/>
        </w:rPr>
        <w:t>kliento</w:t>
      </w:r>
      <w:proofErr w:type="spellEnd"/>
      <w:r w:rsidRPr="00776421">
        <w:rPr>
          <w:szCs w:val="20"/>
        </w:rPr>
        <w:t xml:space="preserve">-službu se považuje evidence I </w:t>
      </w:r>
      <w:proofErr w:type="spellStart"/>
      <w:r w:rsidRPr="00776421">
        <w:rPr>
          <w:szCs w:val="20"/>
        </w:rPr>
        <w:t>frzické</w:t>
      </w:r>
      <w:proofErr w:type="spellEnd"/>
      <w:r w:rsidRPr="00776421">
        <w:rPr>
          <w:szCs w:val="20"/>
        </w:rPr>
        <w:t xml:space="preserve"> osoby v rámci I sociální služby, poskytované nabyvatelem této osobě, jejíž agenda je vedena prostřednictvím příslušného modulu.</w:t>
      </w:r>
    </w:p>
    <w:p w:rsidR="000143F0" w:rsidRPr="00776421" w:rsidRDefault="000143F0" w:rsidP="000143F0">
      <w:pPr>
        <w:spacing w:after="0"/>
        <w:ind w:left="266" w:right="518"/>
        <w:rPr>
          <w:szCs w:val="20"/>
        </w:rPr>
      </w:pPr>
    </w:p>
    <w:p w:rsidR="000143F0" w:rsidRPr="00776421" w:rsidRDefault="001451DB" w:rsidP="000143F0">
      <w:pPr>
        <w:ind w:left="281" w:right="518"/>
        <w:rPr>
          <w:b/>
          <w:szCs w:val="20"/>
        </w:rPr>
      </w:pPr>
      <w:r w:rsidRPr="00776421">
        <w:rPr>
          <w:b/>
          <w:szCs w:val="20"/>
        </w:rPr>
        <w:t>Odměna za prostor na serveru (úložišti dat):</w:t>
      </w:r>
    </w:p>
    <w:tbl>
      <w:tblPr>
        <w:tblStyle w:val="TableGrid"/>
        <w:tblW w:w="5709" w:type="dxa"/>
        <w:tblInd w:w="173" w:type="dxa"/>
        <w:tblCellMar>
          <w:top w:w="86" w:type="dxa"/>
          <w:left w:w="101" w:type="dxa"/>
          <w:right w:w="115" w:type="dxa"/>
        </w:tblCellMar>
        <w:tblLook w:val="04A0" w:firstRow="1" w:lastRow="0" w:firstColumn="1" w:lastColumn="0" w:noHBand="0" w:noVBand="1"/>
      </w:tblPr>
      <w:tblGrid>
        <w:gridCol w:w="1980"/>
        <w:gridCol w:w="3729"/>
      </w:tblGrid>
      <w:tr w:rsidR="005D22E2" w:rsidRPr="00776421" w:rsidTr="000143F0">
        <w:trPr>
          <w:trHeight w:val="324"/>
        </w:trPr>
        <w:tc>
          <w:tcPr>
            <w:tcW w:w="1980"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right="0" w:firstLine="0"/>
              <w:jc w:val="left"/>
              <w:rPr>
                <w:b/>
                <w:szCs w:val="20"/>
              </w:rPr>
            </w:pPr>
            <w:r w:rsidRPr="00776421">
              <w:rPr>
                <w:b/>
                <w:szCs w:val="20"/>
              </w:rPr>
              <w:t>Velikost</w:t>
            </w:r>
          </w:p>
        </w:tc>
        <w:tc>
          <w:tcPr>
            <w:tcW w:w="3729"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7" w:right="0" w:firstLine="0"/>
              <w:jc w:val="left"/>
              <w:rPr>
                <w:b/>
                <w:szCs w:val="20"/>
              </w:rPr>
            </w:pPr>
            <w:r w:rsidRPr="00776421">
              <w:rPr>
                <w:b/>
                <w:szCs w:val="20"/>
              </w:rPr>
              <w:t>Cena bez DPH za 1 kalendářní měsíc</w:t>
            </w:r>
          </w:p>
        </w:tc>
      </w:tr>
      <w:tr w:rsidR="005D22E2" w:rsidRPr="00776421" w:rsidTr="000143F0">
        <w:trPr>
          <w:trHeight w:val="331"/>
        </w:trPr>
        <w:tc>
          <w:tcPr>
            <w:tcW w:w="1980"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7" w:right="0" w:firstLine="0"/>
              <w:jc w:val="left"/>
              <w:rPr>
                <w:szCs w:val="20"/>
              </w:rPr>
            </w:pPr>
            <w:r w:rsidRPr="00776421">
              <w:rPr>
                <w:szCs w:val="20"/>
              </w:rPr>
              <w:t>První 1 GB</w:t>
            </w:r>
          </w:p>
        </w:tc>
        <w:tc>
          <w:tcPr>
            <w:tcW w:w="3729"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33" w:right="0" w:firstLine="0"/>
              <w:jc w:val="center"/>
              <w:rPr>
                <w:szCs w:val="20"/>
              </w:rPr>
            </w:pPr>
            <w:r w:rsidRPr="00776421">
              <w:rPr>
                <w:szCs w:val="20"/>
              </w:rPr>
              <w:t>509 Kč</w:t>
            </w:r>
          </w:p>
        </w:tc>
      </w:tr>
      <w:tr w:rsidR="005D22E2" w:rsidRPr="00776421" w:rsidTr="000143F0">
        <w:trPr>
          <w:trHeight w:val="324"/>
        </w:trPr>
        <w:tc>
          <w:tcPr>
            <w:tcW w:w="1980"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right="0" w:firstLine="0"/>
              <w:jc w:val="left"/>
              <w:rPr>
                <w:szCs w:val="20"/>
              </w:rPr>
            </w:pPr>
            <w:r w:rsidRPr="00776421">
              <w:rPr>
                <w:szCs w:val="20"/>
              </w:rPr>
              <w:t>Každý další 1 GB</w:t>
            </w:r>
          </w:p>
        </w:tc>
        <w:tc>
          <w:tcPr>
            <w:tcW w:w="3729" w:type="dxa"/>
            <w:tcBorders>
              <w:top w:val="single" w:sz="2" w:space="0" w:color="000000"/>
              <w:left w:val="single" w:sz="2" w:space="0" w:color="000000"/>
              <w:bottom w:val="single" w:sz="2" w:space="0" w:color="000000"/>
              <w:right w:val="single" w:sz="2" w:space="0" w:color="000000"/>
            </w:tcBorders>
          </w:tcPr>
          <w:p w:rsidR="005D22E2" w:rsidRPr="00776421" w:rsidRDefault="001451DB">
            <w:pPr>
              <w:spacing w:after="0" w:line="259" w:lineRule="auto"/>
              <w:ind w:left="26" w:right="0" w:firstLine="0"/>
              <w:jc w:val="center"/>
              <w:rPr>
                <w:szCs w:val="20"/>
              </w:rPr>
            </w:pPr>
            <w:r w:rsidRPr="00776421">
              <w:rPr>
                <w:szCs w:val="20"/>
              </w:rPr>
              <w:t>204 Kč</w:t>
            </w:r>
          </w:p>
        </w:tc>
      </w:tr>
    </w:tbl>
    <w:p w:rsidR="005D22E2" w:rsidRPr="00776421" w:rsidRDefault="001451DB">
      <w:pPr>
        <w:spacing w:after="79"/>
        <w:ind w:left="288" w:right="518"/>
        <w:rPr>
          <w:b/>
          <w:szCs w:val="20"/>
        </w:rPr>
      </w:pPr>
      <w:r w:rsidRPr="00776421">
        <w:rPr>
          <w:b/>
          <w:szCs w:val="20"/>
        </w:rPr>
        <w:t>Platební podmínky:</w:t>
      </w:r>
    </w:p>
    <w:p w:rsidR="005D22E2" w:rsidRPr="00776421" w:rsidRDefault="001451DB">
      <w:pPr>
        <w:ind w:left="288" w:right="684"/>
        <w:rPr>
          <w:szCs w:val="20"/>
        </w:rPr>
      </w:pPr>
      <w:r w:rsidRPr="00776421">
        <w:rPr>
          <w:szCs w:val="20"/>
        </w:rPr>
        <w:t>Odměna bude účtována vždy za pololetí, resp. jeho část v případě uzavření smlouvy během pololetí, a to vždy do desátého dne prvního měsíce příslušného pololetí (v prvním období do desátého dne po aktivaci modulu). Odměna za instalační podporu bude vyúčtována na prvním daňovém dokladu, který autor po jejím provedení vystaví.</w:t>
      </w:r>
    </w:p>
    <w:p w:rsidR="005D22E2" w:rsidRPr="00776421" w:rsidRDefault="005D22E2">
      <w:pPr>
        <w:spacing w:after="15" w:line="268" w:lineRule="auto"/>
        <w:ind w:left="298" w:right="1037" w:hanging="10"/>
        <w:jc w:val="center"/>
        <w:rPr>
          <w:szCs w:val="20"/>
        </w:rPr>
      </w:pPr>
    </w:p>
    <w:p w:rsidR="005D22E2" w:rsidRPr="00776421" w:rsidRDefault="001451DB">
      <w:pPr>
        <w:spacing w:after="209"/>
        <w:ind w:left="-1" w:right="518"/>
        <w:rPr>
          <w:szCs w:val="20"/>
        </w:rPr>
      </w:pPr>
      <w:r w:rsidRPr="00776421">
        <w:rPr>
          <w:szCs w:val="20"/>
        </w:rP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w:t>
      </w:r>
      <w:r w:rsidRPr="00776421">
        <w:rPr>
          <w:szCs w:val="20"/>
        </w:rPr>
        <w:lastRenderedPageBreak/>
        <w:t>daňovým dokladem vystaveným ke dni navýšení, přičemž bude účtována odměna za dobu od prvního dne měsíce následujícího po dni navýšení do konce posledně autorem již vyúčtovaného období.</w:t>
      </w:r>
    </w:p>
    <w:p w:rsidR="005D22E2" w:rsidRPr="00776421" w:rsidRDefault="001451DB">
      <w:pPr>
        <w:spacing w:after="477"/>
        <w:ind w:left="-1" w:right="518"/>
        <w:rPr>
          <w:szCs w:val="20"/>
        </w:rPr>
      </w:pPr>
      <w:r w:rsidRPr="00776421">
        <w:rPr>
          <w:szCs w:val="20"/>
        </w:rPr>
        <w:t>Za den uskutečnění zdanitelného plnění se považuje den vystavení daňového dokladu.</w:t>
      </w:r>
    </w:p>
    <w:p w:rsidR="005D22E2" w:rsidRPr="00776421" w:rsidRDefault="001451DB">
      <w:pPr>
        <w:tabs>
          <w:tab w:val="center" w:pos="4350"/>
        </w:tabs>
        <w:spacing w:after="324"/>
        <w:ind w:right="0" w:firstLine="0"/>
        <w:jc w:val="left"/>
        <w:rPr>
          <w:szCs w:val="20"/>
        </w:rPr>
      </w:pPr>
      <w:r w:rsidRPr="00776421">
        <w:rPr>
          <w:szCs w:val="20"/>
        </w:rPr>
        <w:t xml:space="preserve">1.2. </w:t>
      </w:r>
      <w:r w:rsidRPr="00776421">
        <w:rPr>
          <w:szCs w:val="20"/>
        </w:rPr>
        <w:tab/>
        <w:t xml:space="preserve">Dosavadní mění </w:t>
      </w:r>
      <w:r w:rsidRPr="00776421">
        <w:rPr>
          <w:b/>
          <w:szCs w:val="20"/>
        </w:rPr>
        <w:t>přílohy č. 2</w:t>
      </w:r>
      <w:r w:rsidRPr="00776421">
        <w:rPr>
          <w:szCs w:val="20"/>
        </w:rPr>
        <w:t xml:space="preserve"> smlouvy se v plném rozsahu nahrazuje zněním následujícím:</w:t>
      </w:r>
    </w:p>
    <w:p w:rsidR="005D22E2" w:rsidRPr="00776421" w:rsidRDefault="001451DB">
      <w:pPr>
        <w:spacing w:after="98" w:line="259" w:lineRule="auto"/>
        <w:ind w:left="10" w:right="555" w:hanging="10"/>
        <w:jc w:val="center"/>
        <w:rPr>
          <w:b/>
          <w:szCs w:val="20"/>
        </w:rPr>
      </w:pPr>
      <w:r w:rsidRPr="00776421">
        <w:rPr>
          <w:b/>
          <w:szCs w:val="20"/>
        </w:rPr>
        <w:t>PŘÍLOHA Č. 2</w:t>
      </w:r>
    </w:p>
    <w:p w:rsidR="005D22E2" w:rsidRPr="00776421" w:rsidRDefault="001451DB">
      <w:pPr>
        <w:spacing w:after="132" w:line="248" w:lineRule="auto"/>
        <w:ind w:left="1335" w:right="339" w:hanging="10"/>
        <w:jc w:val="left"/>
        <w:rPr>
          <w:b/>
          <w:szCs w:val="20"/>
        </w:rPr>
      </w:pPr>
      <w:r w:rsidRPr="00776421">
        <w:rPr>
          <w:b/>
          <w:szCs w:val="20"/>
        </w:rPr>
        <w:t>SPECIFIKACE POČÍTAČOVÉHO PROGRAMU A PŘÍSLUŠNÝCH MODULŮ</w:t>
      </w:r>
    </w:p>
    <w:p w:rsidR="005D22E2" w:rsidRPr="00776421" w:rsidRDefault="001451DB">
      <w:pPr>
        <w:spacing w:after="218"/>
        <w:ind w:left="-1" w:right="518"/>
        <w:rPr>
          <w:szCs w:val="20"/>
        </w:rPr>
      </w:pPr>
      <w:r w:rsidRPr="00776421">
        <w:rPr>
          <w:szCs w:val="20"/>
        </w:rPr>
        <w:t>Informační systém CYGNUS@ 2 je určen pro poskytovatele sociálních služeb.</w:t>
      </w:r>
    </w:p>
    <w:p w:rsidR="005D22E2" w:rsidRPr="00776421" w:rsidRDefault="001451DB">
      <w:pPr>
        <w:spacing w:after="220"/>
        <w:ind w:left="-1" w:right="518"/>
        <w:rPr>
          <w:szCs w:val="20"/>
        </w:rPr>
      </w:pPr>
      <w:r w:rsidRPr="00776421">
        <w:rPr>
          <w:szCs w:val="20"/>
        </w:rPr>
        <w:t xml:space="preserve">Modul </w:t>
      </w:r>
      <w:r w:rsidRPr="00776421">
        <w:rPr>
          <w:b/>
          <w:szCs w:val="20"/>
        </w:rPr>
        <w:t xml:space="preserve">Klienti </w:t>
      </w:r>
      <w:r w:rsidRPr="00776421">
        <w:rPr>
          <w:szCs w:val="20"/>
        </w:rPr>
        <w:t>slouží k evidenci klientů a žadatelů nabyvatele. Tento modul je určen pro následující sociální služby: Domovy pro seniory, Domovy se zvláštním režimem, Domovy pro osoby se zdravotním postižením, Týdenní stacionáře, Sociální služby poskytované ve zdravotnických zařízeních ústavní péče, Denní stacionáře, Chráněné bydlení, Podpora samostatného bydlení, Odlehčovací služby, Centra denních služeb, Sociálně aktivizační služby pro seniory a osoby se zdravotním postižením, Sociálně terapeutické dílny a Sociální rehabilitace.</w:t>
      </w:r>
    </w:p>
    <w:p w:rsidR="005D22E2" w:rsidRPr="00776421" w:rsidRDefault="001451DB">
      <w:pPr>
        <w:spacing w:after="113"/>
        <w:ind w:left="417" w:right="518" w:hanging="418"/>
        <w:rPr>
          <w:szCs w:val="20"/>
        </w:rPr>
      </w:pPr>
      <w:r w:rsidRPr="00776421">
        <w:rPr>
          <w:noProof/>
          <w:szCs w:val="20"/>
        </w:rPr>
        <w:drawing>
          <wp:inline distT="0" distB="0" distL="0" distR="0">
            <wp:extent cx="36588" cy="18295"/>
            <wp:effectExtent l="0" t="0" r="0" b="0"/>
            <wp:docPr id="4953" name="Picture 4953"/>
            <wp:cNvGraphicFramePr/>
            <a:graphic xmlns:a="http://schemas.openxmlformats.org/drawingml/2006/main">
              <a:graphicData uri="http://schemas.openxmlformats.org/drawingml/2006/picture">
                <pic:pic xmlns:pic="http://schemas.openxmlformats.org/drawingml/2006/picture">
                  <pic:nvPicPr>
                    <pic:cNvPr id="4953" name="Picture 4953"/>
                    <pic:cNvPicPr/>
                  </pic:nvPicPr>
                  <pic:blipFill>
                    <a:blip r:embed="rId7"/>
                    <a:stretch>
                      <a:fillRect/>
                    </a:stretch>
                  </pic:blipFill>
                  <pic:spPr>
                    <a:xfrm>
                      <a:off x="0" y="0"/>
                      <a:ext cx="36588" cy="18295"/>
                    </a:xfrm>
                    <a:prstGeom prst="rect">
                      <a:avLst/>
                    </a:prstGeom>
                  </pic:spPr>
                </pic:pic>
              </a:graphicData>
            </a:graphic>
          </wp:inline>
        </w:drawing>
      </w:r>
      <w:r w:rsidRPr="00776421">
        <w:rPr>
          <w:szCs w:val="20"/>
        </w:rPr>
        <w:t xml:space="preserve"> Verze </w:t>
      </w:r>
      <w:r w:rsidRPr="00776421">
        <w:rPr>
          <w:b/>
          <w:szCs w:val="20"/>
        </w:rPr>
        <w:t>BASIC</w:t>
      </w:r>
      <w:r w:rsidRPr="00776421">
        <w:rPr>
          <w:szCs w:val="20"/>
        </w:rPr>
        <w:t xml:space="preserve"> nabízí následující agendy: smlouvy a výpočet úhrad, tvorba dokumentů, přehled přítomnosti a výběr variant, vyúčtování klientů, hromadná výplatnice, finanční depozita, hmotná depozita, podklady pro vykazování statistických dat na MPSV.</w:t>
      </w:r>
    </w:p>
    <w:p w:rsidR="005D22E2" w:rsidRPr="00776421" w:rsidRDefault="001451DB">
      <w:pPr>
        <w:spacing w:after="234"/>
        <w:ind w:left="424" w:right="518" w:hanging="425"/>
        <w:rPr>
          <w:szCs w:val="20"/>
        </w:rPr>
      </w:pPr>
      <w:r w:rsidRPr="00776421">
        <w:rPr>
          <w:noProof/>
          <w:szCs w:val="20"/>
        </w:rPr>
        <w:drawing>
          <wp:inline distT="0" distB="0" distL="0" distR="0">
            <wp:extent cx="41162" cy="18295"/>
            <wp:effectExtent l="0" t="0" r="0" b="0"/>
            <wp:docPr id="4954" name="Picture 4954"/>
            <wp:cNvGraphicFramePr/>
            <a:graphic xmlns:a="http://schemas.openxmlformats.org/drawingml/2006/main">
              <a:graphicData uri="http://schemas.openxmlformats.org/drawingml/2006/picture">
                <pic:pic xmlns:pic="http://schemas.openxmlformats.org/drawingml/2006/picture">
                  <pic:nvPicPr>
                    <pic:cNvPr id="4954" name="Picture 4954"/>
                    <pic:cNvPicPr/>
                  </pic:nvPicPr>
                  <pic:blipFill>
                    <a:blip r:embed="rId8"/>
                    <a:stretch>
                      <a:fillRect/>
                    </a:stretch>
                  </pic:blipFill>
                  <pic:spPr>
                    <a:xfrm>
                      <a:off x="0" y="0"/>
                      <a:ext cx="41162" cy="18295"/>
                    </a:xfrm>
                    <a:prstGeom prst="rect">
                      <a:avLst/>
                    </a:prstGeom>
                  </pic:spPr>
                </pic:pic>
              </a:graphicData>
            </a:graphic>
          </wp:inline>
        </w:drawing>
      </w:r>
      <w:r w:rsidRPr="00776421">
        <w:rPr>
          <w:szCs w:val="20"/>
        </w:rPr>
        <w:t xml:space="preserve"> Verze </w:t>
      </w:r>
      <w:r w:rsidRPr="00776421">
        <w:rPr>
          <w:b/>
          <w:szCs w:val="20"/>
        </w:rPr>
        <w:t>STANDARD</w:t>
      </w:r>
      <w:r w:rsidRPr="00776421">
        <w:rPr>
          <w:szCs w:val="20"/>
        </w:rPr>
        <w:t xml:space="preserve"> obsahuje stejnou funkčnost jako verze BASIC, navíc nabízí následující agendy: záznamy péče, formuláře dokumentace, individuální plány, plány péče a jejich realizace, ošetřovatelské plány a jejich realizace, podklady pro vykázání výkonů na ZP, ordinace a objednávky léků, evidence a objednávky </w:t>
      </w:r>
      <w:r w:rsidRPr="00776421">
        <w:rPr>
          <w:noProof/>
          <w:szCs w:val="20"/>
        </w:rPr>
        <w:drawing>
          <wp:inline distT="0" distB="0" distL="0" distR="0">
            <wp:extent cx="13721" cy="9148"/>
            <wp:effectExtent l="0" t="0" r="0" b="0"/>
            <wp:docPr id="10810" name="Picture 10810"/>
            <wp:cNvGraphicFramePr/>
            <a:graphic xmlns:a="http://schemas.openxmlformats.org/drawingml/2006/main">
              <a:graphicData uri="http://schemas.openxmlformats.org/drawingml/2006/picture">
                <pic:pic xmlns:pic="http://schemas.openxmlformats.org/drawingml/2006/picture">
                  <pic:nvPicPr>
                    <pic:cNvPr id="10810" name="Picture 10810"/>
                    <pic:cNvPicPr/>
                  </pic:nvPicPr>
                  <pic:blipFill>
                    <a:blip r:embed="rId9"/>
                    <a:stretch>
                      <a:fillRect/>
                    </a:stretch>
                  </pic:blipFill>
                  <pic:spPr>
                    <a:xfrm>
                      <a:off x="0" y="0"/>
                      <a:ext cx="13721" cy="9148"/>
                    </a:xfrm>
                    <a:prstGeom prst="rect">
                      <a:avLst/>
                    </a:prstGeom>
                  </pic:spPr>
                </pic:pic>
              </a:graphicData>
            </a:graphic>
          </wp:inline>
        </w:drawing>
      </w:r>
      <w:r w:rsidRPr="00776421">
        <w:rPr>
          <w:szCs w:val="20"/>
        </w:rPr>
        <w:t>inkontinenčních pomůcek, podpora přenosných terminálů na čárové kódy dodávané autorem.</w:t>
      </w:r>
    </w:p>
    <w:p w:rsidR="005D22E2" w:rsidRPr="00776421" w:rsidRDefault="001451DB">
      <w:pPr>
        <w:spacing w:after="199"/>
        <w:ind w:left="410" w:right="518" w:hanging="411"/>
        <w:rPr>
          <w:szCs w:val="20"/>
        </w:rPr>
      </w:pPr>
      <w:r w:rsidRPr="00776421">
        <w:rPr>
          <w:noProof/>
          <w:szCs w:val="20"/>
        </w:rPr>
        <w:drawing>
          <wp:anchor distT="0" distB="0" distL="114300" distR="114300" simplePos="0" relativeHeight="251658240" behindDoc="0" locked="0" layoutInCell="1" allowOverlap="0">
            <wp:simplePos x="0" y="0"/>
            <wp:positionH relativeFrom="page">
              <wp:posOffset>672310</wp:posOffset>
            </wp:positionH>
            <wp:positionV relativeFrom="page">
              <wp:posOffset>6947509</wp:posOffset>
            </wp:positionV>
            <wp:extent cx="4574" cy="4573"/>
            <wp:effectExtent l="0" t="0" r="0" b="0"/>
            <wp:wrapSquare wrapText="bothSides"/>
            <wp:docPr id="4961" name="Picture 4961"/>
            <wp:cNvGraphicFramePr/>
            <a:graphic xmlns:a="http://schemas.openxmlformats.org/drawingml/2006/main">
              <a:graphicData uri="http://schemas.openxmlformats.org/drawingml/2006/picture">
                <pic:pic xmlns:pic="http://schemas.openxmlformats.org/drawingml/2006/picture">
                  <pic:nvPicPr>
                    <pic:cNvPr id="4961" name="Picture 4961"/>
                    <pic:cNvPicPr/>
                  </pic:nvPicPr>
                  <pic:blipFill>
                    <a:blip r:embed="rId10"/>
                    <a:stretch>
                      <a:fillRect/>
                    </a:stretch>
                  </pic:blipFill>
                  <pic:spPr>
                    <a:xfrm>
                      <a:off x="0" y="0"/>
                      <a:ext cx="4574" cy="4573"/>
                    </a:xfrm>
                    <a:prstGeom prst="rect">
                      <a:avLst/>
                    </a:prstGeom>
                  </pic:spPr>
                </pic:pic>
              </a:graphicData>
            </a:graphic>
          </wp:anchor>
        </w:drawing>
      </w:r>
      <w:r w:rsidRPr="00776421">
        <w:rPr>
          <w:noProof/>
          <w:szCs w:val="20"/>
        </w:rPr>
        <w:drawing>
          <wp:inline distT="0" distB="0" distL="0" distR="0">
            <wp:extent cx="36588" cy="18295"/>
            <wp:effectExtent l="0" t="0" r="0" b="0"/>
            <wp:docPr id="4957" name="Picture 4957"/>
            <wp:cNvGraphicFramePr/>
            <a:graphic xmlns:a="http://schemas.openxmlformats.org/drawingml/2006/main">
              <a:graphicData uri="http://schemas.openxmlformats.org/drawingml/2006/picture">
                <pic:pic xmlns:pic="http://schemas.openxmlformats.org/drawingml/2006/picture">
                  <pic:nvPicPr>
                    <pic:cNvPr id="4957" name="Picture 4957"/>
                    <pic:cNvPicPr/>
                  </pic:nvPicPr>
                  <pic:blipFill>
                    <a:blip r:embed="rId11"/>
                    <a:stretch>
                      <a:fillRect/>
                    </a:stretch>
                  </pic:blipFill>
                  <pic:spPr>
                    <a:xfrm>
                      <a:off x="0" y="0"/>
                      <a:ext cx="36588" cy="18295"/>
                    </a:xfrm>
                    <a:prstGeom prst="rect">
                      <a:avLst/>
                    </a:prstGeom>
                  </pic:spPr>
                </pic:pic>
              </a:graphicData>
            </a:graphic>
          </wp:inline>
        </w:drawing>
      </w:r>
      <w:r w:rsidRPr="00776421">
        <w:rPr>
          <w:szCs w:val="20"/>
        </w:rPr>
        <w:t xml:space="preserve"> Verze </w:t>
      </w:r>
      <w:r w:rsidRPr="00776421">
        <w:rPr>
          <w:b/>
          <w:szCs w:val="20"/>
        </w:rPr>
        <w:t xml:space="preserve">PREMIUM </w:t>
      </w:r>
      <w:r w:rsidRPr="00776421">
        <w:rPr>
          <w:szCs w:val="20"/>
        </w:rPr>
        <w:t>obsahuje stejnou funkčnost jako verze STANDARD, navíc nabízí vedení dokumentace ošetřovatelské péče pouze v elektronické podobě v souladu s platnou legislativou. Program splňuje veškeré k tomu stanovené podmínky podle zákona č. 372/2011 Sb., o zdravotních službách, ve znění pozdějších předpisů a vyhlášky č. 98/2012 Sb. Dále program nabízí nástroj pro odesílání vykázaných dávek na zdravotní pojišťovny přímo z programu.</w:t>
      </w:r>
    </w:p>
    <w:p w:rsidR="005D22E2" w:rsidRPr="00776421" w:rsidRDefault="001451DB">
      <w:pPr>
        <w:ind w:left="-1" w:right="518"/>
        <w:rPr>
          <w:szCs w:val="20"/>
        </w:rPr>
      </w:pPr>
      <w:r w:rsidRPr="00776421">
        <w:rPr>
          <w:szCs w:val="20"/>
        </w:rPr>
        <w:t>Minimální požadavky na uživatelskou stanici:</w:t>
      </w:r>
    </w:p>
    <w:p w:rsidR="000143F0" w:rsidRPr="00776421" w:rsidRDefault="000143F0" w:rsidP="000143F0">
      <w:pPr>
        <w:ind w:left="4" w:right="518" w:firstLine="0"/>
        <w:rPr>
          <w:szCs w:val="20"/>
        </w:rPr>
      </w:pPr>
      <w:r w:rsidRPr="00776421">
        <w:rPr>
          <w:szCs w:val="20"/>
        </w:rPr>
        <w:t>-</w:t>
      </w:r>
      <w:r w:rsidR="001451DB" w:rsidRPr="00776421">
        <w:rPr>
          <w:szCs w:val="20"/>
        </w:rPr>
        <w:t xml:space="preserve">PC s operačním systémem Windows Vista a novější v </w:t>
      </w:r>
      <w:proofErr w:type="gramStart"/>
      <w:r w:rsidR="001451DB" w:rsidRPr="00776421">
        <w:rPr>
          <w:szCs w:val="20"/>
        </w:rPr>
        <w:t>32-bitové</w:t>
      </w:r>
      <w:proofErr w:type="gramEnd"/>
      <w:r w:rsidR="001451DB" w:rsidRPr="00776421">
        <w:rPr>
          <w:szCs w:val="20"/>
        </w:rPr>
        <w:t xml:space="preserve"> nebo 64-bitové verzi, přičemž operační systém musí být </w:t>
      </w:r>
      <w:r w:rsidR="000A257B">
        <w:rPr>
          <w:szCs w:val="20"/>
        </w:rPr>
        <w:t xml:space="preserve">  </w:t>
      </w:r>
      <w:r w:rsidR="001451DB" w:rsidRPr="00776421">
        <w:rPr>
          <w:szCs w:val="20"/>
        </w:rPr>
        <w:t xml:space="preserve">podporován výrobcem a musí být aktualizovaný na nejnovější verzi </w:t>
      </w:r>
    </w:p>
    <w:p w:rsidR="005D22E2" w:rsidRPr="00776421" w:rsidRDefault="000143F0" w:rsidP="000143F0">
      <w:pPr>
        <w:ind w:left="4" w:right="518" w:firstLine="0"/>
        <w:rPr>
          <w:szCs w:val="20"/>
        </w:rPr>
      </w:pPr>
      <w:r w:rsidRPr="00776421">
        <w:rPr>
          <w:szCs w:val="20"/>
        </w:rPr>
        <w:t>-</w:t>
      </w:r>
      <w:r w:rsidR="001451DB" w:rsidRPr="00776421">
        <w:rPr>
          <w:szCs w:val="20"/>
        </w:rPr>
        <w:t>Operační paměť 4 GB RAM</w:t>
      </w:r>
    </w:p>
    <w:p w:rsidR="000A4E50" w:rsidRDefault="000143F0" w:rsidP="000A4E50">
      <w:pPr>
        <w:ind w:left="4" w:right="518" w:firstLine="0"/>
        <w:rPr>
          <w:szCs w:val="20"/>
        </w:rPr>
      </w:pPr>
      <w:r w:rsidRPr="00776421">
        <w:rPr>
          <w:szCs w:val="20"/>
        </w:rPr>
        <w:t>-</w:t>
      </w:r>
      <w:r w:rsidR="001451DB" w:rsidRPr="00776421">
        <w:rPr>
          <w:szCs w:val="20"/>
        </w:rPr>
        <w:t>Rozlišení monitoru 1024x768 pixelů</w:t>
      </w:r>
    </w:p>
    <w:p w:rsidR="000143F0" w:rsidRPr="00776421" w:rsidRDefault="000A4E50" w:rsidP="000A4E50">
      <w:pPr>
        <w:ind w:left="4" w:right="518" w:firstLine="0"/>
        <w:rPr>
          <w:szCs w:val="20"/>
        </w:rPr>
      </w:pPr>
      <w:r>
        <w:rPr>
          <w:szCs w:val="20"/>
        </w:rPr>
        <w:t>-</w:t>
      </w:r>
      <w:r w:rsidR="001451DB" w:rsidRPr="00776421">
        <w:rPr>
          <w:szCs w:val="20"/>
        </w:rPr>
        <w:t>Nainstalovaný Microsoft .NET Framework 4.0 vč. aktualizací na nejnovější verzi</w:t>
      </w:r>
    </w:p>
    <w:p w:rsidR="000143F0" w:rsidRPr="00776421" w:rsidRDefault="000143F0" w:rsidP="000143F0">
      <w:pPr>
        <w:spacing w:after="0"/>
        <w:ind w:left="4" w:right="518" w:firstLine="0"/>
        <w:rPr>
          <w:szCs w:val="20"/>
        </w:rPr>
      </w:pPr>
      <w:r w:rsidRPr="00776421">
        <w:rPr>
          <w:szCs w:val="20"/>
        </w:rPr>
        <w:t>-</w:t>
      </w:r>
      <w:r w:rsidR="001451DB" w:rsidRPr="00776421">
        <w:rPr>
          <w:szCs w:val="20"/>
        </w:rPr>
        <w:t xml:space="preserve">Administrátorský přístup pro instalaci klientské aplikace </w:t>
      </w:r>
    </w:p>
    <w:p w:rsidR="005D22E2" w:rsidRPr="00776421" w:rsidRDefault="000143F0" w:rsidP="000143F0">
      <w:pPr>
        <w:spacing w:after="0"/>
        <w:ind w:left="4" w:right="518" w:firstLine="0"/>
        <w:rPr>
          <w:szCs w:val="20"/>
        </w:rPr>
      </w:pPr>
      <w:r w:rsidRPr="00776421">
        <w:rPr>
          <w:szCs w:val="20"/>
        </w:rPr>
        <w:t>-</w:t>
      </w:r>
      <w:r w:rsidR="001451DB" w:rsidRPr="00776421">
        <w:rPr>
          <w:szCs w:val="20"/>
        </w:rPr>
        <w:t>Stabilní připojení k</w:t>
      </w:r>
      <w:r w:rsidRPr="00776421">
        <w:rPr>
          <w:szCs w:val="20"/>
        </w:rPr>
        <w:t> </w:t>
      </w:r>
      <w:r w:rsidR="001451DB" w:rsidRPr="00776421">
        <w:rPr>
          <w:szCs w:val="20"/>
        </w:rPr>
        <w:t>internetu</w:t>
      </w:r>
    </w:p>
    <w:p w:rsidR="000143F0" w:rsidRPr="00776421" w:rsidRDefault="000143F0" w:rsidP="000143F0">
      <w:pPr>
        <w:spacing w:after="0"/>
        <w:ind w:left="4" w:right="518" w:firstLine="0"/>
        <w:rPr>
          <w:szCs w:val="20"/>
        </w:rPr>
      </w:pPr>
    </w:p>
    <w:p w:rsidR="000143F0" w:rsidRPr="00776421" w:rsidRDefault="000143F0" w:rsidP="000143F0">
      <w:pPr>
        <w:spacing w:after="0"/>
        <w:ind w:left="4" w:right="518" w:firstLine="0"/>
        <w:rPr>
          <w:szCs w:val="20"/>
        </w:rPr>
      </w:pPr>
    </w:p>
    <w:p w:rsidR="005D22E2" w:rsidRPr="00776421" w:rsidRDefault="001451DB">
      <w:pPr>
        <w:spacing w:after="464" w:line="248" w:lineRule="auto"/>
        <w:ind w:left="10" w:right="339" w:hanging="10"/>
        <w:jc w:val="left"/>
        <w:rPr>
          <w:b/>
          <w:szCs w:val="20"/>
        </w:rPr>
      </w:pPr>
      <w:r w:rsidRPr="00776421">
        <w:rPr>
          <w:b/>
          <w:szCs w:val="20"/>
        </w:rPr>
        <w:t>Tento dodatek nabývá účinnosti dnem 1.2.2016.</w:t>
      </w:r>
    </w:p>
    <w:p w:rsidR="00776421" w:rsidRPr="00776421" w:rsidRDefault="00776421" w:rsidP="00776421">
      <w:pPr>
        <w:spacing w:after="666" w:line="248" w:lineRule="auto"/>
        <w:ind w:left="28" w:right="14"/>
        <w:rPr>
          <w:szCs w:val="20"/>
        </w:rPr>
      </w:pPr>
      <w:bookmarkStart w:id="0" w:name="_Hlk514768503"/>
      <w:r w:rsidRPr="00776421">
        <w:rPr>
          <w:szCs w:val="20"/>
        </w:rPr>
        <w:t>V……</w:t>
      </w:r>
      <w:proofErr w:type="gramStart"/>
      <w:r w:rsidRPr="00776421">
        <w:rPr>
          <w:szCs w:val="20"/>
        </w:rPr>
        <w:t>…….</w:t>
      </w:r>
      <w:proofErr w:type="gramEnd"/>
      <w:r w:rsidRPr="00776421">
        <w:rPr>
          <w:szCs w:val="20"/>
        </w:rPr>
        <w:t>dne………….</w:t>
      </w:r>
      <w:r w:rsidRPr="00776421">
        <w:rPr>
          <w:szCs w:val="20"/>
        </w:rPr>
        <w:tab/>
      </w:r>
      <w:r w:rsidRPr="00776421">
        <w:rPr>
          <w:szCs w:val="20"/>
        </w:rPr>
        <w:tab/>
      </w:r>
      <w:r w:rsidRPr="00776421">
        <w:rPr>
          <w:szCs w:val="20"/>
        </w:rPr>
        <w:tab/>
      </w:r>
      <w:r w:rsidRPr="00776421">
        <w:rPr>
          <w:szCs w:val="20"/>
        </w:rPr>
        <w:tab/>
        <w:t xml:space="preserve">     V………</w:t>
      </w:r>
      <w:proofErr w:type="gramStart"/>
      <w:r w:rsidRPr="00776421">
        <w:rPr>
          <w:szCs w:val="20"/>
        </w:rPr>
        <w:t>…….</w:t>
      </w:r>
      <w:proofErr w:type="gramEnd"/>
      <w:r w:rsidRPr="00776421">
        <w:rPr>
          <w:szCs w:val="20"/>
        </w:rPr>
        <w:t>dne……………</w:t>
      </w:r>
    </w:p>
    <w:p w:rsidR="00776421" w:rsidRPr="00776421" w:rsidRDefault="00776421" w:rsidP="00776421">
      <w:pPr>
        <w:spacing w:after="0" w:line="265" w:lineRule="auto"/>
        <w:ind w:left="-149" w:right="1217" w:hanging="10"/>
        <w:jc w:val="left"/>
        <w:rPr>
          <w:szCs w:val="20"/>
        </w:rPr>
      </w:pPr>
    </w:p>
    <w:tbl>
      <w:tblPr>
        <w:tblStyle w:val="TableGrid1"/>
        <w:tblW w:w="9752" w:type="dxa"/>
        <w:tblInd w:w="14" w:type="dxa"/>
        <w:tblCellMar>
          <w:top w:w="2" w:type="dxa"/>
        </w:tblCellMar>
        <w:tblLook w:val="04A0" w:firstRow="1" w:lastRow="0" w:firstColumn="1" w:lastColumn="0" w:noHBand="0" w:noVBand="1"/>
      </w:tblPr>
      <w:tblGrid>
        <w:gridCol w:w="5207"/>
        <w:gridCol w:w="4545"/>
      </w:tblGrid>
      <w:tr w:rsidR="00776421" w:rsidRPr="00776421" w:rsidTr="00026E55">
        <w:trPr>
          <w:trHeight w:val="310"/>
        </w:trPr>
        <w:tc>
          <w:tcPr>
            <w:tcW w:w="5207" w:type="dxa"/>
            <w:tcBorders>
              <w:top w:val="nil"/>
              <w:left w:val="nil"/>
              <w:bottom w:val="nil"/>
              <w:right w:val="nil"/>
            </w:tcBorders>
          </w:tcPr>
          <w:p w:rsidR="00776421" w:rsidRPr="00776421" w:rsidRDefault="00776421" w:rsidP="00776421">
            <w:pPr>
              <w:spacing w:after="0" w:line="259" w:lineRule="auto"/>
              <w:ind w:right="0" w:firstLine="0"/>
              <w:jc w:val="left"/>
              <w:rPr>
                <w:b/>
                <w:szCs w:val="20"/>
              </w:rPr>
            </w:pPr>
            <w:r w:rsidRPr="00776421">
              <w:rPr>
                <w:b/>
                <w:szCs w:val="20"/>
              </w:rPr>
              <w:t xml:space="preserve">Ing. Jiří </w:t>
            </w:r>
            <w:proofErr w:type="spellStart"/>
            <w:r w:rsidRPr="00776421">
              <w:rPr>
                <w:b/>
                <w:szCs w:val="20"/>
              </w:rPr>
              <w:t>Halousek</w:t>
            </w:r>
            <w:proofErr w:type="spellEnd"/>
            <w:r w:rsidRPr="00776421">
              <w:rPr>
                <w:b/>
                <w:szCs w:val="20"/>
              </w:rPr>
              <w:t>, jednatel</w:t>
            </w:r>
            <w:bookmarkStart w:id="1" w:name="_GoBack"/>
            <w:bookmarkEnd w:id="1"/>
          </w:p>
        </w:tc>
        <w:tc>
          <w:tcPr>
            <w:tcW w:w="4545" w:type="dxa"/>
            <w:tcBorders>
              <w:top w:val="nil"/>
              <w:left w:val="nil"/>
              <w:bottom w:val="nil"/>
              <w:right w:val="nil"/>
            </w:tcBorders>
          </w:tcPr>
          <w:p w:rsidR="00776421" w:rsidRPr="00776421" w:rsidRDefault="00776421" w:rsidP="00776421">
            <w:pPr>
              <w:spacing w:after="0" w:line="259" w:lineRule="auto"/>
              <w:ind w:left="14" w:right="0" w:firstLine="0"/>
              <w:jc w:val="left"/>
              <w:rPr>
                <w:b/>
                <w:szCs w:val="20"/>
              </w:rPr>
            </w:pPr>
            <w:r w:rsidRPr="00776421">
              <w:rPr>
                <w:b/>
                <w:szCs w:val="20"/>
              </w:rPr>
              <w:t>Mgr. et Ing. Adéla Machalová, ředitelka</w:t>
            </w:r>
          </w:p>
        </w:tc>
      </w:tr>
      <w:tr w:rsidR="00776421" w:rsidRPr="00776421" w:rsidTr="00026E55">
        <w:trPr>
          <w:trHeight w:val="338"/>
        </w:trPr>
        <w:tc>
          <w:tcPr>
            <w:tcW w:w="5207" w:type="dxa"/>
            <w:tcBorders>
              <w:top w:val="nil"/>
              <w:left w:val="nil"/>
              <w:bottom w:val="nil"/>
              <w:right w:val="nil"/>
            </w:tcBorders>
          </w:tcPr>
          <w:p w:rsidR="00776421" w:rsidRPr="00776421" w:rsidRDefault="00776421" w:rsidP="00776421">
            <w:pPr>
              <w:tabs>
                <w:tab w:val="center" w:pos="1318"/>
              </w:tabs>
              <w:spacing w:after="0" w:line="259" w:lineRule="auto"/>
              <w:ind w:right="0" w:firstLine="0"/>
              <w:jc w:val="left"/>
              <w:rPr>
                <w:szCs w:val="20"/>
              </w:rPr>
            </w:pPr>
            <w:r w:rsidRPr="00776421">
              <w:rPr>
                <w:szCs w:val="20"/>
              </w:rPr>
              <w:t xml:space="preserve">za </w:t>
            </w:r>
            <w:proofErr w:type="spellStart"/>
            <w:r w:rsidRPr="00776421">
              <w:rPr>
                <w:szCs w:val="20"/>
              </w:rPr>
              <w:t>IReSoft</w:t>
            </w:r>
            <w:proofErr w:type="spellEnd"/>
            <w:r w:rsidRPr="00776421">
              <w:rPr>
                <w:szCs w:val="20"/>
              </w:rPr>
              <w:t>, s.r.o.</w:t>
            </w:r>
          </w:p>
        </w:tc>
        <w:tc>
          <w:tcPr>
            <w:tcW w:w="4545" w:type="dxa"/>
            <w:tcBorders>
              <w:top w:val="nil"/>
              <w:left w:val="nil"/>
              <w:bottom w:val="nil"/>
              <w:right w:val="nil"/>
            </w:tcBorders>
          </w:tcPr>
          <w:p w:rsidR="00776421" w:rsidRPr="00776421" w:rsidRDefault="00776421" w:rsidP="00776421">
            <w:pPr>
              <w:spacing w:after="0" w:line="259" w:lineRule="auto"/>
              <w:ind w:left="29" w:right="0" w:firstLine="0"/>
              <w:rPr>
                <w:szCs w:val="20"/>
              </w:rPr>
            </w:pPr>
            <w:r w:rsidRPr="00776421">
              <w:rPr>
                <w:szCs w:val="20"/>
              </w:rPr>
              <w:t>za Sociální služby pro osoby se zdravotním</w:t>
            </w:r>
          </w:p>
        </w:tc>
      </w:tr>
      <w:tr w:rsidR="00776421" w:rsidRPr="00776421" w:rsidTr="00026E55">
        <w:trPr>
          <w:trHeight w:val="353"/>
        </w:trPr>
        <w:tc>
          <w:tcPr>
            <w:tcW w:w="5207" w:type="dxa"/>
            <w:tcBorders>
              <w:top w:val="nil"/>
              <w:left w:val="nil"/>
              <w:bottom w:val="nil"/>
              <w:right w:val="nil"/>
            </w:tcBorders>
            <w:vAlign w:val="bottom"/>
          </w:tcPr>
          <w:p w:rsidR="00776421" w:rsidRPr="00776421" w:rsidRDefault="00776421" w:rsidP="00776421">
            <w:pPr>
              <w:spacing w:after="0" w:line="259" w:lineRule="auto"/>
              <w:ind w:left="7" w:right="0" w:firstLine="0"/>
              <w:jc w:val="left"/>
              <w:rPr>
                <w:szCs w:val="20"/>
              </w:rPr>
            </w:pPr>
            <w:r w:rsidRPr="00776421">
              <w:rPr>
                <w:szCs w:val="20"/>
              </w:rPr>
              <w:t>autor</w:t>
            </w:r>
          </w:p>
        </w:tc>
        <w:tc>
          <w:tcPr>
            <w:tcW w:w="4545" w:type="dxa"/>
            <w:tcBorders>
              <w:top w:val="nil"/>
              <w:left w:val="nil"/>
              <w:bottom w:val="nil"/>
              <w:right w:val="nil"/>
            </w:tcBorders>
          </w:tcPr>
          <w:p w:rsidR="00776421" w:rsidRPr="00776421" w:rsidRDefault="00776421" w:rsidP="00776421">
            <w:pPr>
              <w:spacing w:after="0" w:line="259" w:lineRule="auto"/>
              <w:ind w:left="22" w:right="0" w:firstLine="0"/>
              <w:jc w:val="left"/>
              <w:rPr>
                <w:szCs w:val="20"/>
              </w:rPr>
            </w:pPr>
            <w:r w:rsidRPr="00776421">
              <w:rPr>
                <w:szCs w:val="20"/>
              </w:rPr>
              <w:t>postižením, příspěvková organizace</w:t>
            </w:r>
          </w:p>
        </w:tc>
      </w:tr>
    </w:tbl>
    <w:p w:rsidR="00776421" w:rsidRPr="00776421" w:rsidRDefault="00776421" w:rsidP="00776421">
      <w:pPr>
        <w:spacing w:after="861" w:line="265" w:lineRule="auto"/>
        <w:ind w:left="2171" w:right="533" w:hanging="10"/>
        <w:rPr>
          <w:szCs w:val="20"/>
        </w:rPr>
      </w:pPr>
      <w:r>
        <w:rPr>
          <w:szCs w:val="20"/>
        </w:rPr>
        <w:t xml:space="preserve">                                                              </w:t>
      </w:r>
      <w:r w:rsidRPr="00776421">
        <w:rPr>
          <w:szCs w:val="20"/>
        </w:rPr>
        <w:t>nabyvatel</w:t>
      </w:r>
      <w:bookmarkEnd w:id="0"/>
    </w:p>
    <w:sectPr w:rsidR="00776421" w:rsidRPr="00776421">
      <w:footerReference w:type="default" r:id="rId12"/>
      <w:pgSz w:w="11920" w:h="16840"/>
      <w:pgMar w:top="1292" w:right="670" w:bottom="965" w:left="107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EC6" w:rsidRDefault="007B7EC6" w:rsidP="00EC05FC">
      <w:pPr>
        <w:spacing w:after="0" w:line="240" w:lineRule="auto"/>
      </w:pPr>
      <w:r>
        <w:separator/>
      </w:r>
    </w:p>
  </w:endnote>
  <w:endnote w:type="continuationSeparator" w:id="0">
    <w:p w:rsidR="007B7EC6" w:rsidRDefault="007B7EC6" w:rsidP="00EC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856319"/>
      <w:docPartObj>
        <w:docPartGallery w:val="Page Numbers (Bottom of Page)"/>
        <w:docPartUnique/>
      </w:docPartObj>
    </w:sdtPr>
    <w:sdtEndPr/>
    <w:sdtContent>
      <w:p w:rsidR="00EC05FC" w:rsidRDefault="00EC05FC">
        <w:pPr>
          <w:pStyle w:val="Zpat"/>
          <w:jc w:val="center"/>
        </w:pPr>
        <w:r>
          <w:fldChar w:fldCharType="begin"/>
        </w:r>
        <w:r>
          <w:instrText>PAGE   \* MERGEFORMAT</w:instrText>
        </w:r>
        <w:r>
          <w:fldChar w:fldCharType="separate"/>
        </w:r>
        <w:r>
          <w:t>2</w:t>
        </w:r>
        <w:r>
          <w:fldChar w:fldCharType="end"/>
        </w:r>
      </w:p>
    </w:sdtContent>
  </w:sdt>
  <w:p w:rsidR="00EC05FC" w:rsidRDefault="00EC05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EC6" w:rsidRDefault="007B7EC6" w:rsidP="00EC05FC">
      <w:pPr>
        <w:spacing w:after="0" w:line="240" w:lineRule="auto"/>
      </w:pPr>
      <w:r>
        <w:separator/>
      </w:r>
    </w:p>
  </w:footnote>
  <w:footnote w:type="continuationSeparator" w:id="0">
    <w:p w:rsidR="007B7EC6" w:rsidRDefault="007B7EC6" w:rsidP="00EC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0" style="width:.75pt;height:.75pt" coordsize="" o:spt="100" o:bullet="t" adj="0,,0" path="" stroked="f">
        <v:stroke joinstyle="miter"/>
        <v:imagedata r:id="rId1" o:title="image11"/>
        <v:formulas/>
        <v:path o:connecttype="segments"/>
      </v:shape>
    </w:pict>
  </w:numPicBullet>
  <w:abstractNum w:abstractNumId="0" w15:restartNumberingAfterBreak="0">
    <w:nsid w:val="120D31A0"/>
    <w:multiLevelType w:val="multilevel"/>
    <w:tmpl w:val="0BA4DB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057F84"/>
    <w:multiLevelType w:val="hybridMultilevel"/>
    <w:tmpl w:val="956E2548"/>
    <w:lvl w:ilvl="0" w:tplc="C80A9A06">
      <w:start w:val="1"/>
      <w:numFmt w:val="bullet"/>
      <w:lvlText w:val="•"/>
      <w:lvlPicBulletId w:val="0"/>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F6AC80">
      <w:start w:val="1"/>
      <w:numFmt w:val="bullet"/>
      <w:lvlText w:val="o"/>
      <w:lvlJc w:val="left"/>
      <w:pPr>
        <w:ind w:left="1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7A33C8">
      <w:start w:val="1"/>
      <w:numFmt w:val="bullet"/>
      <w:lvlText w:val="▪"/>
      <w:lvlJc w:val="left"/>
      <w:pPr>
        <w:ind w:left="2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CC0D96">
      <w:start w:val="1"/>
      <w:numFmt w:val="bullet"/>
      <w:lvlText w:val="•"/>
      <w:lvlJc w:val="left"/>
      <w:pPr>
        <w:ind w:left="29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A85BB2">
      <w:start w:val="1"/>
      <w:numFmt w:val="bullet"/>
      <w:lvlText w:val="o"/>
      <w:lvlJc w:val="left"/>
      <w:pPr>
        <w:ind w:left="3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2AA42">
      <w:start w:val="1"/>
      <w:numFmt w:val="bullet"/>
      <w:lvlText w:val="▪"/>
      <w:lvlJc w:val="left"/>
      <w:pPr>
        <w:ind w:left="4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787BD4">
      <w:start w:val="1"/>
      <w:numFmt w:val="bullet"/>
      <w:lvlText w:val="•"/>
      <w:lvlJc w:val="left"/>
      <w:pPr>
        <w:ind w:left="5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8AC61A">
      <w:start w:val="1"/>
      <w:numFmt w:val="bullet"/>
      <w:lvlText w:val="o"/>
      <w:lvlJc w:val="left"/>
      <w:pPr>
        <w:ind w:left="5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88B984">
      <w:start w:val="1"/>
      <w:numFmt w:val="bullet"/>
      <w:lvlText w:val="▪"/>
      <w:lvlJc w:val="left"/>
      <w:pPr>
        <w:ind w:left="6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E2"/>
    <w:rsid w:val="000143F0"/>
    <w:rsid w:val="000A257B"/>
    <w:rsid w:val="000A4E50"/>
    <w:rsid w:val="001451DB"/>
    <w:rsid w:val="002954F1"/>
    <w:rsid w:val="005D22E2"/>
    <w:rsid w:val="00776421"/>
    <w:rsid w:val="007B7EC6"/>
    <w:rsid w:val="00EC0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5E56"/>
  <w15:docId w15:val="{2E18C947-7663-4D3F-B340-361B51A0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 w:line="260" w:lineRule="auto"/>
      <w:ind w:right="454" w:firstLine="4"/>
      <w:jc w:val="both"/>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143F0"/>
    <w:pPr>
      <w:ind w:left="720"/>
      <w:contextualSpacing/>
    </w:pPr>
  </w:style>
  <w:style w:type="table" w:customStyle="1" w:styleId="TableGrid1">
    <w:name w:val="TableGrid1"/>
    <w:rsid w:val="00776421"/>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EC05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05FC"/>
    <w:rPr>
      <w:rFonts w:ascii="Times New Roman" w:eastAsia="Times New Roman" w:hAnsi="Times New Roman" w:cs="Times New Roman"/>
      <w:color w:val="000000"/>
      <w:sz w:val="20"/>
    </w:rPr>
  </w:style>
  <w:style w:type="paragraph" w:styleId="Zpat">
    <w:name w:val="footer"/>
    <w:basedOn w:val="Normln"/>
    <w:link w:val="ZpatChar"/>
    <w:uiPriority w:val="99"/>
    <w:unhideWhenUsed/>
    <w:rsid w:val="00EC05FC"/>
    <w:pPr>
      <w:tabs>
        <w:tab w:val="center" w:pos="4536"/>
        <w:tab w:val="right" w:pos="9072"/>
      </w:tabs>
      <w:spacing w:after="0" w:line="240" w:lineRule="auto"/>
    </w:pPr>
  </w:style>
  <w:style w:type="character" w:customStyle="1" w:styleId="ZpatChar">
    <w:name w:val="Zápatí Char"/>
    <w:basedOn w:val="Standardnpsmoodstavce"/>
    <w:link w:val="Zpat"/>
    <w:uiPriority w:val="99"/>
    <w:rsid w:val="00EC05F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4204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Reimerová</dc:creator>
  <cp:keywords/>
  <cp:lastModifiedBy>Iveta Reimerová</cp:lastModifiedBy>
  <cp:revision>6</cp:revision>
  <dcterms:created xsi:type="dcterms:W3CDTF">2018-05-22T15:47:00Z</dcterms:created>
  <dcterms:modified xsi:type="dcterms:W3CDTF">2018-05-22T15:57:00Z</dcterms:modified>
</cp:coreProperties>
</file>