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CD2" w:rsidRDefault="00F76F28">
      <w:pPr>
        <w:pStyle w:val="Nadpis40"/>
        <w:keepNext/>
        <w:keepLines/>
        <w:shd w:val="clear" w:color="auto" w:fill="auto"/>
      </w:pPr>
      <w:r>
        <w:rPr>
          <w:noProof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3510915</wp:posOffset>
            </wp:positionH>
            <wp:positionV relativeFrom="paragraph">
              <wp:posOffset>114300</wp:posOffset>
            </wp:positionV>
            <wp:extent cx="853440" cy="41465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5344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6CD2" w:rsidRDefault="00F76F28">
      <w:pPr>
        <w:pStyle w:val="Nadpis50"/>
        <w:keepNext/>
        <w:keepLines/>
        <w:shd w:val="clear" w:color="auto" w:fill="auto"/>
        <w:spacing w:line="226" w:lineRule="auto"/>
      </w:pPr>
      <w:bookmarkStart w:id="0" w:name="bookmark4"/>
      <w:r>
        <w:t>AVE Ústí nad Labem s.r.o., Neštěmická 779/4, 400 21, Ústí nad Labem, IČ: 61329002, DIČ: CZ61329002</w:t>
      </w:r>
      <w:r>
        <w:br/>
        <w:t xml:space="preserve">zastoupená: </w:t>
      </w:r>
      <w:r w:rsidR="00871833">
        <w:t>j</w:t>
      </w:r>
      <w:r>
        <w:t>ednatelem společnosti</w:t>
      </w:r>
      <w:bookmarkEnd w:id="0"/>
    </w:p>
    <w:p w:rsidR="006B6CD2" w:rsidRDefault="004E7F4F">
      <w:pPr>
        <w:pStyle w:val="Nadpis50"/>
        <w:keepNext/>
        <w:keepLines/>
        <w:shd w:val="clear" w:color="auto" w:fill="auto"/>
        <w:spacing w:after="140" w:line="226" w:lineRule="auto"/>
        <w:ind w:left="3240" w:right="0"/>
        <w:jc w:val="left"/>
      </w:pPr>
      <w:bookmarkStart w:id="1" w:name="bookmark5"/>
      <w:r>
        <w:t xml:space="preserve">                                           </w:t>
      </w:r>
      <w:r w:rsidR="00397985">
        <w:t xml:space="preserve">       </w:t>
      </w:r>
      <w:r w:rsidR="00871833">
        <w:t xml:space="preserve"> </w:t>
      </w:r>
      <w:r w:rsidR="00F76F28">
        <w:t xml:space="preserve"> jednatelem společnosti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6"/>
        <w:gridCol w:w="3021"/>
        <w:gridCol w:w="2880"/>
      </w:tblGrid>
      <w:tr w:rsidR="006B6CD2">
        <w:tblPrEx>
          <w:tblCellMar>
            <w:top w:w="0" w:type="dxa"/>
            <w:bottom w:w="0" w:type="dxa"/>
          </w:tblCellMar>
        </w:tblPrEx>
        <w:trPr>
          <w:trHeight w:hRule="exact" w:val="402"/>
          <w:jc w:val="center"/>
        </w:trPr>
        <w:tc>
          <w:tcPr>
            <w:tcW w:w="9417" w:type="dxa"/>
            <w:gridSpan w:val="3"/>
            <w:shd w:val="clear" w:color="auto" w:fill="FFFFFF"/>
          </w:tcPr>
          <w:p w:rsidR="006B6CD2" w:rsidRDefault="00F76F28">
            <w:pPr>
              <w:pStyle w:val="Jin0"/>
              <w:shd w:val="clear" w:color="auto" w:fill="auto"/>
              <w:ind w:right="8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(dále jen </w:t>
            </w:r>
            <w:r>
              <w:rPr>
                <w:sz w:val="15"/>
                <w:szCs w:val="15"/>
              </w:rPr>
              <w:t>zhotovitel)</w:t>
            </w:r>
          </w:p>
        </w:tc>
      </w:tr>
      <w:tr w:rsidR="006B6CD2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3516" w:type="dxa"/>
            <w:shd w:val="clear" w:color="auto" w:fill="FFFFFF"/>
            <w:vAlign w:val="bottom"/>
          </w:tcPr>
          <w:p w:rsidR="006B6CD2" w:rsidRDefault="00F76F28">
            <w:pPr>
              <w:pStyle w:val="Jin0"/>
              <w:shd w:val="clear" w:color="auto" w:fill="auto"/>
              <w:spacing w:line="221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Domov pro seniory Chlumec, příspěvková organizace</w:t>
            </w:r>
          </w:p>
        </w:tc>
        <w:tc>
          <w:tcPr>
            <w:tcW w:w="3021" w:type="dxa"/>
            <w:shd w:val="clear" w:color="auto" w:fill="FFFFFF"/>
          </w:tcPr>
          <w:p w:rsidR="006B6CD2" w:rsidRDefault="00F76F28">
            <w:pPr>
              <w:pStyle w:val="Jin0"/>
              <w:shd w:val="clear" w:color="auto" w:fill="auto"/>
              <w:ind w:left="118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2880" w:type="dxa"/>
            <w:shd w:val="clear" w:color="auto" w:fill="FFFFFF"/>
          </w:tcPr>
          <w:p w:rsidR="006B6CD2" w:rsidRDefault="006B6CD2">
            <w:pPr>
              <w:rPr>
                <w:sz w:val="10"/>
                <w:szCs w:val="10"/>
              </w:rPr>
            </w:pPr>
          </w:p>
        </w:tc>
      </w:tr>
      <w:tr w:rsidR="006B6CD2">
        <w:tblPrEx>
          <w:tblCellMar>
            <w:top w:w="0" w:type="dxa"/>
            <w:bottom w:w="0" w:type="dxa"/>
          </w:tblCellMar>
        </w:tblPrEx>
        <w:trPr>
          <w:trHeight w:hRule="exact" w:val="321"/>
          <w:jc w:val="center"/>
        </w:trPr>
        <w:tc>
          <w:tcPr>
            <w:tcW w:w="3516" w:type="dxa"/>
            <w:tcBorders>
              <w:top w:val="single" w:sz="4" w:space="0" w:color="auto"/>
            </w:tcBorders>
            <w:shd w:val="clear" w:color="auto" w:fill="FFFFFF"/>
          </w:tcPr>
          <w:p w:rsidR="006B6CD2" w:rsidRDefault="00F76F28">
            <w:pPr>
              <w:pStyle w:val="Jin0"/>
              <w:shd w:val="clear" w:color="auto" w:fill="auto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Název firmy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FFFFFF"/>
          </w:tcPr>
          <w:p w:rsidR="006B6CD2" w:rsidRDefault="00F76F28">
            <w:pPr>
              <w:pStyle w:val="Jin0"/>
              <w:shd w:val="clear" w:color="auto" w:fill="auto"/>
              <w:ind w:left="108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Bankovní spojeni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</w:tcPr>
          <w:p w:rsidR="006B6CD2" w:rsidRDefault="00F76F28">
            <w:pPr>
              <w:pStyle w:val="Jin0"/>
              <w:shd w:val="clear" w:color="auto" w:fill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Číslo účtu</w:t>
            </w:r>
          </w:p>
        </w:tc>
      </w:tr>
      <w:tr w:rsidR="006B6CD2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3516" w:type="dxa"/>
            <w:shd w:val="clear" w:color="auto" w:fill="FFFFFF"/>
            <w:vAlign w:val="bottom"/>
          </w:tcPr>
          <w:p w:rsidR="006B6CD2" w:rsidRDefault="00F76F28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Pod Horkou 85, 403 39 Chlumec</w:t>
            </w:r>
          </w:p>
        </w:tc>
        <w:tc>
          <w:tcPr>
            <w:tcW w:w="3021" w:type="dxa"/>
            <w:shd w:val="clear" w:color="auto" w:fill="FFFFFF"/>
            <w:vAlign w:val="bottom"/>
          </w:tcPr>
          <w:p w:rsidR="006B6CD2" w:rsidRDefault="006B6CD2">
            <w:pPr>
              <w:pStyle w:val="Jin0"/>
              <w:shd w:val="clear" w:color="auto" w:fill="auto"/>
              <w:ind w:left="1080"/>
              <w:jc w:val="left"/>
              <w:rPr>
                <w:sz w:val="15"/>
                <w:szCs w:val="15"/>
              </w:rPr>
            </w:pPr>
          </w:p>
        </w:tc>
        <w:tc>
          <w:tcPr>
            <w:tcW w:w="2880" w:type="dxa"/>
            <w:shd w:val="clear" w:color="auto" w:fill="FFFFFF"/>
            <w:vAlign w:val="bottom"/>
          </w:tcPr>
          <w:p w:rsidR="006B6CD2" w:rsidRDefault="006B6CD2">
            <w:pPr>
              <w:pStyle w:val="Jin0"/>
              <w:shd w:val="clear" w:color="auto" w:fill="auto"/>
              <w:jc w:val="left"/>
              <w:rPr>
                <w:sz w:val="15"/>
                <w:szCs w:val="15"/>
              </w:rPr>
            </w:pPr>
          </w:p>
        </w:tc>
      </w:tr>
      <w:tr w:rsidR="006B6CD2">
        <w:tblPrEx>
          <w:tblCellMar>
            <w:top w:w="0" w:type="dxa"/>
            <w:bottom w:w="0" w:type="dxa"/>
          </w:tblCellMar>
        </w:tblPrEx>
        <w:trPr>
          <w:trHeight w:hRule="exact" w:val="321"/>
          <w:jc w:val="center"/>
        </w:trPr>
        <w:tc>
          <w:tcPr>
            <w:tcW w:w="3516" w:type="dxa"/>
            <w:tcBorders>
              <w:top w:val="single" w:sz="4" w:space="0" w:color="auto"/>
            </w:tcBorders>
            <w:shd w:val="clear" w:color="auto" w:fill="FFFFFF"/>
          </w:tcPr>
          <w:p w:rsidR="006B6CD2" w:rsidRDefault="00F76F28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Adresa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FFFFFF"/>
          </w:tcPr>
          <w:p w:rsidR="006B6CD2" w:rsidRDefault="00F76F28">
            <w:pPr>
              <w:pStyle w:val="Jin0"/>
              <w:shd w:val="clear" w:color="auto" w:fill="auto"/>
              <w:ind w:left="108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Kontaktní osoba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</w:tcPr>
          <w:p w:rsidR="006B6CD2" w:rsidRDefault="00F76F28">
            <w:pPr>
              <w:pStyle w:val="Jin0"/>
              <w:shd w:val="clear" w:color="auto" w:fill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tel/e-mail</w:t>
            </w:r>
          </w:p>
        </w:tc>
      </w:tr>
      <w:tr w:rsidR="006B6CD2">
        <w:tblPrEx>
          <w:tblCellMar>
            <w:top w:w="0" w:type="dxa"/>
            <w:bottom w:w="0" w:type="dxa"/>
          </w:tblCellMar>
        </w:tblPrEx>
        <w:trPr>
          <w:trHeight w:hRule="exact" w:val="368"/>
          <w:jc w:val="center"/>
        </w:trPr>
        <w:tc>
          <w:tcPr>
            <w:tcW w:w="351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B6CD2" w:rsidRDefault="00F76F28">
            <w:pPr>
              <w:pStyle w:val="Jin0"/>
              <w:shd w:val="clear" w:color="auto" w:fill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445 552 96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B6CD2" w:rsidRDefault="00F76F28">
            <w:pPr>
              <w:pStyle w:val="Jin0"/>
              <w:shd w:val="clear" w:color="auto" w:fill="auto"/>
              <w:ind w:left="108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Pod Horkou 85, Chlumec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</w:tcPr>
          <w:p w:rsidR="006B6CD2" w:rsidRDefault="006B6CD2">
            <w:pPr>
              <w:rPr>
                <w:sz w:val="10"/>
                <w:szCs w:val="10"/>
              </w:rPr>
            </w:pPr>
          </w:p>
        </w:tc>
      </w:tr>
    </w:tbl>
    <w:p w:rsidR="006B6CD2" w:rsidRDefault="00397985">
      <w:pPr>
        <w:pStyle w:val="Titulektabulky0"/>
        <w:shd w:val="clear" w:color="auto" w:fill="auto"/>
        <w:tabs>
          <w:tab w:val="left" w:pos="1926"/>
          <w:tab w:val="left" w:pos="4551"/>
        </w:tabs>
        <w:jc w:val="both"/>
      </w:pPr>
      <w:r>
        <w:t xml:space="preserve">                                 </w:t>
      </w:r>
      <w:r w:rsidR="00F76F28">
        <w:t>IČO</w:t>
      </w:r>
      <w:r w:rsidR="00F76F28">
        <w:tab/>
      </w:r>
      <w:r>
        <w:t xml:space="preserve">                                           </w:t>
      </w:r>
      <w:r w:rsidR="00F76F28">
        <w:t>DIČ</w:t>
      </w:r>
      <w:r w:rsidR="00F76F28">
        <w:tab/>
      </w:r>
      <w:r w:rsidR="00871833">
        <w:t xml:space="preserve">  </w:t>
      </w:r>
      <w:r>
        <w:t xml:space="preserve">                                 </w:t>
      </w:r>
      <w:r w:rsidR="00F76F28">
        <w:t xml:space="preserve">Stanoviště </w:t>
      </w:r>
      <w:r w:rsidR="00F76F28">
        <w:t>nádoby</w:t>
      </w:r>
    </w:p>
    <w:p w:rsidR="006B6CD2" w:rsidRDefault="006B6CD2">
      <w:pPr>
        <w:spacing w:after="226" w:line="14" w:lineRule="exact"/>
      </w:pPr>
    </w:p>
    <w:p w:rsidR="006B6CD2" w:rsidRDefault="00F76F28">
      <w:pPr>
        <w:pStyle w:val="Zkladntext20"/>
        <w:shd w:val="clear" w:color="auto" w:fill="auto"/>
        <w:spacing w:after="140"/>
        <w:ind w:right="60"/>
        <w:jc w:val="center"/>
      </w:pPr>
      <w:r>
        <w:t>{dále jen objednatel)</w:t>
      </w:r>
    </w:p>
    <w:p w:rsidR="006B6CD2" w:rsidRDefault="00F76F28">
      <w:pPr>
        <w:pStyle w:val="Zkladntext20"/>
        <w:shd w:val="clear" w:color="auto" w:fill="auto"/>
        <w:spacing w:after="140"/>
        <w:ind w:right="60"/>
        <w:jc w:val="center"/>
      </w:pPr>
      <w:r>
        <w:t>uzavírají podle § 536 a násl. Obchodního zákoníku a podle příslušných ustanovení zákona č. 185/</w:t>
      </w:r>
      <w:r w:rsidR="00DF7B57">
        <w:t xml:space="preserve">01 </w:t>
      </w:r>
      <w:r>
        <w:t>Sb. o odpadech v platném znění</w:t>
      </w:r>
    </w:p>
    <w:p w:rsidR="006B6CD2" w:rsidRDefault="00F76F28">
      <w:pPr>
        <w:pStyle w:val="Nadpis10"/>
        <w:keepNext/>
        <w:keepLines/>
        <w:shd w:val="clear" w:color="auto" w:fill="auto"/>
      </w:pPr>
      <w:bookmarkStart w:id="2" w:name="bookmark6"/>
      <w:r>
        <w:t>SMLOUVU</w:t>
      </w:r>
      <w:bookmarkEnd w:id="2"/>
    </w:p>
    <w:p w:rsidR="003B6E77" w:rsidRDefault="00F76F28" w:rsidP="003B6E77">
      <w:pPr>
        <w:pStyle w:val="Titulektabulky0"/>
        <w:shd w:val="clear" w:color="auto" w:fill="auto"/>
        <w:ind w:left="4454"/>
        <w:rPr>
          <w:sz w:val="14"/>
          <w:szCs w:val="14"/>
        </w:rPr>
      </w:pPr>
      <w:bookmarkStart w:id="3" w:name="bookmark7"/>
      <w:r>
        <w:rPr>
          <w:sz w:val="19"/>
          <w:szCs w:val="19"/>
          <w:lang w:val="en-US" w:eastAsia="en-US" w:bidi="en-US"/>
        </w:rPr>
        <w:t>ev.</w:t>
      </w:r>
      <w:r w:rsidR="00DF7B57">
        <w:rPr>
          <w:sz w:val="19"/>
          <w:szCs w:val="19"/>
          <w:lang w:val="en-US" w:eastAsia="en-US" w:bidi="en-US"/>
        </w:rPr>
        <w:t xml:space="preserve"> č</w:t>
      </w:r>
      <w:r>
        <w:rPr>
          <w:sz w:val="19"/>
          <w:szCs w:val="19"/>
          <w:lang w:val="en-US" w:eastAsia="en-US" w:bidi="en-US"/>
        </w:rPr>
        <w:t xml:space="preserve">: </w:t>
      </w:r>
      <w:r>
        <w:rPr>
          <w:sz w:val="19"/>
          <w:szCs w:val="19"/>
        </w:rPr>
        <w:t>S/050/180016</w:t>
      </w:r>
      <w:r>
        <w:rPr>
          <w:sz w:val="19"/>
          <w:szCs w:val="19"/>
        </w:rPr>
        <w:br/>
      </w:r>
      <w:r>
        <w:t>o sběru</w:t>
      </w:r>
      <w:r w:rsidR="003B6E77">
        <w:t>, úpravě a odstraňování odpadů</w:t>
      </w:r>
      <w:r w:rsidR="003B6E77">
        <w:br/>
      </w:r>
      <w:bookmarkEnd w:id="3"/>
    </w:p>
    <w:p w:rsidR="003B6E77" w:rsidRDefault="00397985" w:rsidP="00397985">
      <w:pPr>
        <w:pStyle w:val="Titulektabulky0"/>
        <w:shd w:val="clear" w:color="auto" w:fill="auto"/>
        <w:ind w:left="4454"/>
        <w:rPr>
          <w:sz w:val="14"/>
          <w:szCs w:val="14"/>
        </w:rPr>
      </w:pPr>
      <w:r>
        <w:rPr>
          <w:sz w:val="14"/>
          <w:szCs w:val="14"/>
        </w:rPr>
        <w:t xml:space="preserve">                        </w:t>
      </w:r>
      <w:r w:rsidR="003B6E77">
        <w:rPr>
          <w:sz w:val="14"/>
          <w:szCs w:val="14"/>
        </w:rPr>
        <w:t>ČI. I.</w:t>
      </w:r>
    </w:p>
    <w:p w:rsidR="00397985" w:rsidRDefault="00397985" w:rsidP="00397985">
      <w:pPr>
        <w:pStyle w:val="Zkladntext20"/>
        <w:shd w:val="clear" w:color="auto" w:fill="auto"/>
      </w:pPr>
      <w:r>
        <w:t xml:space="preserve">                                  </w:t>
      </w:r>
      <w:r w:rsidR="00F76F28">
        <w:t xml:space="preserve">Zhotovitel se zavazuje převzít, odvést a odstranit za podmínek v této smlouvě uvedených odpady objednatele specifikované v ČI. II. </w:t>
      </w:r>
    </w:p>
    <w:p w:rsidR="00397985" w:rsidRDefault="00397985" w:rsidP="00397985">
      <w:pPr>
        <w:pStyle w:val="Zkladntext20"/>
        <w:shd w:val="clear" w:color="auto" w:fill="auto"/>
      </w:pPr>
      <w:r>
        <w:t xml:space="preserve">                                  </w:t>
      </w:r>
      <w:r w:rsidR="00F76F28">
        <w:t xml:space="preserve">a objednatel se zavazuje zaplatit za jejich odvoz a odstranění zhotoviteli ceny sjednané ČI. </w:t>
      </w:r>
      <w:r w:rsidR="00F76F28">
        <w:rPr>
          <w:lang w:val="en-US" w:eastAsia="en-US" w:bidi="en-US"/>
        </w:rPr>
        <w:t xml:space="preserve">III. </w:t>
      </w:r>
      <w:r w:rsidR="00F76F28">
        <w:t>Objednatel se zavazuje shro</w:t>
      </w:r>
      <w:r w:rsidR="00F76F28">
        <w:t>mažďovat</w:t>
      </w:r>
    </w:p>
    <w:p w:rsidR="006B6CD2" w:rsidRDefault="00397985" w:rsidP="00397985">
      <w:pPr>
        <w:pStyle w:val="Zkladntext20"/>
        <w:shd w:val="clear" w:color="auto" w:fill="auto"/>
      </w:pPr>
      <w:r>
        <w:t xml:space="preserve">                                 </w:t>
      </w:r>
      <w:r w:rsidR="00F76F28">
        <w:t xml:space="preserve"> odpady do nádob, které mu zhotovitel touto smlouvou na dobu jejího trvání pronajímá za podmínek v této smlouvě uvedených.</w:t>
      </w:r>
    </w:p>
    <w:p w:rsidR="00397985" w:rsidRDefault="00397985" w:rsidP="00397985">
      <w:pPr>
        <w:pStyle w:val="Zkladntext20"/>
        <w:shd w:val="clear" w:color="auto" w:fill="auto"/>
      </w:pPr>
    </w:p>
    <w:p w:rsidR="006B6CD2" w:rsidRDefault="00397985">
      <w:pPr>
        <w:pStyle w:val="Titulektabulky0"/>
        <w:shd w:val="clear" w:color="auto" w:fill="auto"/>
        <w:ind w:left="4454"/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F76F28">
        <w:rPr>
          <w:sz w:val="14"/>
          <w:szCs w:val="14"/>
        </w:rPr>
        <w:t>ČI. II.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9"/>
        <w:gridCol w:w="4481"/>
        <w:gridCol w:w="1540"/>
        <w:gridCol w:w="2049"/>
      </w:tblGrid>
      <w:tr w:rsidR="006B6CD2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CD2" w:rsidRDefault="00F76F28">
            <w:pPr>
              <w:pStyle w:val="Jin0"/>
              <w:shd w:val="clear" w:color="auto" w:fill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Kód odpadu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CD2" w:rsidRDefault="00F76F2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odpadu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CD2" w:rsidRDefault="00F76F2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Druh nádoby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CD2" w:rsidRDefault="00F76F2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Počet nádob</w:t>
            </w:r>
          </w:p>
        </w:tc>
      </w:tr>
      <w:tr w:rsidR="006B6CD2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D2" w:rsidRDefault="00F76F28">
            <w:pPr>
              <w:pStyle w:val="Jin0"/>
              <w:shd w:val="clear" w:color="auto" w:fill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01 03 (N)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CD2" w:rsidRDefault="00F76F28">
            <w:pPr>
              <w:pStyle w:val="Jin0"/>
              <w:shd w:val="clear" w:color="auto" w:fill="auto"/>
              <w:spacing w:line="228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Zdravotnický odpad, na jehož zneškodněni jsou kladeny </w:t>
            </w:r>
            <w:r>
              <w:rPr>
                <w:sz w:val="15"/>
                <w:szCs w:val="15"/>
              </w:rPr>
              <w:t>zvláštní požadavky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D2" w:rsidRDefault="00F76F2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CD2" w:rsidRDefault="00F76F2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6B6CD2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D2" w:rsidRDefault="00F76F28">
            <w:pPr>
              <w:pStyle w:val="Jin0"/>
              <w:shd w:val="clear" w:color="auto" w:fill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01 01 (Nj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CD2" w:rsidRDefault="00F76F28">
            <w:pPr>
              <w:pStyle w:val="Jin0"/>
              <w:shd w:val="clear" w:color="auto" w:fill="auto"/>
              <w:spacing w:line="223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Zdravotnický odpad, na jehož zneškodněni jsou kladeny zvláštní požadavky - ostré předměty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D2" w:rsidRDefault="00F76F2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CD2" w:rsidRDefault="00F76F2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6B6CD2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CD2" w:rsidRDefault="00F76F28">
            <w:pPr>
              <w:pStyle w:val="Jin0"/>
              <w:shd w:val="clear" w:color="auto" w:fill="auto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01 10 (N)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CD2" w:rsidRDefault="00F76F28">
            <w:pPr>
              <w:pStyle w:val="Jin0"/>
              <w:shd w:val="clear" w:color="auto" w:fill="auto"/>
              <w:spacing w:line="223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Obaly obsahující zbytky nebezpečných látek nebo obaly těmito látkami znečištěné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CD2" w:rsidRDefault="00F76F2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CD2" w:rsidRDefault="00F76F2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</w:tbl>
    <w:p w:rsidR="006B6CD2" w:rsidRDefault="006B6CD2">
      <w:pPr>
        <w:spacing w:after="426" w:line="14" w:lineRule="exact"/>
      </w:pPr>
    </w:p>
    <w:p w:rsidR="006B6CD2" w:rsidRDefault="00397985" w:rsidP="00397985">
      <w:pPr>
        <w:pStyle w:val="Nadpis50"/>
        <w:keepNext/>
        <w:keepLines/>
        <w:shd w:val="clear" w:color="auto" w:fill="auto"/>
        <w:jc w:val="left"/>
      </w:pPr>
      <w:bookmarkStart w:id="4" w:name="bookmark8"/>
      <w:r>
        <w:rPr>
          <w:sz w:val="14"/>
          <w:szCs w:val="14"/>
        </w:rPr>
        <w:t xml:space="preserve">                                                                                                                                         </w:t>
      </w:r>
      <w:r w:rsidR="003B6E77">
        <w:rPr>
          <w:sz w:val="14"/>
          <w:szCs w:val="14"/>
        </w:rPr>
        <w:t xml:space="preserve">ČI. </w:t>
      </w:r>
      <w:r w:rsidR="003B6E77">
        <w:rPr>
          <w:sz w:val="14"/>
          <w:szCs w:val="14"/>
        </w:rPr>
        <w:t>I</w:t>
      </w:r>
      <w:r w:rsidR="003B6E77">
        <w:rPr>
          <w:sz w:val="14"/>
          <w:szCs w:val="14"/>
        </w:rPr>
        <w:t>II</w:t>
      </w:r>
      <w:r w:rsidR="00F76F28">
        <w:rPr>
          <w:lang w:val="en-US" w:eastAsia="en-US" w:bidi="en-US"/>
        </w:rPr>
        <w:t>.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4"/>
        <w:gridCol w:w="2043"/>
        <w:gridCol w:w="1909"/>
        <w:gridCol w:w="1628"/>
        <w:gridCol w:w="2224"/>
      </w:tblGrid>
      <w:tr w:rsidR="006B6CD2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CD2" w:rsidRDefault="00F76F2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Četnost svozu*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CD2" w:rsidRDefault="00F76F2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za odstraněni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CD2" w:rsidRDefault="00F76F2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Prodej nádoby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CD2" w:rsidRDefault="00F76F2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Cena za odvoz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6CD2" w:rsidRDefault="00F76F2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Vystavení evid. listu</w:t>
            </w:r>
          </w:p>
        </w:tc>
      </w:tr>
      <w:tr w:rsidR="006B6CD2">
        <w:tblPrEx>
          <w:tblCellMar>
            <w:top w:w="0" w:type="dxa"/>
            <w:bottom w:w="0" w:type="dxa"/>
          </w:tblCellMar>
        </w:tblPrEx>
        <w:trPr>
          <w:trHeight w:hRule="exact" w:val="228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D2" w:rsidRDefault="00F76F2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 zavolání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D2" w:rsidRDefault="00F76F2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26,-Kč/kg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D2" w:rsidRDefault="00F76F2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65,- Kč/ 2,5 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D2" w:rsidRDefault="00F76F2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CD2" w:rsidRDefault="00F76F2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6B6CD2">
        <w:tblPrEx>
          <w:tblCellMar>
            <w:top w:w="0" w:type="dxa"/>
            <w:bottom w:w="0" w:type="dxa"/>
          </w:tblCellMar>
        </w:tblPrEx>
        <w:trPr>
          <w:trHeight w:hRule="exact" w:val="228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CD2" w:rsidRDefault="00F76F2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 zavolání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CD2" w:rsidRDefault="00F76F2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26,-Kč/kg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6CD2" w:rsidRDefault="00F76F2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65,- Kč / 2.5 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6CD2" w:rsidRDefault="00F76F2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CD2" w:rsidRDefault="00F76F2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6B6CD2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CD2" w:rsidRDefault="00F76F2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 zavolání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6CD2" w:rsidRDefault="00F76F2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15,50 Kč/kg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CD2" w:rsidRDefault="00F76F2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CD2" w:rsidRDefault="00F76F2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CD2" w:rsidRDefault="00F76F28">
            <w:pPr>
              <w:pStyle w:val="Jin0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</w:tbl>
    <w:p w:rsidR="006B6CD2" w:rsidRDefault="006B6CD2">
      <w:pPr>
        <w:spacing w:after="266" w:line="14" w:lineRule="exact"/>
      </w:pPr>
    </w:p>
    <w:p w:rsidR="006B6CD2" w:rsidRDefault="00397985">
      <w:pPr>
        <w:pStyle w:val="Zkladntext20"/>
        <w:shd w:val="clear" w:color="auto" w:fill="auto"/>
        <w:spacing w:after="460" w:line="240" w:lineRule="auto"/>
      </w:pPr>
      <w:r>
        <w:t xml:space="preserve">                                  </w:t>
      </w:r>
      <w:r w:rsidR="00F76F28">
        <w:t>Ceny v tabulce uvedené jsou ceny smluvní - bez daně z přidané hodnoty</w:t>
      </w:r>
      <w:r w:rsidR="00F76F28">
        <w:t xml:space="preserve"> (DPH}, která k nim bude přičítána v zákonné výši.</w:t>
      </w:r>
    </w:p>
    <w:p w:rsidR="006B6CD2" w:rsidRDefault="00397985" w:rsidP="00397985">
      <w:pPr>
        <w:pStyle w:val="Zkladntext20"/>
        <w:shd w:val="clear" w:color="auto" w:fill="auto"/>
        <w:spacing w:line="240" w:lineRule="auto"/>
        <w:ind w:right="6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</w:t>
      </w:r>
      <w:r w:rsidR="00F76F28">
        <w:rPr>
          <w:sz w:val="14"/>
          <w:szCs w:val="14"/>
        </w:rPr>
        <w:t>ČI. IV.</w:t>
      </w:r>
    </w:p>
    <w:p w:rsidR="00397985" w:rsidRDefault="00397985">
      <w:pPr>
        <w:pStyle w:val="Zkladntext20"/>
        <w:shd w:val="clear" w:color="auto" w:fill="auto"/>
        <w:spacing w:line="218" w:lineRule="auto"/>
      </w:pPr>
      <w:r>
        <w:t xml:space="preserve">                                  </w:t>
      </w:r>
      <w:r w:rsidR="00F76F28">
        <w:t xml:space="preserve">Další práva a povinnosti smluvních stran jsou určeny v obchodních podmínkách pro sběr, úpravu a odstraňování odpadů uvedených na </w:t>
      </w:r>
    </w:p>
    <w:p w:rsidR="00397985" w:rsidRDefault="00397985">
      <w:pPr>
        <w:pStyle w:val="Zkladntext20"/>
        <w:shd w:val="clear" w:color="auto" w:fill="auto"/>
        <w:spacing w:line="218" w:lineRule="auto"/>
      </w:pPr>
      <w:r>
        <w:t xml:space="preserve">                                  </w:t>
      </w:r>
      <w:r w:rsidR="00F76F28">
        <w:t xml:space="preserve">zadní straně této smlouvy. Objednatel prohlašuje, že se s těmito </w:t>
      </w:r>
      <w:r w:rsidR="00F76F28">
        <w:t>obchodními podmínkami seznámil, a že je plně akceptuje. Smlouva</w:t>
      </w:r>
      <w:r>
        <w:t xml:space="preserve"> </w:t>
      </w:r>
      <w:r w:rsidR="00F76F28">
        <w:t>je</w:t>
      </w:r>
    </w:p>
    <w:p w:rsidR="006B6CD2" w:rsidRDefault="00397985">
      <w:pPr>
        <w:pStyle w:val="Zkladntext20"/>
        <w:shd w:val="clear" w:color="auto" w:fill="auto"/>
        <w:spacing w:line="218" w:lineRule="auto"/>
      </w:pPr>
      <w:r>
        <w:t xml:space="preserve">                                 </w:t>
      </w:r>
      <w:r w:rsidR="00F76F28">
        <w:t xml:space="preserve"> sepsána ve dvou vyhotoveních, po jednom pro každou ze smluvních stran.</w:t>
      </w:r>
    </w:p>
    <w:p w:rsidR="00871833" w:rsidRDefault="00871833">
      <w:pPr>
        <w:pStyle w:val="Zkladntext20"/>
        <w:shd w:val="clear" w:color="auto" w:fill="auto"/>
        <w:spacing w:line="218" w:lineRule="auto"/>
      </w:pPr>
    </w:p>
    <w:p w:rsidR="00871833" w:rsidRDefault="00871833">
      <w:pPr>
        <w:pStyle w:val="Zkladntext20"/>
        <w:shd w:val="clear" w:color="auto" w:fill="auto"/>
        <w:spacing w:line="218" w:lineRule="auto"/>
      </w:pPr>
    </w:p>
    <w:p w:rsidR="00871833" w:rsidRDefault="00871833">
      <w:pPr>
        <w:pStyle w:val="Zkladntext20"/>
        <w:shd w:val="clear" w:color="auto" w:fill="auto"/>
        <w:spacing w:line="218" w:lineRule="auto"/>
      </w:pPr>
    </w:p>
    <w:p w:rsidR="00871833" w:rsidRDefault="00871833">
      <w:pPr>
        <w:pStyle w:val="Zkladntext20"/>
        <w:shd w:val="clear" w:color="auto" w:fill="auto"/>
        <w:spacing w:line="218" w:lineRule="auto"/>
      </w:pPr>
    </w:p>
    <w:p w:rsidR="00871833" w:rsidRDefault="00871833">
      <w:pPr>
        <w:pStyle w:val="Zkladntext20"/>
        <w:shd w:val="clear" w:color="auto" w:fill="auto"/>
        <w:spacing w:line="218" w:lineRule="auto"/>
      </w:pPr>
    </w:p>
    <w:p w:rsidR="00871833" w:rsidRDefault="00871833">
      <w:pPr>
        <w:pStyle w:val="Zkladntext20"/>
        <w:shd w:val="clear" w:color="auto" w:fill="auto"/>
        <w:spacing w:line="218" w:lineRule="auto"/>
      </w:pPr>
    </w:p>
    <w:p w:rsidR="00871833" w:rsidRDefault="00871833">
      <w:pPr>
        <w:pStyle w:val="Zkladntext20"/>
        <w:shd w:val="clear" w:color="auto" w:fill="auto"/>
        <w:spacing w:line="218" w:lineRule="auto"/>
      </w:pPr>
    </w:p>
    <w:p w:rsidR="00871833" w:rsidRDefault="00871833" w:rsidP="00871833">
      <w:pPr>
        <w:pStyle w:val="Zkladntext20"/>
        <w:shd w:val="clear" w:color="auto" w:fill="auto"/>
        <w:tabs>
          <w:tab w:val="left" w:pos="1092"/>
        </w:tabs>
        <w:spacing w:line="218" w:lineRule="auto"/>
      </w:pPr>
      <w:r>
        <w:tab/>
      </w:r>
      <w:r w:rsidR="00397985">
        <w:t xml:space="preserve">      </w:t>
      </w:r>
      <w:r>
        <w:t xml:space="preserve">V Ústí nad Labem 17. 5. 2018                                                                                                                               </w:t>
      </w:r>
      <w:r w:rsidR="0084179D">
        <w:t>V Chlumci dne 21. 5. 2018</w:t>
      </w:r>
    </w:p>
    <w:p w:rsidR="00871833" w:rsidRDefault="00871833">
      <w:pPr>
        <w:pStyle w:val="Zkladntext20"/>
        <w:shd w:val="clear" w:color="auto" w:fill="auto"/>
        <w:spacing w:line="218" w:lineRule="auto"/>
      </w:pPr>
    </w:p>
    <w:p w:rsidR="00871833" w:rsidRDefault="00871833">
      <w:pPr>
        <w:pStyle w:val="Zkladntext20"/>
        <w:shd w:val="clear" w:color="auto" w:fill="auto"/>
        <w:spacing w:line="218" w:lineRule="auto"/>
      </w:pPr>
    </w:p>
    <w:p w:rsidR="00871833" w:rsidRDefault="00871833">
      <w:pPr>
        <w:pStyle w:val="Zkladntext20"/>
        <w:shd w:val="clear" w:color="auto" w:fill="auto"/>
        <w:spacing w:line="218" w:lineRule="auto"/>
      </w:pPr>
    </w:p>
    <w:p w:rsidR="00871833" w:rsidRDefault="00871833">
      <w:pPr>
        <w:pStyle w:val="Zkladntext20"/>
        <w:shd w:val="clear" w:color="auto" w:fill="auto"/>
        <w:spacing w:line="218" w:lineRule="auto"/>
      </w:pPr>
    </w:p>
    <w:p w:rsidR="00871833" w:rsidRDefault="00871833">
      <w:pPr>
        <w:spacing w:line="14" w:lineRule="exact"/>
        <w:sectPr w:rsidR="00871833">
          <w:type w:val="continuous"/>
          <w:pgSz w:w="12240" w:h="15840"/>
          <w:pgMar w:top="121" w:right="0" w:bottom="121" w:left="0" w:header="0" w:footer="3" w:gutter="0"/>
          <w:cols w:space="720"/>
          <w:noEndnote/>
          <w:docGrid w:linePitch="360"/>
        </w:sectPr>
      </w:pPr>
      <w:bookmarkStart w:id="5" w:name="_GoBack"/>
      <w:bookmarkEnd w:id="5"/>
    </w:p>
    <w:p w:rsidR="006B6CD2" w:rsidRDefault="00F76F28">
      <w:pPr>
        <w:pStyle w:val="Nadpis50"/>
        <w:keepNext/>
        <w:keepLines/>
        <w:shd w:val="clear" w:color="auto" w:fill="auto"/>
        <w:ind w:right="0"/>
        <w:jc w:val="left"/>
        <w:sectPr w:rsidR="006B6CD2">
          <w:type w:val="continuous"/>
          <w:pgSz w:w="12240" w:h="15840"/>
          <w:pgMar w:top="121" w:right="1252" w:bottom="121" w:left="1564" w:header="0" w:footer="3" w:gutter="0"/>
          <w:cols w:space="720"/>
          <w:noEndnote/>
          <w:docGrid w:linePitch="360"/>
        </w:sectPr>
      </w:pPr>
      <w:bookmarkStart w:id="6" w:name="bookmark9"/>
      <w:r>
        <w:t xml:space="preserve">Kontakt za AVE Ústí nad Labem: </w:t>
      </w:r>
      <w:bookmarkEnd w:id="6"/>
    </w:p>
    <w:p w:rsidR="006B6CD2" w:rsidRDefault="00F76F28">
      <w:pPr>
        <w:pStyle w:val="Nadpis50"/>
        <w:keepNext/>
        <w:keepLines/>
        <w:shd w:val="clear" w:color="auto" w:fill="auto"/>
        <w:spacing w:after="160" w:line="223" w:lineRule="auto"/>
        <w:ind w:right="0"/>
      </w:pPr>
      <w:bookmarkStart w:id="7" w:name="bookmark10"/>
      <w:r>
        <w:lastRenderedPageBreak/>
        <w:t>Obchodní podmínky pro sběr, odvoz a odstranění odpadu</w:t>
      </w:r>
      <w:r>
        <w:br/>
        <w:t>společnosti AVE Ústí nad Labem s.r.o.</w:t>
      </w:r>
      <w:bookmarkEnd w:id="7"/>
    </w:p>
    <w:p w:rsidR="006B6CD2" w:rsidRDefault="00DF7B57">
      <w:pPr>
        <w:pStyle w:val="Zkladntext20"/>
        <w:numPr>
          <w:ilvl w:val="0"/>
          <w:numId w:val="1"/>
        </w:numPr>
        <w:shd w:val="clear" w:color="auto" w:fill="auto"/>
        <w:tabs>
          <w:tab w:val="left" w:pos="244"/>
        </w:tabs>
        <w:spacing w:line="204" w:lineRule="auto"/>
        <w:rPr>
          <w:sz w:val="14"/>
          <w:szCs w:val="14"/>
        </w:rPr>
      </w:pPr>
      <w:r w:rsidRPr="00DF7B57">
        <w:rPr>
          <w:sz w:val="14"/>
          <w:szCs w:val="14"/>
          <w:u w:val="single"/>
        </w:rPr>
        <w:t>Pře</w:t>
      </w:r>
      <w:r w:rsidR="00F76F28" w:rsidRPr="00DF7B57">
        <w:rPr>
          <w:sz w:val="14"/>
          <w:szCs w:val="14"/>
          <w:u w:val="single"/>
        </w:rPr>
        <w:t>vzetí</w:t>
      </w:r>
      <w:r w:rsidR="00F76F28">
        <w:rPr>
          <w:sz w:val="14"/>
          <w:szCs w:val="14"/>
          <w:u w:val="single"/>
        </w:rPr>
        <w:t xml:space="preserve"> odpadu</w:t>
      </w:r>
    </w:p>
    <w:p w:rsidR="006B6CD2" w:rsidRDefault="00F76F28">
      <w:pPr>
        <w:pStyle w:val="Zkladntext1"/>
        <w:shd w:val="clear" w:color="auto" w:fill="auto"/>
        <w:spacing w:after="140" w:line="221" w:lineRule="auto"/>
      </w:pPr>
      <w:r>
        <w:t>Zhotovitel převezme od objednatele k odvozu a k následnému odstranění odpady, k jejichž odvozu a odstranění se zavázal ve smlouvě o sběru, odvozu a odstranění odpadu uvedené na přední straně. Odpady mus</w:t>
      </w:r>
      <w:r w:rsidR="00DF7B57">
        <w:t>í</w:t>
      </w:r>
      <w:r>
        <w:t xml:space="preserve"> být shromážděné v nádobách, které objednateli za tím</w:t>
      </w:r>
      <w:r>
        <w:t xml:space="preserve"> účelem zhotovitel pronajal. Převzetí odpadů v jiných nádobách je oprávněn zhotovitel odmítnout.</w:t>
      </w:r>
    </w:p>
    <w:p w:rsidR="006B6CD2" w:rsidRDefault="00DF7B57">
      <w:pPr>
        <w:pStyle w:val="Zkladntext1"/>
        <w:numPr>
          <w:ilvl w:val="0"/>
          <w:numId w:val="1"/>
        </w:numPr>
        <w:shd w:val="clear" w:color="auto" w:fill="auto"/>
        <w:tabs>
          <w:tab w:val="left" w:pos="251"/>
        </w:tabs>
        <w:spacing w:line="209" w:lineRule="auto"/>
        <w:rPr>
          <w:sz w:val="14"/>
          <w:szCs w:val="14"/>
        </w:rPr>
      </w:pPr>
      <w:r>
        <w:rPr>
          <w:sz w:val="14"/>
          <w:szCs w:val="14"/>
          <w:u w:val="single"/>
        </w:rPr>
        <w:t>Vl</w:t>
      </w:r>
      <w:r w:rsidR="00F76F28">
        <w:rPr>
          <w:sz w:val="14"/>
          <w:szCs w:val="14"/>
          <w:u w:val="single"/>
        </w:rPr>
        <w:t>astnictví, umístění nádob, nájemné</w:t>
      </w:r>
    </w:p>
    <w:p w:rsidR="006B6CD2" w:rsidRDefault="00F76F28">
      <w:pPr>
        <w:pStyle w:val="Zkladntext1"/>
        <w:shd w:val="clear" w:color="auto" w:fill="auto"/>
        <w:spacing w:line="223" w:lineRule="auto"/>
      </w:pPr>
      <w:r>
        <w:t>Zhotovitel pronajímá objednateli nádoby ke sběru odpadu s účinnosti ode dne jejich převzetí objednatelem</w:t>
      </w:r>
      <w:r>
        <w:t>.</w:t>
      </w:r>
      <w:r w:rsidR="00DF7B57">
        <w:t xml:space="preserve"> </w:t>
      </w:r>
      <w:r>
        <w:t>O převzetí nádob</w:t>
      </w:r>
      <w:r>
        <w:t xml:space="preserve"> bude pořízen zápis podepsaný objednatelem. Objednatel není oprávněn dát nádoby do podnájmu.</w:t>
      </w:r>
    </w:p>
    <w:p w:rsidR="006B6CD2" w:rsidRDefault="00F76F28">
      <w:pPr>
        <w:pStyle w:val="Zkladntext1"/>
        <w:shd w:val="clear" w:color="auto" w:fill="auto"/>
        <w:spacing w:line="223" w:lineRule="auto"/>
      </w:pPr>
      <w:r>
        <w:t>Objednatel je povinen umístit nádoby na vhodné místo s dostatečně zpevněnou příjezdovou komunikací. Povinnost objednatele je nádobu na tomto místě plnit, pečlivě s</w:t>
      </w:r>
      <w:r>
        <w:t xml:space="preserve"> ní z</w:t>
      </w:r>
      <w:r w:rsidR="00DF7B57">
        <w:t>acházet a chránit ji. Podléhá-li</w:t>
      </w:r>
      <w:r>
        <w:t xml:space="preserve"> umístění nádoby zvláštnímu povolení k užívání {např. při umístěni na veřejné komunikaci), musí být před jejím umístěním toto povolení obstaráno objednatelem na jeho náklady. Objednatel je odpovědný za dodržováni bezpeč</w:t>
      </w:r>
      <w:r>
        <w:t>nosti silničního provozu (např. osvětlení plochy umístění nádob po setmění). Nutné přemístění nádob jdou k</w:t>
      </w:r>
      <w:r w:rsidR="00DF7B57">
        <w:t xml:space="preserve"> </w:t>
      </w:r>
      <w:r>
        <w:t xml:space="preserve">tíží objednatele. Objednatel má povinnost chránit nádoby před poškozením, ztrátou a zcizením. Pokud dojde k poškozeni, ztrátě nebo zničeni nádoby, je </w:t>
      </w:r>
      <w:r>
        <w:t xml:space="preserve">objednatel povinen nahradit takto vzniklou škodu zhotoviteli do 7 kalendářních dnů od zjištění poškození, ztráty nebo zcizeni nádoby tak, že opatři na vlastni náklady pro zhotovitele identickou nádobu novou. tzn. nádobu o stejném objemu, stejného typu, ze </w:t>
      </w:r>
      <w:r>
        <w:t>stejného materiálu. Nenahrad</w:t>
      </w:r>
      <w:r w:rsidR="00DF7B57">
        <w:t>í</w:t>
      </w:r>
      <w:r>
        <w:t>-li objednatel zhotoviteli Škodu ve lhůtě a způsobem výše uvedeným, pak je povinen nahradit škodu zhotoviteli v penězích tak, že zaplatí zhotoviteli cenu nové nádoby do 7 dnů ode dne, kdy bude k jej</w:t>
      </w:r>
      <w:r w:rsidR="00DF7B57">
        <w:t>í</w:t>
      </w:r>
      <w:r>
        <w:t>mu zaplacení zhotovitelem vy</w:t>
      </w:r>
      <w:r>
        <w:t>zván.</w:t>
      </w:r>
    </w:p>
    <w:p w:rsidR="006B6CD2" w:rsidRDefault="00F76F28">
      <w:pPr>
        <w:pStyle w:val="Zkladntext1"/>
        <w:shd w:val="clear" w:color="auto" w:fill="auto"/>
        <w:spacing w:line="223" w:lineRule="auto"/>
        <w:jc w:val="left"/>
      </w:pPr>
      <w:r>
        <w:t xml:space="preserve">Zhotovitel je oprávněn nádoby kdykoliv vyměnit za jiné. V případě výměny nádob ptati nájemní podmínky sjednané pro pronájem vyměněných nádob. Nádoby zůstanou ve vlastnictví zhotovitele a objednatel je povinen v případě ukončení smlouvy nádoby předat </w:t>
      </w:r>
      <w:r>
        <w:t>prázdné zhotoviteli ve lhůtě zhotovitelem určené.</w:t>
      </w:r>
    </w:p>
    <w:p w:rsidR="006B6CD2" w:rsidRDefault="00F76F28">
      <w:pPr>
        <w:pStyle w:val="Zkladntext1"/>
        <w:shd w:val="clear" w:color="auto" w:fill="auto"/>
        <w:spacing w:after="140" w:line="223" w:lineRule="auto"/>
      </w:pPr>
      <w:r>
        <w:t>V případě ukončení smlouvy je zhotovitel oprávněn nádoby neprodleně odstranit. Předá-li objednatel zhotoviteli nádoby po skončení smlouvy naplněné zcela nebo zčásti odpadem, je povinen za jeho odvoz a odstr</w:t>
      </w:r>
      <w:r>
        <w:t>anění zaplatit cenu pro svoz a odstraněni dohodnutou ve smlouvě.</w:t>
      </w:r>
    </w:p>
    <w:p w:rsidR="006B6CD2" w:rsidRDefault="00F76F28">
      <w:pPr>
        <w:pStyle w:val="Zkladntext1"/>
        <w:numPr>
          <w:ilvl w:val="0"/>
          <w:numId w:val="1"/>
        </w:numPr>
        <w:shd w:val="clear" w:color="auto" w:fill="auto"/>
        <w:tabs>
          <w:tab w:val="left" w:pos="251"/>
        </w:tabs>
        <w:spacing w:line="209" w:lineRule="auto"/>
      </w:pPr>
      <w:r>
        <w:rPr>
          <w:u w:val="single"/>
        </w:rPr>
        <w:t>Povinnost odvozu a odstraněni/ právní odpovědnost za odpady</w:t>
      </w:r>
    </w:p>
    <w:p w:rsidR="006B6CD2" w:rsidRDefault="00F76F28">
      <w:pPr>
        <w:pStyle w:val="Zkladntext1"/>
        <w:shd w:val="clear" w:color="auto" w:fill="auto"/>
        <w:spacing w:line="226" w:lineRule="auto"/>
      </w:pPr>
      <w:r>
        <w:t xml:space="preserve">Povinnosti zhotovitele se přerušují, pokud nemůže být plánovaný odvoz uskutečněn z důvodů, které zhotovitel nemůže ovlivnit (např. </w:t>
      </w:r>
      <w:r>
        <w:t xml:space="preserve">vyšší moc, stávka, demonstrace </w:t>
      </w:r>
      <w:r>
        <w:rPr>
          <w:lang w:val="en-US" w:eastAsia="en-US" w:bidi="en-US"/>
        </w:rPr>
        <w:t xml:space="preserve">aid.}. </w:t>
      </w:r>
      <w:r>
        <w:t>V okamžiku převzetí odpadu zhotovitelem od objednatele přecházejí odpady do vlastnictví zhotovitele.</w:t>
      </w:r>
    </w:p>
    <w:p w:rsidR="006B6CD2" w:rsidRDefault="00F76F28">
      <w:pPr>
        <w:pStyle w:val="Zkladntext1"/>
        <w:shd w:val="clear" w:color="auto" w:fill="auto"/>
        <w:spacing w:line="226" w:lineRule="auto"/>
      </w:pPr>
      <w:r>
        <w:t>Zhotovitel je oprávněn provádět smluvní plněni prostřednictvím spolehlivých třetích subjektů.</w:t>
      </w:r>
    </w:p>
    <w:p w:rsidR="006B6CD2" w:rsidRDefault="00F76F28">
      <w:pPr>
        <w:pStyle w:val="Zkladntext1"/>
        <w:shd w:val="clear" w:color="auto" w:fill="auto"/>
        <w:spacing w:line="226" w:lineRule="auto"/>
      </w:pPr>
      <w:r>
        <w:t xml:space="preserve">Objednatel je sám </w:t>
      </w:r>
      <w:r>
        <w:t>odpovědný za správnou deklaraci určených odpadů. Toto platí i v případě zplnomocněni zhotovitele k zastupováni vůči úřadům, firmám, věřitelům.</w:t>
      </w:r>
    </w:p>
    <w:p w:rsidR="006B6CD2" w:rsidRDefault="00F76F28">
      <w:pPr>
        <w:pStyle w:val="Zkladntext1"/>
        <w:shd w:val="clear" w:color="auto" w:fill="auto"/>
        <w:spacing w:line="226" w:lineRule="auto"/>
      </w:pPr>
      <w:r>
        <w:t xml:space="preserve">Zhotovitel je oprávněn odmítnout převzít k odvozu a ke odstraněni odpady, které nejsou předmětem sběru, odvozu a </w:t>
      </w:r>
      <w:r>
        <w:t>odstraněni podle smlouvy nebo které se podstatou svého složení odlišují od odpovědného prohlášení (deklarace). V případě, že zhotovitel takové odpady převezme k odvozu a ke odstranění, je oprávněn účtovat objednateli cenu za jejich odvoz a odstraněn! a pří</w:t>
      </w:r>
      <w:r>
        <w:t>padné další náklady spojené s jejich odvozem a odstraněním.</w:t>
      </w:r>
    </w:p>
    <w:p w:rsidR="006B6CD2" w:rsidRDefault="00F76F28">
      <w:pPr>
        <w:pStyle w:val="Zkladntext1"/>
        <w:shd w:val="clear" w:color="auto" w:fill="auto"/>
        <w:spacing w:after="140" w:line="226" w:lineRule="auto"/>
      </w:pPr>
      <w:r>
        <w:t>Objednatele zavazuje k úhradě odvozu a odstraněni takto předaných odpadů zhotoviteli, na které se smlouva nevztahuje, a to v plné výši vyfakturovaných více nákladů.</w:t>
      </w:r>
    </w:p>
    <w:p w:rsidR="006B6CD2" w:rsidRDefault="00F76F28">
      <w:pPr>
        <w:pStyle w:val="Zkladntext1"/>
        <w:numPr>
          <w:ilvl w:val="0"/>
          <w:numId w:val="1"/>
        </w:numPr>
        <w:shd w:val="clear" w:color="auto" w:fill="auto"/>
        <w:tabs>
          <w:tab w:val="left" w:pos="251"/>
        </w:tabs>
        <w:spacing w:line="199" w:lineRule="auto"/>
        <w:rPr>
          <w:sz w:val="14"/>
          <w:szCs w:val="14"/>
        </w:rPr>
      </w:pPr>
      <w:r>
        <w:rPr>
          <w:sz w:val="14"/>
          <w:szCs w:val="14"/>
          <w:u w:val="single"/>
        </w:rPr>
        <w:t>Termíny</w:t>
      </w:r>
    </w:p>
    <w:p w:rsidR="006B6CD2" w:rsidRDefault="00F76F28">
      <w:pPr>
        <w:pStyle w:val="Zkladntext1"/>
        <w:shd w:val="clear" w:color="auto" w:fill="auto"/>
        <w:spacing w:line="216" w:lineRule="auto"/>
      </w:pPr>
      <w:r>
        <w:t>Nádoby budou vyprazdňov</w:t>
      </w:r>
      <w:r>
        <w:t>ány zhotovitelem podle četnosti odvozu dohodnutého ve smlouvě.</w:t>
      </w:r>
    </w:p>
    <w:p w:rsidR="006B6CD2" w:rsidRDefault="00DF7B57">
      <w:pPr>
        <w:pStyle w:val="Zkladntext1"/>
        <w:shd w:val="clear" w:color="auto" w:fill="auto"/>
        <w:spacing w:line="223" w:lineRule="auto"/>
        <w:rPr>
          <w:sz w:val="12"/>
          <w:szCs w:val="12"/>
        </w:rPr>
      </w:pPr>
      <w:r>
        <w:t>Při zpoždění zhotovitelem m</w:t>
      </w:r>
      <w:r w:rsidR="00F76F28">
        <w:t xml:space="preserve">á objednatel povinnost stanovit zhotoviteli přiměřenou náhradní dobu plnění a po jejím bezvýsledném uplynuti má objednatel </w:t>
      </w:r>
      <w:r w:rsidR="00F76F28">
        <w:rPr>
          <w:sz w:val="12"/>
          <w:szCs w:val="12"/>
        </w:rPr>
        <w:t>právo smlouvu vypovědět.</w:t>
      </w:r>
    </w:p>
    <w:p w:rsidR="006B6CD2" w:rsidRDefault="00F76F28">
      <w:pPr>
        <w:pStyle w:val="Zkladntext1"/>
        <w:shd w:val="clear" w:color="auto" w:fill="auto"/>
        <w:spacing w:after="140" w:line="216" w:lineRule="auto"/>
      </w:pPr>
      <w:r>
        <w:t>Všechny další nár</w:t>
      </w:r>
      <w:r>
        <w:t>oky objednatele jsou vyloučeny, ledaže by nedodržení termínů zhotovitelem bylo úmyslné nebo zaviněné hrubou nedbalostí.</w:t>
      </w:r>
    </w:p>
    <w:p w:rsidR="006B6CD2" w:rsidRDefault="00F76F28">
      <w:pPr>
        <w:pStyle w:val="Zkladntext20"/>
        <w:numPr>
          <w:ilvl w:val="0"/>
          <w:numId w:val="1"/>
        </w:numPr>
        <w:shd w:val="clear" w:color="auto" w:fill="auto"/>
        <w:tabs>
          <w:tab w:val="left" w:pos="251"/>
        </w:tabs>
        <w:spacing w:line="197" w:lineRule="auto"/>
      </w:pPr>
      <w:r>
        <w:rPr>
          <w:u w:val="single"/>
        </w:rPr>
        <w:t>Platby</w:t>
      </w:r>
    </w:p>
    <w:p w:rsidR="006B6CD2" w:rsidRDefault="00F76F28">
      <w:pPr>
        <w:pStyle w:val="Zkladntext1"/>
        <w:shd w:val="clear" w:color="auto" w:fill="auto"/>
        <w:spacing w:line="226" w:lineRule="auto"/>
      </w:pPr>
      <w:r>
        <w:t>Smluvní ceny jsou čistými cenami bez daně z přidané hodnoty. Smluvená četnost odvozu je závazná, jízdy naprázdno musí být zaplace</w:t>
      </w:r>
      <w:r>
        <w:t>ny.</w:t>
      </w:r>
    </w:p>
    <w:p w:rsidR="006B6CD2" w:rsidRDefault="00F76F28">
      <w:pPr>
        <w:pStyle w:val="Zkladntext1"/>
        <w:shd w:val="clear" w:color="auto" w:fill="auto"/>
        <w:spacing w:line="226" w:lineRule="auto"/>
      </w:pPr>
      <w:r>
        <w:t>Ceny za odstraněni a odvoz bude objednatel zhotoviteli platit na základě faktury vystavené zhotovitelem po každém odvozu. Faktury jsou splatné do čtrnácti dnů od jejich obdrženi.</w:t>
      </w:r>
    </w:p>
    <w:p w:rsidR="006B6CD2" w:rsidRDefault="00F76F28">
      <w:pPr>
        <w:pStyle w:val="Zkladntext1"/>
        <w:numPr>
          <w:ilvl w:val="0"/>
          <w:numId w:val="2"/>
        </w:numPr>
        <w:shd w:val="clear" w:color="auto" w:fill="auto"/>
        <w:tabs>
          <w:tab w:val="left" w:pos="239"/>
        </w:tabs>
        <w:spacing w:line="226" w:lineRule="auto"/>
      </w:pPr>
      <w:r>
        <w:t>případě překročení termínu splatnosti faktury má zhotovitel právo na úrok</w:t>
      </w:r>
      <w:r>
        <w:t xml:space="preserve"> z prodleni ve výší 0,05% z dlužné částky za každý den prodleni. Překročí-li prodlení 20 dnů ode </w:t>
      </w:r>
      <w:r>
        <w:rPr>
          <w:sz w:val="12"/>
          <w:szCs w:val="12"/>
        </w:rPr>
        <w:t xml:space="preserve">dne </w:t>
      </w:r>
      <w:r>
        <w:t>splatnosti faktury, je zhotovitel oprávněn smlouvu vypovědět.</w:t>
      </w:r>
    </w:p>
    <w:p w:rsidR="006B6CD2" w:rsidRDefault="00F76F28">
      <w:pPr>
        <w:pStyle w:val="Zkladntext1"/>
        <w:shd w:val="clear" w:color="auto" w:fill="auto"/>
        <w:spacing w:after="120" w:line="226" w:lineRule="auto"/>
        <w:jc w:val="left"/>
      </w:pPr>
      <w:r>
        <w:t xml:space="preserve">Obě smluvní strany se dohodly, že poskytovatel služby je oprávněn předat, nebo postoupit k </w:t>
      </w:r>
      <w:r>
        <w:t>vymáhání, jakoukoliv pohledávku za objednavatelem, při neuhrazeni řádného daňového dokladu za poskytnuté služ</w:t>
      </w:r>
      <w:r w:rsidR="00DF7B57">
        <w:t>by, po uplynutí třicátého dne od</w:t>
      </w:r>
      <w:r>
        <w:t xml:space="preserve"> data jeho splatnosti. Objednavatel se tímto upozorňuje, že veškeré další vzniklé vícenák</w:t>
      </w:r>
      <w:r w:rsidR="00DF7B57">
        <w:t>l</w:t>
      </w:r>
      <w:r>
        <w:t xml:space="preserve">ady spojené s vymáháním </w:t>
      </w:r>
      <w:r>
        <w:t>takto vzniklé pohledávky, budou objednavateli vyúčtovány a nadále po objednavateli vymáhány. Tímto není dotčeno právo poskytovatele služby vymáhat po objednateli smluvní pokuty a úrok z prodlení.</w:t>
      </w:r>
    </w:p>
    <w:p w:rsidR="006B6CD2" w:rsidRDefault="00F76F28">
      <w:pPr>
        <w:pStyle w:val="Zkladntext1"/>
        <w:numPr>
          <w:ilvl w:val="0"/>
          <w:numId w:val="1"/>
        </w:numPr>
        <w:shd w:val="clear" w:color="auto" w:fill="auto"/>
        <w:tabs>
          <w:tab w:val="left" w:pos="261"/>
        </w:tabs>
        <w:spacing w:line="209" w:lineRule="auto"/>
        <w:rPr>
          <w:sz w:val="14"/>
          <w:szCs w:val="14"/>
        </w:rPr>
      </w:pPr>
      <w:r>
        <w:rPr>
          <w:sz w:val="14"/>
          <w:szCs w:val="14"/>
          <w:u w:val="single"/>
        </w:rPr>
        <w:t>Úprava cen</w:t>
      </w:r>
    </w:p>
    <w:p w:rsidR="006B6CD2" w:rsidRDefault="00F76F28">
      <w:pPr>
        <w:pStyle w:val="Zkladntext1"/>
        <w:shd w:val="clear" w:color="auto" w:fill="auto"/>
        <w:spacing w:line="226" w:lineRule="auto"/>
      </w:pPr>
      <w:r>
        <w:t>Změn</w:t>
      </w:r>
      <w:r w:rsidR="00DF7B57">
        <w:t>í</w:t>
      </w:r>
      <w:r>
        <w:t>-li se náklady zhotovitele spojené s odvozem</w:t>
      </w:r>
      <w:r>
        <w:t xml:space="preserve"> a odstraněním od</w:t>
      </w:r>
      <w:r w:rsidR="00DF7B57">
        <w:t>padů, které jsou základem kalkul</w:t>
      </w:r>
      <w:r>
        <w:t>ace cen za odvoz a za odstraněni odpadu, budou ceny za odvoz a za odstranění odpadů změněny tak, aby odpovídali nárůstu nebo poklesu nákladů zhotovitele.</w:t>
      </w:r>
    </w:p>
    <w:p w:rsidR="006B6CD2" w:rsidRDefault="00F76F28">
      <w:pPr>
        <w:pStyle w:val="Zkladntext1"/>
        <w:shd w:val="clear" w:color="auto" w:fill="auto"/>
        <w:spacing w:line="226" w:lineRule="auto"/>
      </w:pPr>
      <w:r>
        <w:t>Tato úprava musí být vůči objednateli uplatněna písem</w:t>
      </w:r>
      <w:r>
        <w:t>ně a musí v ní být rozeznána změna nákladů, jakož í výpočet nákladů a cen nových. Proti této úpravě se může objednatel do dvou týdnů po jejím doručení odvolat. Nevyužije-li objednatel práva odvolat se včas. platí nové ceny jako sjednané s platností od prvn</w:t>
      </w:r>
      <w:r w:rsidR="00DF7B57">
        <w:t>í</w:t>
      </w:r>
      <w:r>
        <w:t>ho dne kalendářního měsíce, který následuje po uplynutí odvolací lhůty.</w:t>
      </w:r>
    </w:p>
    <w:p w:rsidR="006B6CD2" w:rsidRDefault="00F76F28">
      <w:pPr>
        <w:pStyle w:val="Zkladntext1"/>
        <w:shd w:val="clear" w:color="auto" w:fill="auto"/>
        <w:spacing w:line="226" w:lineRule="auto"/>
      </w:pPr>
      <w:r>
        <w:t>Zhotovitel mus</w:t>
      </w:r>
      <w:r w:rsidR="00DF7B57">
        <w:t>í</w:t>
      </w:r>
      <w:r>
        <w:t xml:space="preserve"> objednatele písemně upozornit na právo odvolat se a na následky nedodrženi odvolací lhůty.</w:t>
      </w:r>
    </w:p>
    <w:p w:rsidR="006B6CD2" w:rsidRDefault="00F76F28">
      <w:pPr>
        <w:pStyle w:val="Zkladntext1"/>
        <w:numPr>
          <w:ilvl w:val="0"/>
          <w:numId w:val="2"/>
        </w:numPr>
        <w:shd w:val="clear" w:color="auto" w:fill="auto"/>
        <w:tabs>
          <w:tab w:val="left" w:pos="239"/>
        </w:tabs>
        <w:spacing w:after="140" w:line="226" w:lineRule="auto"/>
      </w:pPr>
      <w:r>
        <w:t>případě právně účinného odvolání m</w:t>
      </w:r>
      <w:r w:rsidR="00DF7B57">
        <w:t>á zhotovitel právo vypovědět sml</w:t>
      </w:r>
      <w:r>
        <w:t>ouvu do tř</w:t>
      </w:r>
      <w:r>
        <w:t>í měsíců od dne, kdy mu bylo doručeno písemné od</w:t>
      </w:r>
      <w:r w:rsidR="00DF7B57">
        <w:t>volání objednatele s výpovědní L</w:t>
      </w:r>
      <w:r>
        <w:t>hůtou jeden měsíc, přičemž ve výpovědní době zůstávají v platnost původní ceny.</w:t>
      </w:r>
    </w:p>
    <w:p w:rsidR="006B6CD2" w:rsidRDefault="00F76F28">
      <w:pPr>
        <w:pStyle w:val="Zkladntext20"/>
        <w:numPr>
          <w:ilvl w:val="0"/>
          <w:numId w:val="1"/>
        </w:numPr>
        <w:shd w:val="clear" w:color="auto" w:fill="auto"/>
        <w:tabs>
          <w:tab w:val="left" w:pos="261"/>
        </w:tabs>
        <w:spacing w:line="197" w:lineRule="auto"/>
      </w:pPr>
      <w:r>
        <w:rPr>
          <w:u w:val="single"/>
        </w:rPr>
        <w:t>Ručeni - pojištění</w:t>
      </w:r>
    </w:p>
    <w:p w:rsidR="006B6CD2" w:rsidRDefault="00F76F28">
      <w:pPr>
        <w:pStyle w:val="Zkladntext1"/>
        <w:shd w:val="clear" w:color="auto" w:fill="auto"/>
        <w:spacing w:after="140" w:line="228" w:lineRule="auto"/>
      </w:pPr>
      <w:r>
        <w:t xml:space="preserve">Bude-li </w:t>
      </w:r>
      <w:r>
        <w:rPr>
          <w:sz w:val="12"/>
          <w:szCs w:val="12"/>
        </w:rPr>
        <w:t xml:space="preserve">zhotovitel </w:t>
      </w:r>
      <w:r>
        <w:t>povinen z jakéhokoliv dův</w:t>
      </w:r>
      <w:r w:rsidR="00DF7B57">
        <w:t>odu v souvislosti se smlouvou pl</w:t>
      </w:r>
      <w:r>
        <w:t>a</w:t>
      </w:r>
      <w:r>
        <w:t>tit objednateli náhradu škody, je toto ručení omezeno výší měsíčního obratu za odvoz a odstranění odpadů objednatele definovaných touto smlouvou. Tato omezení neplatí, jestliže zhotovitel, jeho zákonní zástupci nebo smluvní partneři při plněni smlouvy způs</w:t>
      </w:r>
      <w:r>
        <w:t>obili škodu úmyslně nebo z hrubé nedbalosti. Měsíčním obratem se určení výše náhrady škody rozumí ceny za odvoz a odstraněni odpadů účtované zhotovitelem objednateli v kalendářním měsíci předcházejícímu vzniku škody.</w:t>
      </w:r>
    </w:p>
    <w:p w:rsidR="006B6CD2" w:rsidRDefault="00F76F28">
      <w:pPr>
        <w:pStyle w:val="Zkladntext20"/>
        <w:numPr>
          <w:ilvl w:val="0"/>
          <w:numId w:val="1"/>
        </w:numPr>
        <w:shd w:val="clear" w:color="auto" w:fill="auto"/>
        <w:tabs>
          <w:tab w:val="left" w:pos="261"/>
        </w:tabs>
        <w:spacing w:line="197" w:lineRule="auto"/>
      </w:pPr>
      <w:r>
        <w:rPr>
          <w:u w:val="single"/>
        </w:rPr>
        <w:t>Další ujednání</w:t>
      </w:r>
    </w:p>
    <w:p w:rsidR="006B6CD2" w:rsidRDefault="00F76F28">
      <w:pPr>
        <w:pStyle w:val="Zkladntext1"/>
        <w:shd w:val="clear" w:color="auto" w:fill="auto"/>
        <w:spacing w:line="228" w:lineRule="auto"/>
      </w:pPr>
      <w:r>
        <w:t xml:space="preserve">Dodatečné změny smlouvy </w:t>
      </w:r>
      <w:r>
        <w:t xml:space="preserve">je možno provádět na základě dohody obou smluvních stran, a to </w:t>
      </w:r>
      <w:r w:rsidR="00DF7B57">
        <w:t>výlučně písemnou formou. To nepl</w:t>
      </w:r>
      <w:r>
        <w:t xml:space="preserve">atí pro změny cen za </w:t>
      </w:r>
      <w:r>
        <w:rPr>
          <w:sz w:val="12"/>
          <w:szCs w:val="12"/>
        </w:rPr>
        <w:t xml:space="preserve">odvoz </w:t>
      </w:r>
      <w:r>
        <w:t>a odstraněni odpadů provedené podle bodu 6. Úprava cen těchto obchodních podmínek.</w:t>
      </w:r>
    </w:p>
    <w:p w:rsidR="006B6CD2" w:rsidRDefault="00F76F28">
      <w:pPr>
        <w:pStyle w:val="Zkladntext1"/>
        <w:numPr>
          <w:ilvl w:val="0"/>
          <w:numId w:val="2"/>
        </w:numPr>
        <w:shd w:val="clear" w:color="auto" w:fill="auto"/>
        <w:tabs>
          <w:tab w:val="left" w:pos="239"/>
        </w:tabs>
        <w:spacing w:after="140" w:line="228" w:lineRule="auto"/>
      </w:pPr>
      <w:r>
        <w:t xml:space="preserve">případě, že správce daně označí k datu uskutečnění </w:t>
      </w:r>
      <w:r>
        <w:t>zdanitelného plnění Poskytovatele za nespolehlivého plátce, je Objednatel oprávněn provést úhradu ceny dle přílohy č. 2 této smlouvy v úrovni bez DPH a DPH odvést přímo na účet příslušného správce daně. Úhradu DPH provede Objednatel s řádnou identifikací p</w:t>
      </w:r>
      <w:r>
        <w:t>artnera.</w:t>
      </w:r>
    </w:p>
    <w:p w:rsidR="006B6CD2" w:rsidRDefault="00F76F28">
      <w:pPr>
        <w:pStyle w:val="Zkladntext1"/>
        <w:numPr>
          <w:ilvl w:val="0"/>
          <w:numId w:val="1"/>
        </w:numPr>
        <w:shd w:val="clear" w:color="auto" w:fill="auto"/>
        <w:tabs>
          <w:tab w:val="left" w:pos="261"/>
        </w:tabs>
        <w:spacing w:line="209" w:lineRule="auto"/>
        <w:rPr>
          <w:sz w:val="14"/>
          <w:szCs w:val="14"/>
        </w:rPr>
      </w:pPr>
      <w:r>
        <w:rPr>
          <w:sz w:val="14"/>
          <w:szCs w:val="14"/>
          <w:u w:val="single"/>
        </w:rPr>
        <w:t>Trvání smlouvy, výpověď</w:t>
      </w:r>
    </w:p>
    <w:p w:rsidR="006B6CD2" w:rsidRDefault="00F76F28">
      <w:pPr>
        <w:pStyle w:val="Zkladntext1"/>
        <w:shd w:val="clear" w:color="auto" w:fill="auto"/>
        <w:spacing w:after="60" w:line="226" w:lineRule="auto"/>
      </w:pPr>
      <w:r>
        <w:t xml:space="preserve">První možnost výpovědi smlouvy bez uvedení důvodu nastává po uplynutí 1 roku ode dne uzavřeni smlouvy a to s šestiměsíční výpovědní dobou ke konci každého kalendářního měsíce. Objednatel může vypovědět smlouvu z důvodu </w:t>
      </w:r>
      <w:r>
        <w:t>uvedeného v</w:t>
      </w:r>
      <w:r w:rsidR="00DF7B57">
        <w:t xml:space="preserve"> bodu 4. těchto obchodních podmí</w:t>
      </w:r>
      <w:r>
        <w:t>nek a zhotovitel může vypovědět smlouvu z důvodu uvedeného v</w:t>
      </w:r>
      <w:r w:rsidR="00DF7B57">
        <w:t xml:space="preserve"> bodě 5. těchto obchodních podmí</w:t>
      </w:r>
      <w:r>
        <w:t>nek ve lhůtě 30 dnů ode dne, kdy výpovědní důvod nastal s výpovědní dobou 1 měsíc, dále může zhotovitel vypovědět smlouvu</w:t>
      </w:r>
      <w:r>
        <w:t xml:space="preserve"> v souladu s bodem 6. těchto obchodních podmínek. Výpov</w:t>
      </w:r>
      <w:r w:rsidR="00DF7B57">
        <w:t>ědní doba počne běžet vždy první</w:t>
      </w:r>
      <w:r>
        <w:t>m dnem měsíce následujícího po doručeni výpovědi. Výpověď potřebuje ke své platnosti písemnou formu.</w:t>
      </w:r>
    </w:p>
    <w:sectPr w:rsidR="006B6CD2">
      <w:pgSz w:w="12240" w:h="15840"/>
      <w:pgMar w:top="2053" w:right="1150" w:bottom="1655" w:left="1806" w:header="0" w:footer="12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F28" w:rsidRDefault="00F76F28">
      <w:r>
        <w:separator/>
      </w:r>
    </w:p>
  </w:endnote>
  <w:endnote w:type="continuationSeparator" w:id="0">
    <w:p w:rsidR="00F76F28" w:rsidRDefault="00F7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F28" w:rsidRDefault="00F76F28"/>
  </w:footnote>
  <w:footnote w:type="continuationSeparator" w:id="0">
    <w:p w:rsidR="00F76F28" w:rsidRDefault="00F76F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C3CF9"/>
    <w:multiLevelType w:val="multilevel"/>
    <w:tmpl w:val="A8E4D142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A84B92"/>
    <w:multiLevelType w:val="multilevel"/>
    <w:tmpl w:val="B9708A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D2"/>
    <w:rsid w:val="00397985"/>
    <w:rsid w:val="003B6E77"/>
    <w:rsid w:val="004E7F4F"/>
    <w:rsid w:val="006B6CD2"/>
    <w:rsid w:val="0084179D"/>
    <w:rsid w:val="00871833"/>
    <w:rsid w:val="00DF7B57"/>
    <w:rsid w:val="00F7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F88B"/>
  <w15:docId w15:val="{7805285C-E7F3-49FC-B025-39E5D1EA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 w:val="0"/>
      <w:bCs w:val="0"/>
      <w:i w:val="0"/>
      <w:iCs w:val="0"/>
      <w:smallCaps/>
      <w:strike w:val="0"/>
      <w:sz w:val="26"/>
      <w:szCs w:val="26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Jin0">
    <w:name w:val="Jiné"/>
    <w:basedOn w:val="Normln"/>
    <w:link w:val="Jin"/>
    <w:pPr>
      <w:shd w:val="clear" w:color="auto" w:fill="FFFFFF"/>
      <w:jc w:val="both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3" w:lineRule="auto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440" w:line="180" w:lineRule="auto"/>
      <w:jc w:val="both"/>
      <w:outlineLvl w:val="1"/>
    </w:pPr>
    <w:rPr>
      <w:rFonts w:ascii="Arial" w:eastAsia="Arial" w:hAnsi="Arial" w:cs="Arial"/>
      <w:smallCaps/>
      <w:sz w:val="26"/>
      <w:szCs w:val="26"/>
    </w:rPr>
  </w:style>
  <w:style w:type="paragraph" w:customStyle="1" w:styleId="Nadpis50">
    <w:name w:val="Nadpis #5"/>
    <w:basedOn w:val="Normln"/>
    <w:link w:val="Nadpis5"/>
    <w:pPr>
      <w:shd w:val="clear" w:color="auto" w:fill="FFFFFF"/>
      <w:ind w:right="60"/>
      <w:jc w:val="center"/>
      <w:outlineLvl w:val="4"/>
    </w:pPr>
    <w:rPr>
      <w:rFonts w:ascii="Arial" w:eastAsia="Arial" w:hAnsi="Arial" w:cs="Arial"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ind w:left="7300"/>
      <w:jc w:val="both"/>
      <w:outlineLvl w:val="2"/>
    </w:pPr>
    <w:rPr>
      <w:rFonts w:ascii="Arial" w:eastAsia="Arial" w:hAnsi="Arial" w:cs="Arial"/>
      <w:i/>
      <w:iCs/>
      <w:sz w:val="19"/>
      <w:szCs w:val="1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040"/>
      <w:ind w:right="60"/>
      <w:jc w:val="center"/>
      <w:outlineLvl w:val="3"/>
    </w:pPr>
    <w:rPr>
      <w:rFonts w:ascii="Arial" w:eastAsia="Arial" w:hAnsi="Arial" w:cs="Arial"/>
      <w:i/>
      <w:iCs/>
      <w:sz w:val="19"/>
      <w:szCs w:val="19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40"/>
      <w:ind w:right="60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1588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pc-89-2</cp:lastModifiedBy>
  <cp:revision>5</cp:revision>
  <dcterms:created xsi:type="dcterms:W3CDTF">2018-05-22T09:31:00Z</dcterms:created>
  <dcterms:modified xsi:type="dcterms:W3CDTF">2018-05-22T10:07:00Z</dcterms:modified>
</cp:coreProperties>
</file>