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CCC81" w14:textId="77777777" w:rsidR="00053AEE" w:rsidRDefault="00053AEE" w:rsidP="00704CB8">
      <w:pPr>
        <w:pStyle w:val="Nzev"/>
        <w:spacing w:after="120"/>
        <w:outlineLvl w:val="0"/>
      </w:pPr>
      <w:bookmarkStart w:id="0" w:name="_GoBack"/>
      <w:bookmarkEnd w:id="0"/>
      <w:r w:rsidRPr="003E04C1">
        <w:t xml:space="preserve">SMLOUVA O </w:t>
      </w:r>
      <w:r>
        <w:t xml:space="preserve">POSKYTNUTÍ SLUŽEB </w:t>
      </w:r>
    </w:p>
    <w:p w14:paraId="0A272D9B" w14:textId="491C6E5B" w:rsidR="00EE4405" w:rsidRDefault="00053AEE" w:rsidP="00053AEE">
      <w:pPr>
        <w:jc w:val="center"/>
        <w:outlineLvl w:val="0"/>
        <w:rPr>
          <w:sz w:val="22"/>
          <w:szCs w:val="22"/>
        </w:rPr>
      </w:pPr>
      <w:r w:rsidRPr="00053AEE">
        <w:rPr>
          <w:sz w:val="22"/>
          <w:szCs w:val="22"/>
        </w:rPr>
        <w:t xml:space="preserve">V RÁMCI PLNĚNÍ </w:t>
      </w:r>
      <w:r w:rsidR="006371C3">
        <w:rPr>
          <w:sz w:val="22"/>
          <w:szCs w:val="22"/>
        </w:rPr>
        <w:t xml:space="preserve">VEŘEJNÉ </w:t>
      </w:r>
      <w:r w:rsidRPr="00053AEE">
        <w:rPr>
          <w:sz w:val="22"/>
          <w:szCs w:val="22"/>
        </w:rPr>
        <w:t xml:space="preserve">ZAKÁZKY </w:t>
      </w:r>
      <w:r w:rsidR="006371C3">
        <w:rPr>
          <w:sz w:val="22"/>
          <w:szCs w:val="22"/>
        </w:rPr>
        <w:t xml:space="preserve">MALÉHO ROZSAHU S NÁZVEM </w:t>
      </w:r>
      <w:r w:rsidRPr="00053AEE">
        <w:rPr>
          <w:sz w:val="22"/>
          <w:szCs w:val="22"/>
        </w:rPr>
        <w:t>„ZPROSTŘEDKOVÁNÍ VÝBĚRU DODAVATELE</w:t>
      </w:r>
      <w:r>
        <w:rPr>
          <w:sz w:val="22"/>
          <w:szCs w:val="22"/>
        </w:rPr>
        <w:t xml:space="preserve"> ENERGIÍ S NEJNIŽŠÍM NÁSOBÍCÍM KOEFICIENTEM NA KOMODITNÍM BURZOVNÍM TRHU“</w:t>
      </w:r>
    </w:p>
    <w:p w14:paraId="43C66A68" w14:textId="77777777" w:rsidR="00053AEE" w:rsidRPr="00053AEE" w:rsidRDefault="00053AEE" w:rsidP="00053AEE">
      <w:pPr>
        <w:jc w:val="center"/>
        <w:outlineLvl w:val="0"/>
        <w:rPr>
          <w:sz w:val="22"/>
          <w:szCs w:val="22"/>
        </w:rPr>
      </w:pPr>
    </w:p>
    <w:p w14:paraId="1C0D4D02" w14:textId="1CC5A7FF" w:rsidR="00EE4405" w:rsidRPr="003E04C1" w:rsidRDefault="00704CB8">
      <w:pPr>
        <w:jc w:val="center"/>
        <w:outlineLvl w:val="0"/>
        <w:rPr>
          <w:sz w:val="22"/>
          <w:szCs w:val="22"/>
        </w:rPr>
      </w:pPr>
      <w:r w:rsidRPr="003E04C1">
        <w:rPr>
          <w:sz w:val="22"/>
          <w:szCs w:val="22"/>
        </w:rPr>
        <w:t xml:space="preserve">uzavřená dle § </w:t>
      </w:r>
      <w:r w:rsidR="00053AEE">
        <w:rPr>
          <w:sz w:val="22"/>
          <w:szCs w:val="22"/>
        </w:rPr>
        <w:t>1746 odst. 2</w:t>
      </w:r>
      <w:r w:rsidR="00D1780D" w:rsidRPr="003E04C1">
        <w:rPr>
          <w:sz w:val="22"/>
          <w:szCs w:val="22"/>
        </w:rPr>
        <w:t xml:space="preserve"> </w:t>
      </w:r>
      <w:r w:rsidR="006371C3">
        <w:rPr>
          <w:sz w:val="22"/>
          <w:szCs w:val="22"/>
        </w:rPr>
        <w:t xml:space="preserve">zákona </w:t>
      </w:r>
      <w:r w:rsidR="00D1780D" w:rsidRPr="003E04C1">
        <w:rPr>
          <w:sz w:val="22"/>
          <w:szCs w:val="22"/>
        </w:rPr>
        <w:t>č.</w:t>
      </w:r>
      <w:r w:rsidRPr="003E04C1">
        <w:rPr>
          <w:sz w:val="22"/>
          <w:szCs w:val="22"/>
        </w:rPr>
        <w:t xml:space="preserve"> 89/2012</w:t>
      </w:r>
      <w:r w:rsidR="00D1780D" w:rsidRPr="003E04C1">
        <w:rPr>
          <w:sz w:val="22"/>
          <w:szCs w:val="22"/>
        </w:rPr>
        <w:t xml:space="preserve"> Sb., </w:t>
      </w:r>
      <w:r w:rsidR="006371C3">
        <w:rPr>
          <w:sz w:val="22"/>
          <w:szCs w:val="22"/>
        </w:rPr>
        <w:t>občanský zákoník,</w:t>
      </w:r>
      <w:r w:rsidR="006371C3" w:rsidRPr="003E04C1">
        <w:rPr>
          <w:sz w:val="22"/>
          <w:szCs w:val="22"/>
        </w:rPr>
        <w:t xml:space="preserve"> </w:t>
      </w:r>
      <w:r w:rsidR="00D1780D" w:rsidRPr="003E04C1">
        <w:rPr>
          <w:sz w:val="22"/>
          <w:szCs w:val="22"/>
        </w:rPr>
        <w:t>v platném znění (dále</w:t>
      </w:r>
      <w:r w:rsidRPr="003E04C1">
        <w:rPr>
          <w:sz w:val="22"/>
          <w:szCs w:val="22"/>
        </w:rPr>
        <w:t> </w:t>
      </w:r>
      <w:r w:rsidR="00D1780D" w:rsidRPr="003E04C1">
        <w:rPr>
          <w:sz w:val="22"/>
          <w:szCs w:val="22"/>
        </w:rPr>
        <w:t>jen</w:t>
      </w:r>
      <w:r w:rsidRPr="003E04C1">
        <w:rPr>
          <w:sz w:val="22"/>
          <w:szCs w:val="22"/>
        </w:rPr>
        <w:t> </w:t>
      </w:r>
      <w:r w:rsidR="00D1780D" w:rsidRPr="003E04C1">
        <w:rPr>
          <w:sz w:val="22"/>
          <w:szCs w:val="22"/>
        </w:rPr>
        <w:t>„</w:t>
      </w:r>
      <w:r w:rsidRPr="0018379C">
        <w:rPr>
          <w:b/>
          <w:sz w:val="22"/>
          <w:szCs w:val="22"/>
        </w:rPr>
        <w:t>občanský </w:t>
      </w:r>
      <w:r w:rsidR="00D1780D" w:rsidRPr="0018379C">
        <w:rPr>
          <w:b/>
          <w:sz w:val="22"/>
          <w:szCs w:val="22"/>
        </w:rPr>
        <w:t>zákoník</w:t>
      </w:r>
      <w:r w:rsidR="00D1780D" w:rsidRPr="003E04C1">
        <w:rPr>
          <w:sz w:val="22"/>
          <w:szCs w:val="22"/>
        </w:rPr>
        <w:t>“)</w:t>
      </w:r>
    </w:p>
    <w:p w14:paraId="454FF3F5" w14:textId="77777777" w:rsidR="00EE4405" w:rsidRPr="003E04C1" w:rsidRDefault="00EE4405">
      <w:pPr>
        <w:jc w:val="center"/>
        <w:rPr>
          <w:b/>
          <w:sz w:val="22"/>
          <w:szCs w:val="22"/>
        </w:rPr>
      </w:pPr>
    </w:p>
    <w:p w14:paraId="274EDA9E" w14:textId="77777777" w:rsidR="00EE4405" w:rsidRPr="003E04C1" w:rsidRDefault="00EE4405">
      <w:pPr>
        <w:jc w:val="center"/>
        <w:rPr>
          <w:b/>
          <w:sz w:val="22"/>
          <w:szCs w:val="22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6E4042" w:rsidRPr="003E04C1" w14:paraId="3467CA53" w14:textId="77777777" w:rsidTr="006D1C0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1725A65C" w14:textId="77777777" w:rsidR="006E4042" w:rsidRPr="003E04C1" w:rsidRDefault="006E4042" w:rsidP="004A4887">
            <w:pPr>
              <w:jc w:val="both"/>
              <w:rPr>
                <w:b/>
                <w:sz w:val="22"/>
                <w:szCs w:val="22"/>
              </w:rPr>
            </w:pPr>
            <w:r w:rsidRPr="003E04C1">
              <w:rPr>
                <w:b/>
                <w:sz w:val="22"/>
                <w:szCs w:val="22"/>
              </w:rPr>
              <w:t>Obchodní firma: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1A6BCB6D" w14:textId="77777777" w:rsidR="006E4042" w:rsidRPr="003E04C1" w:rsidRDefault="006E4042" w:rsidP="004A4887">
            <w:pPr>
              <w:jc w:val="both"/>
              <w:rPr>
                <w:b/>
                <w:sz w:val="22"/>
                <w:szCs w:val="22"/>
              </w:rPr>
            </w:pPr>
            <w:r w:rsidRPr="003E04C1">
              <w:rPr>
                <w:b/>
                <w:sz w:val="22"/>
                <w:szCs w:val="22"/>
              </w:rPr>
              <w:t>POWER EXCHANGE CENTRAL EUROPE, a.s.</w:t>
            </w:r>
          </w:p>
        </w:tc>
      </w:tr>
      <w:tr w:rsidR="006E4042" w:rsidRPr="003E04C1" w14:paraId="1F1D620E" w14:textId="77777777" w:rsidTr="006D1C0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CC98EB3" w14:textId="22BC4514" w:rsidR="006E4042" w:rsidRPr="003E04C1" w:rsidRDefault="006E4042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IČ</w:t>
            </w:r>
            <w:r w:rsidR="00036B4C">
              <w:rPr>
                <w:sz w:val="22"/>
                <w:szCs w:val="22"/>
              </w:rPr>
              <w:t>O</w:t>
            </w:r>
            <w:r w:rsidRPr="003E04C1">
              <w:rPr>
                <w:sz w:val="22"/>
                <w:szCs w:val="22"/>
              </w:rPr>
              <w:t>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2B741383" w14:textId="77777777" w:rsidR="006E4042" w:rsidRPr="003E04C1" w:rsidRDefault="006E4042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27865444</w:t>
            </w:r>
          </w:p>
        </w:tc>
      </w:tr>
      <w:tr w:rsidR="006E4042" w:rsidRPr="003E04C1" w14:paraId="1ED286BD" w14:textId="77777777" w:rsidTr="006D1C0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5478848" w14:textId="77777777" w:rsidR="006E4042" w:rsidRPr="003E04C1" w:rsidRDefault="006E4042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Sídlem: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6443F9C9" w14:textId="77777777" w:rsidR="006E4042" w:rsidRPr="003E04C1" w:rsidRDefault="006E4042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Rybná 682/14, 110 05 Praha 1</w:t>
            </w:r>
          </w:p>
        </w:tc>
      </w:tr>
      <w:tr w:rsidR="006E4042" w:rsidRPr="003E04C1" w14:paraId="79694436" w14:textId="77777777" w:rsidTr="006371C3">
        <w:trPr>
          <w:trHeight w:val="94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D87B7A9" w14:textId="77777777" w:rsidR="006E4042" w:rsidRPr="003E04C1" w:rsidRDefault="006E4042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Zastoupená: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2A9D8E4F" w14:textId="5BC19F32" w:rsidR="006E4042" w:rsidRPr="003E04C1" w:rsidRDefault="006E4042" w:rsidP="00541F8B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 xml:space="preserve">Davidem Kučerou, </w:t>
            </w:r>
            <w:r w:rsidR="009850AC">
              <w:rPr>
                <w:sz w:val="22"/>
                <w:szCs w:val="22"/>
              </w:rPr>
              <w:t xml:space="preserve">prokuristou a </w:t>
            </w:r>
            <w:r w:rsidRPr="003E04C1">
              <w:rPr>
                <w:sz w:val="22"/>
                <w:szCs w:val="22"/>
              </w:rPr>
              <w:t>generálním sekretářem</w:t>
            </w:r>
          </w:p>
        </w:tc>
      </w:tr>
      <w:tr w:rsidR="006E4042" w:rsidRPr="003E04C1" w14:paraId="29DA95E2" w14:textId="77777777" w:rsidTr="006D1C07">
        <w:trPr>
          <w:trHeight w:val="268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566AD1D0" w14:textId="77777777" w:rsidR="006E4042" w:rsidRPr="003E04C1" w:rsidRDefault="006E4042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Zápis v obch. rejstříku: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5AFFFEB0" w14:textId="77777777" w:rsidR="006E4042" w:rsidRPr="003E04C1" w:rsidRDefault="006E4042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Městský soud v Praze, oddíl B, vložka 15362</w:t>
            </w:r>
          </w:p>
        </w:tc>
      </w:tr>
      <w:tr w:rsidR="00D2639D" w:rsidRPr="003E04C1" w14:paraId="687744C3" w14:textId="77777777" w:rsidTr="006D1C07">
        <w:trPr>
          <w:trHeight w:val="35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B605684" w14:textId="2099BA18" w:rsidR="00D2639D" w:rsidRPr="003E04C1" w:rsidRDefault="00D2639D" w:rsidP="004A4887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Bankovní spojení: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69E3EFE6" w14:textId="22D5D40D" w:rsidR="00D2639D" w:rsidRPr="003E04C1" w:rsidRDefault="00541F8B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35-8652570267/0100</w:t>
            </w:r>
          </w:p>
        </w:tc>
      </w:tr>
      <w:tr w:rsidR="00F60862" w:rsidRPr="003E04C1" w14:paraId="278C69C3" w14:textId="77777777" w:rsidTr="006D1C07">
        <w:trPr>
          <w:trHeight w:val="35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A6CDDE4" w14:textId="50C21643" w:rsidR="00F60862" w:rsidRPr="003E04C1" w:rsidRDefault="00F60862" w:rsidP="004A4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též: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4D894E44" w14:textId="5FD6C700" w:rsidR="00F60862" w:rsidRPr="003E04C1" w:rsidRDefault="00F60862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F60862">
              <w:rPr>
                <w:b/>
                <w:sz w:val="22"/>
                <w:szCs w:val="22"/>
              </w:rPr>
              <w:t>PXE</w:t>
            </w:r>
            <w:r>
              <w:rPr>
                <w:sz w:val="22"/>
                <w:szCs w:val="22"/>
              </w:rPr>
              <w:t>“</w:t>
            </w:r>
          </w:p>
        </w:tc>
      </w:tr>
      <w:tr w:rsidR="00A72C6B" w:rsidRPr="003E04C1" w14:paraId="5BD3AB1D" w14:textId="77777777" w:rsidTr="006D1C07">
        <w:trPr>
          <w:trHeight w:val="35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62509B77" w14:textId="380B6E01" w:rsidR="00A72C6B" w:rsidRPr="003E04C1" w:rsidRDefault="0018379C" w:rsidP="004A4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4968FD8B" w14:textId="77777777" w:rsidR="00A72C6B" w:rsidRPr="003E04C1" w:rsidRDefault="00A72C6B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72C6B" w:rsidRPr="003E04C1" w14:paraId="2386D86C" w14:textId="77777777" w:rsidTr="006D1C07">
        <w:trPr>
          <w:trHeight w:val="28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35948F53" w14:textId="0FB649E7" w:rsidR="00A72C6B" w:rsidRPr="001424A4" w:rsidRDefault="0018379C" w:rsidP="004A488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Jméno a příjmení</w:t>
            </w:r>
            <w:r w:rsidR="00A72C6B" w:rsidRPr="001424A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1F4B36ED" w14:textId="086DB934" w:rsidR="00A72C6B" w:rsidRPr="00FD1D5C" w:rsidRDefault="00A72C6B" w:rsidP="001424A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D1D5C">
              <w:rPr>
                <w:b/>
                <w:sz w:val="22"/>
                <w:szCs w:val="22"/>
              </w:rPr>
              <w:t>Lukáš Melichar</w:t>
            </w:r>
            <w:r w:rsidR="001424A4" w:rsidRPr="00FD1D5C">
              <w:rPr>
                <w:b/>
                <w:sz w:val="22"/>
                <w:szCs w:val="22"/>
              </w:rPr>
              <w:t>, burzovní dohodce PXE</w:t>
            </w:r>
          </w:p>
        </w:tc>
      </w:tr>
      <w:tr w:rsidR="00A72C6B" w:rsidRPr="003E04C1" w14:paraId="58BBBA8B" w14:textId="77777777" w:rsidTr="006D1C07">
        <w:trPr>
          <w:trHeight w:val="30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21F908B" w14:textId="68343856" w:rsidR="00A72C6B" w:rsidRDefault="00A72C6B" w:rsidP="004A4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Dat.</w:t>
            </w:r>
            <w:r w:rsidR="001424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nar: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0FF8D979" w14:textId="6B20AAC4" w:rsidR="00A72C6B" w:rsidRDefault="001424A4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  <w:r w:rsidR="00C072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</w:t>
            </w:r>
            <w:r w:rsidR="00C072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1975</w:t>
            </w:r>
          </w:p>
        </w:tc>
      </w:tr>
      <w:tr w:rsidR="00A72C6B" w:rsidRPr="003E04C1" w14:paraId="04CDF2DF" w14:textId="77777777" w:rsidTr="006D1C07">
        <w:trPr>
          <w:trHeight w:val="352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06162AE9" w14:textId="5B52F9E9" w:rsidR="00A72C6B" w:rsidRDefault="00A72C6B" w:rsidP="004A4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Bytem: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1B78CFF0" w14:textId="70807AD1" w:rsidR="00A72C6B" w:rsidRDefault="001424A4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Družstevní 1424, Říčany</w:t>
            </w:r>
          </w:p>
        </w:tc>
      </w:tr>
      <w:tr w:rsidR="00F60862" w:rsidRPr="003E04C1" w14:paraId="4460D826" w14:textId="77777777" w:rsidTr="00F60862">
        <w:trPr>
          <w:trHeight w:val="570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717BF5C8" w14:textId="0E3883D8" w:rsidR="00F60862" w:rsidRDefault="00F60862" w:rsidP="004A4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též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3B90FDAE" w14:textId="290F3D18" w:rsidR="00F60862" w:rsidRDefault="00F60862" w:rsidP="00F608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F60862">
              <w:rPr>
                <w:b/>
                <w:sz w:val="22"/>
                <w:szCs w:val="22"/>
              </w:rPr>
              <w:t>Burzovní dohodce</w:t>
            </w:r>
            <w:r>
              <w:rPr>
                <w:sz w:val="22"/>
                <w:szCs w:val="22"/>
              </w:rPr>
              <w:t>“</w:t>
            </w:r>
          </w:p>
        </w:tc>
      </w:tr>
      <w:tr w:rsidR="00D2639D" w:rsidRPr="003E04C1" w14:paraId="4D3A9E4D" w14:textId="77777777" w:rsidTr="006D1C07"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</w:tcPr>
          <w:p w14:paraId="41B4C0D0" w14:textId="48A793D7" w:rsidR="00D2639D" w:rsidRPr="003E04C1" w:rsidRDefault="00D2639D" w:rsidP="001424A4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 xml:space="preserve">Dále </w:t>
            </w:r>
            <w:r w:rsidR="00F60862">
              <w:rPr>
                <w:sz w:val="22"/>
                <w:szCs w:val="22"/>
              </w:rPr>
              <w:t xml:space="preserve">PXE a Burzovní dohodce </w:t>
            </w:r>
            <w:r w:rsidR="001424A4">
              <w:rPr>
                <w:sz w:val="22"/>
                <w:szCs w:val="22"/>
              </w:rPr>
              <w:t>společně jako</w:t>
            </w:r>
            <w:r w:rsidRPr="003E04C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421" w:type="dxa"/>
            <w:tcBorders>
              <w:top w:val="nil"/>
              <w:left w:val="nil"/>
              <w:bottom w:val="nil"/>
              <w:right w:val="nil"/>
            </w:tcBorders>
          </w:tcPr>
          <w:p w14:paraId="5FDF7BF1" w14:textId="77777777" w:rsidR="00F60862" w:rsidRDefault="00F60862" w:rsidP="00036B4C">
            <w:pPr>
              <w:jc w:val="both"/>
              <w:rPr>
                <w:sz w:val="22"/>
                <w:szCs w:val="22"/>
              </w:rPr>
            </w:pPr>
          </w:p>
          <w:p w14:paraId="4E55D0DD" w14:textId="03193D5D" w:rsidR="00D2639D" w:rsidRPr="003E04C1" w:rsidRDefault="00D2639D" w:rsidP="0018379C">
            <w:pPr>
              <w:tabs>
                <w:tab w:val="left" w:pos="1793"/>
              </w:tabs>
              <w:jc w:val="both"/>
              <w:rPr>
                <w:b/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„</w:t>
            </w:r>
            <w:r>
              <w:rPr>
                <w:b/>
                <w:sz w:val="22"/>
                <w:szCs w:val="22"/>
              </w:rPr>
              <w:t>Poskytovatel</w:t>
            </w:r>
            <w:r w:rsidRPr="003E04C1">
              <w:rPr>
                <w:sz w:val="22"/>
                <w:szCs w:val="22"/>
              </w:rPr>
              <w:t>“</w:t>
            </w:r>
            <w:r w:rsidR="0018379C">
              <w:rPr>
                <w:sz w:val="22"/>
                <w:szCs w:val="22"/>
              </w:rPr>
              <w:tab/>
            </w:r>
          </w:p>
        </w:tc>
      </w:tr>
    </w:tbl>
    <w:p w14:paraId="5CD7DF04" w14:textId="77777777" w:rsidR="006E4042" w:rsidRPr="003E04C1" w:rsidRDefault="006E4042" w:rsidP="006E4042">
      <w:pPr>
        <w:spacing w:before="360" w:after="360"/>
        <w:jc w:val="both"/>
        <w:rPr>
          <w:sz w:val="22"/>
          <w:szCs w:val="22"/>
        </w:rPr>
      </w:pPr>
      <w:r w:rsidRPr="003E04C1">
        <w:rPr>
          <w:sz w:val="22"/>
          <w:szCs w:val="22"/>
        </w:rPr>
        <w:t>a</w:t>
      </w: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421"/>
      </w:tblGrid>
      <w:tr w:rsidR="006E4042" w:rsidRPr="003E04C1" w14:paraId="77DB560B" w14:textId="77777777" w:rsidTr="006D1C07">
        <w:tc>
          <w:tcPr>
            <w:tcW w:w="3189" w:type="dxa"/>
          </w:tcPr>
          <w:p w14:paraId="60937DA2" w14:textId="178DEAC6" w:rsidR="006E4042" w:rsidRPr="003E04C1" w:rsidRDefault="00036B4C" w:rsidP="004A48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Název</w:t>
            </w:r>
            <w:r w:rsidR="006E4042" w:rsidRPr="003E04C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421" w:type="dxa"/>
          </w:tcPr>
          <w:p w14:paraId="1547A03F" w14:textId="3D8422E1" w:rsidR="006E4042" w:rsidRPr="003E04C1" w:rsidRDefault="00036B4C" w:rsidP="00A72C6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6E4042" w:rsidRPr="003E04C1" w14:paraId="39E4E903" w14:textId="77777777" w:rsidTr="006D1C07">
        <w:tc>
          <w:tcPr>
            <w:tcW w:w="3189" w:type="dxa"/>
          </w:tcPr>
          <w:p w14:paraId="3480D6F0" w14:textId="1D034D61" w:rsidR="006E4042" w:rsidRPr="003E04C1" w:rsidRDefault="006E4042" w:rsidP="00036B4C">
            <w:pPr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IČ</w:t>
            </w:r>
            <w:r w:rsidR="00FF7051" w:rsidRPr="003E04C1">
              <w:rPr>
                <w:sz w:val="22"/>
                <w:szCs w:val="22"/>
              </w:rPr>
              <w:t>O</w:t>
            </w:r>
            <w:r w:rsidRPr="003E04C1">
              <w:rPr>
                <w:sz w:val="22"/>
                <w:szCs w:val="22"/>
              </w:rPr>
              <w:t>:</w:t>
            </w:r>
          </w:p>
        </w:tc>
        <w:tc>
          <w:tcPr>
            <w:tcW w:w="6421" w:type="dxa"/>
          </w:tcPr>
          <w:p w14:paraId="4DC2813D" w14:textId="30E002F5" w:rsidR="006E4042" w:rsidRPr="003E04C1" w:rsidRDefault="00036B4C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00551023</w:t>
            </w:r>
          </w:p>
        </w:tc>
      </w:tr>
      <w:tr w:rsidR="006E4042" w:rsidRPr="003E04C1" w14:paraId="2C7C1885" w14:textId="77777777" w:rsidTr="006D1C07">
        <w:tc>
          <w:tcPr>
            <w:tcW w:w="3189" w:type="dxa"/>
          </w:tcPr>
          <w:p w14:paraId="1DCBE87E" w14:textId="3C1319BB" w:rsidR="006E4042" w:rsidRPr="003E04C1" w:rsidRDefault="006E4042" w:rsidP="00D2639D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Sídlem:</w:t>
            </w:r>
          </w:p>
        </w:tc>
        <w:tc>
          <w:tcPr>
            <w:tcW w:w="6421" w:type="dxa"/>
          </w:tcPr>
          <w:p w14:paraId="32A2D96E" w14:textId="754F0493" w:rsidR="006E4042" w:rsidRPr="003E04C1" w:rsidRDefault="00D2639D" w:rsidP="004A488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Poříčním právu 376/1, 128 01 Praha 2</w:t>
            </w:r>
          </w:p>
        </w:tc>
      </w:tr>
      <w:tr w:rsidR="006E4042" w:rsidRPr="003E04C1" w14:paraId="7444C820" w14:textId="77777777" w:rsidTr="006D1C07">
        <w:trPr>
          <w:trHeight w:val="248"/>
        </w:trPr>
        <w:tc>
          <w:tcPr>
            <w:tcW w:w="3189" w:type="dxa"/>
          </w:tcPr>
          <w:p w14:paraId="2FC56BB4" w14:textId="77777777" w:rsidR="006E4042" w:rsidRPr="003E04C1" w:rsidRDefault="00FF7051" w:rsidP="00FF7051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Zastoupená</w:t>
            </w:r>
            <w:r w:rsidR="006E4042" w:rsidRPr="003E04C1">
              <w:rPr>
                <w:sz w:val="22"/>
                <w:szCs w:val="22"/>
              </w:rPr>
              <w:t>:</w:t>
            </w:r>
          </w:p>
        </w:tc>
        <w:tc>
          <w:tcPr>
            <w:tcW w:w="6421" w:type="dxa"/>
          </w:tcPr>
          <w:p w14:paraId="43C19382" w14:textId="11C5C316" w:rsidR="006E4042" w:rsidRPr="003E04C1" w:rsidRDefault="00B8061C" w:rsidP="00FF705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Mgr. Davidem Novákem, ředitelem odboru centrálních nákupů a</w:t>
            </w:r>
            <w:r w:rsidR="002C750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veřejných zakázek</w:t>
            </w:r>
          </w:p>
        </w:tc>
      </w:tr>
      <w:tr w:rsidR="006765B4" w:rsidRPr="003E04C1" w14:paraId="0ED9E625" w14:textId="77777777" w:rsidTr="006D1C07">
        <w:trPr>
          <w:trHeight w:val="393"/>
        </w:trPr>
        <w:tc>
          <w:tcPr>
            <w:tcW w:w="3189" w:type="dxa"/>
          </w:tcPr>
          <w:p w14:paraId="702A8BE0" w14:textId="77777777" w:rsidR="006765B4" w:rsidRPr="003E04C1" w:rsidRDefault="006765B4" w:rsidP="00FF7051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Bankovní spojení:</w:t>
            </w:r>
          </w:p>
        </w:tc>
        <w:tc>
          <w:tcPr>
            <w:tcW w:w="6421" w:type="dxa"/>
          </w:tcPr>
          <w:p w14:paraId="2D4E551C" w14:textId="77777777" w:rsidR="00B8061C" w:rsidRPr="00B8061C" w:rsidRDefault="00B8061C" w:rsidP="00B8061C">
            <w:pPr>
              <w:jc w:val="both"/>
              <w:rPr>
                <w:sz w:val="22"/>
                <w:szCs w:val="22"/>
              </w:rPr>
            </w:pPr>
            <w:r w:rsidRPr="00B8061C">
              <w:rPr>
                <w:sz w:val="22"/>
                <w:szCs w:val="22"/>
              </w:rPr>
              <w:t>Česká národní banka, a.s.</w:t>
            </w:r>
          </w:p>
          <w:p w14:paraId="2B44F0E2" w14:textId="6AD9CC80" w:rsidR="006765B4" w:rsidRPr="003E04C1" w:rsidRDefault="00B8061C" w:rsidP="00B8061C">
            <w:pPr>
              <w:rPr>
                <w:sz w:val="22"/>
                <w:szCs w:val="22"/>
              </w:rPr>
            </w:pPr>
            <w:r w:rsidRPr="00B8061C">
              <w:rPr>
                <w:sz w:val="22"/>
                <w:szCs w:val="22"/>
              </w:rPr>
              <w:t>č. ú.: 2229001/0710</w:t>
            </w:r>
          </w:p>
        </w:tc>
      </w:tr>
      <w:tr w:rsidR="006E4042" w:rsidRPr="003E04C1" w14:paraId="061E8672" w14:textId="77777777" w:rsidTr="006D1C07">
        <w:tc>
          <w:tcPr>
            <w:tcW w:w="3189" w:type="dxa"/>
          </w:tcPr>
          <w:p w14:paraId="585EDD53" w14:textId="2DC7E1F5" w:rsidR="006E4042" w:rsidRPr="003E04C1" w:rsidRDefault="006E4042" w:rsidP="001424A4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 xml:space="preserve">Dále jen: </w:t>
            </w:r>
          </w:p>
        </w:tc>
        <w:tc>
          <w:tcPr>
            <w:tcW w:w="6421" w:type="dxa"/>
          </w:tcPr>
          <w:p w14:paraId="4A5DA8B8" w14:textId="5CB2F9AA" w:rsidR="006E4042" w:rsidRPr="003E04C1" w:rsidRDefault="006E4042" w:rsidP="00036B4C">
            <w:pPr>
              <w:rPr>
                <w:bCs/>
                <w:sz w:val="22"/>
                <w:szCs w:val="22"/>
              </w:rPr>
            </w:pPr>
            <w:r w:rsidRPr="003E04C1">
              <w:rPr>
                <w:bCs/>
                <w:sz w:val="22"/>
                <w:szCs w:val="22"/>
              </w:rPr>
              <w:t>„</w:t>
            </w:r>
            <w:r w:rsidR="00036B4C">
              <w:rPr>
                <w:b/>
                <w:bCs/>
                <w:sz w:val="22"/>
                <w:szCs w:val="22"/>
              </w:rPr>
              <w:t>Zákazník</w:t>
            </w:r>
            <w:r w:rsidRPr="003E04C1">
              <w:rPr>
                <w:bCs/>
                <w:sz w:val="22"/>
                <w:szCs w:val="22"/>
              </w:rPr>
              <w:t>“</w:t>
            </w:r>
          </w:p>
        </w:tc>
      </w:tr>
    </w:tbl>
    <w:p w14:paraId="5C187098" w14:textId="77777777" w:rsidR="00EE4405" w:rsidRPr="003E04C1" w:rsidRDefault="00D1780D" w:rsidP="00C65D16">
      <w:pPr>
        <w:keepNext/>
        <w:spacing w:before="48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I.</w:t>
      </w:r>
    </w:p>
    <w:p w14:paraId="30A4655D" w14:textId="77777777" w:rsidR="00EE4405" w:rsidRPr="003E04C1" w:rsidRDefault="00C07E86" w:rsidP="00A950F7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Preambule</w:t>
      </w:r>
    </w:p>
    <w:p w14:paraId="2DD17B13" w14:textId="5D4DC915" w:rsidR="00EE4405" w:rsidRPr="003E04C1" w:rsidRDefault="00A72C6B">
      <w:pPr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  <w:szCs w:val="22"/>
        </w:rPr>
      </w:pPr>
      <w:bookmarkStart w:id="1" w:name="_Ref464563878"/>
      <w:r>
        <w:rPr>
          <w:sz w:val="22"/>
          <w:szCs w:val="22"/>
        </w:rPr>
        <w:t xml:space="preserve">Zákazník je veřejným zadavatelem, který </w:t>
      </w:r>
      <w:r w:rsidR="002605F0">
        <w:rPr>
          <w:sz w:val="22"/>
          <w:szCs w:val="22"/>
        </w:rPr>
        <w:t>v rámci veřejné zakázky poptává komplexní služby spočívající ve výběru dodavatele s nejnižším násobícím koeficientem pro dodávky elektrické energie a zemního plynu pro resort Zákazníka na období let 2017 až 2019 formou elektronické aukce na komoditním trhu</w:t>
      </w:r>
      <w:r w:rsidR="00387B71">
        <w:rPr>
          <w:sz w:val="22"/>
          <w:szCs w:val="22"/>
        </w:rPr>
        <w:t xml:space="preserve"> (dále též „</w:t>
      </w:r>
      <w:r w:rsidR="00387B71" w:rsidRPr="00387B71">
        <w:rPr>
          <w:b/>
          <w:sz w:val="22"/>
          <w:szCs w:val="22"/>
        </w:rPr>
        <w:t>Zakázka</w:t>
      </w:r>
      <w:r w:rsidR="00387B71">
        <w:rPr>
          <w:sz w:val="22"/>
          <w:szCs w:val="22"/>
        </w:rPr>
        <w:t>“)</w:t>
      </w:r>
      <w:r w:rsidR="002605F0">
        <w:rPr>
          <w:sz w:val="22"/>
          <w:szCs w:val="22"/>
        </w:rPr>
        <w:t>.</w:t>
      </w:r>
      <w:bookmarkEnd w:id="1"/>
    </w:p>
    <w:p w14:paraId="586B5D05" w14:textId="145120F9" w:rsidR="00B42DA7" w:rsidRPr="003E04C1" w:rsidRDefault="002605F0">
      <w:pPr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PXE je provozovatelem komoditní burzy, který </w:t>
      </w:r>
      <w:r w:rsidR="00E4601B">
        <w:rPr>
          <w:sz w:val="22"/>
          <w:szCs w:val="22"/>
        </w:rPr>
        <w:t xml:space="preserve">je </w:t>
      </w:r>
      <w:r>
        <w:rPr>
          <w:sz w:val="22"/>
          <w:szCs w:val="22"/>
        </w:rPr>
        <w:t>spolu s Burzovním dohodcem</w:t>
      </w:r>
      <w:r w:rsidR="00E4601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E4601B">
        <w:rPr>
          <w:sz w:val="22"/>
          <w:szCs w:val="22"/>
        </w:rPr>
        <w:t xml:space="preserve">oprávněn </w:t>
      </w:r>
      <w:r>
        <w:rPr>
          <w:sz w:val="22"/>
          <w:szCs w:val="22"/>
        </w:rPr>
        <w:t xml:space="preserve">shora uvedené služby Zákazníkovi poskytnout. </w:t>
      </w:r>
    </w:p>
    <w:p w14:paraId="29DC6FD8" w14:textId="21C0F631" w:rsidR="00EE4405" w:rsidRPr="003E04C1" w:rsidRDefault="002605F0" w:rsidP="00FF7051">
      <w:pPr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Vzhledem k těmto skutečnostem uzavírají smluvní strany tuto smlouvu</w:t>
      </w:r>
      <w:r w:rsidR="00B8061C">
        <w:rPr>
          <w:sz w:val="22"/>
          <w:szCs w:val="22"/>
        </w:rPr>
        <w:t xml:space="preserve"> o poskytnutí služeb (dále jen „</w:t>
      </w:r>
      <w:r w:rsidR="00B8061C" w:rsidRPr="00B8061C">
        <w:rPr>
          <w:b/>
          <w:sz w:val="22"/>
          <w:szCs w:val="22"/>
        </w:rPr>
        <w:t>smlouva</w:t>
      </w:r>
      <w:r w:rsidR="00B8061C">
        <w:rPr>
          <w:sz w:val="22"/>
          <w:szCs w:val="22"/>
        </w:rPr>
        <w:t>“)</w:t>
      </w:r>
      <w:r>
        <w:rPr>
          <w:sz w:val="22"/>
          <w:szCs w:val="22"/>
        </w:rPr>
        <w:t>.</w:t>
      </w:r>
    </w:p>
    <w:p w14:paraId="08BB81F2" w14:textId="77777777" w:rsidR="00711C43" w:rsidRPr="003E04C1" w:rsidRDefault="00711C43" w:rsidP="00C65D16">
      <w:pPr>
        <w:keepNext/>
        <w:spacing w:before="48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lastRenderedPageBreak/>
        <w:t>II.</w:t>
      </w:r>
    </w:p>
    <w:p w14:paraId="1C74D78A" w14:textId="77777777" w:rsidR="00711C43" w:rsidRPr="003E04C1" w:rsidRDefault="00711C43" w:rsidP="00A950F7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 xml:space="preserve">Definice pojmů </w:t>
      </w:r>
    </w:p>
    <w:p w14:paraId="497D8C91" w14:textId="77777777" w:rsidR="002D6FEF" w:rsidRPr="003E04C1" w:rsidRDefault="002D6FEF" w:rsidP="00B8061C">
      <w:pPr>
        <w:pStyle w:val="4sltext"/>
        <w:ind w:left="426" w:firstLine="1"/>
        <w:rPr>
          <w:rFonts w:ascii="Times New Roman" w:hAnsi="Times New Roman"/>
          <w:szCs w:val="22"/>
        </w:rPr>
      </w:pPr>
      <w:r w:rsidRPr="003E04C1">
        <w:rPr>
          <w:rFonts w:ascii="Times New Roman" w:hAnsi="Times New Roman"/>
          <w:szCs w:val="22"/>
        </w:rPr>
        <w:t>V této smlouvě mají následující výrazy níže definovaný význam, pokud z kontextu nevyplývá něco jiného:</w:t>
      </w:r>
    </w:p>
    <w:tbl>
      <w:tblPr>
        <w:tblW w:w="4718" w:type="pct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5464"/>
      </w:tblGrid>
      <w:tr w:rsidR="002D6FEF" w:rsidRPr="003E04C1" w14:paraId="120D45FD" w14:textId="77777777" w:rsidTr="002D6FEF">
        <w:tc>
          <w:tcPr>
            <w:tcW w:w="1857" w:type="pct"/>
          </w:tcPr>
          <w:p w14:paraId="708682CB" w14:textId="77777777" w:rsidR="002D6FEF" w:rsidRPr="003E04C1" w:rsidRDefault="002D6FEF" w:rsidP="004A4887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3E04C1">
              <w:rPr>
                <w:rFonts w:cs="Arial"/>
                <w:b/>
                <w:bCs/>
                <w:sz w:val="22"/>
                <w:szCs w:val="22"/>
              </w:rPr>
              <w:t>Aukce</w:t>
            </w:r>
          </w:p>
        </w:tc>
        <w:tc>
          <w:tcPr>
            <w:tcW w:w="3143" w:type="pct"/>
          </w:tcPr>
          <w:p w14:paraId="7354AA11" w14:textId="0E307DF0" w:rsidR="002D6FEF" w:rsidRPr="003E04C1" w:rsidRDefault="00C95C29" w:rsidP="00084D12">
            <w:pPr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burzovní shromáždění ve formě </w:t>
            </w:r>
            <w:r w:rsidR="002D6FEF" w:rsidRPr="003E04C1">
              <w:rPr>
                <w:sz w:val="22"/>
                <w:szCs w:val="22"/>
              </w:rPr>
              <w:t>elektronick</w:t>
            </w:r>
            <w:r>
              <w:rPr>
                <w:sz w:val="22"/>
                <w:szCs w:val="22"/>
              </w:rPr>
              <w:t>é</w:t>
            </w:r>
            <w:r w:rsidR="002D6FEF" w:rsidRPr="003E04C1">
              <w:rPr>
                <w:sz w:val="22"/>
                <w:szCs w:val="22"/>
              </w:rPr>
              <w:t xml:space="preserve"> aukce organizovan</w:t>
            </w:r>
            <w:r>
              <w:rPr>
                <w:sz w:val="22"/>
                <w:szCs w:val="22"/>
              </w:rPr>
              <w:t>é</w:t>
            </w:r>
            <w:r w:rsidR="002D6FEF" w:rsidRPr="003E04C1">
              <w:rPr>
                <w:sz w:val="22"/>
                <w:szCs w:val="22"/>
              </w:rPr>
              <w:t xml:space="preserve"> </w:t>
            </w:r>
            <w:r w:rsidR="002605F0">
              <w:rPr>
                <w:sz w:val="22"/>
                <w:szCs w:val="22"/>
              </w:rPr>
              <w:t>PXE</w:t>
            </w:r>
            <w:r w:rsidR="002D6FEF" w:rsidRPr="003E04C1">
              <w:rPr>
                <w:sz w:val="22"/>
                <w:szCs w:val="22"/>
              </w:rPr>
              <w:t xml:space="preserve">, jejímž předmětem je </w:t>
            </w:r>
            <w:r w:rsidR="00084D12">
              <w:t xml:space="preserve">dodávka </w:t>
            </w:r>
            <w:r w:rsidR="00084D12" w:rsidRPr="003E04C1">
              <w:rPr>
                <w:sz w:val="22"/>
                <w:szCs w:val="22"/>
              </w:rPr>
              <w:t xml:space="preserve">elektřiny </w:t>
            </w:r>
            <w:r w:rsidR="00084D12">
              <w:rPr>
                <w:sz w:val="22"/>
                <w:szCs w:val="22"/>
              </w:rPr>
              <w:t xml:space="preserve">a/nebo zemního plynu </w:t>
            </w:r>
            <w:r w:rsidR="00084D12">
              <w:t xml:space="preserve">nebo poskytnutí sdružených služeb dodávky </w:t>
            </w:r>
            <w:r w:rsidR="002D6FEF" w:rsidRPr="003E04C1">
              <w:rPr>
                <w:sz w:val="22"/>
                <w:szCs w:val="22"/>
              </w:rPr>
              <w:t xml:space="preserve">elektřiny </w:t>
            </w:r>
            <w:r>
              <w:rPr>
                <w:sz w:val="22"/>
                <w:szCs w:val="22"/>
              </w:rPr>
              <w:t xml:space="preserve">a/nebo </w:t>
            </w:r>
            <w:r w:rsidR="00084D12">
              <w:rPr>
                <w:sz w:val="22"/>
                <w:szCs w:val="22"/>
              </w:rPr>
              <w:t xml:space="preserve">zemního </w:t>
            </w:r>
            <w:r>
              <w:rPr>
                <w:sz w:val="22"/>
                <w:szCs w:val="22"/>
              </w:rPr>
              <w:t xml:space="preserve">plynu </w:t>
            </w:r>
            <w:r w:rsidR="007660AA">
              <w:rPr>
                <w:sz w:val="22"/>
                <w:szCs w:val="22"/>
              </w:rPr>
              <w:t>konečn</w:t>
            </w:r>
            <w:r w:rsidR="002D6FEF" w:rsidRPr="003E04C1">
              <w:rPr>
                <w:sz w:val="22"/>
                <w:szCs w:val="22"/>
              </w:rPr>
              <w:t>ému zákazníku dodavatelem;</w:t>
            </w:r>
          </w:p>
        </w:tc>
      </w:tr>
      <w:tr w:rsidR="004E18B6" w:rsidRPr="003E04C1" w14:paraId="2270BD7B" w14:textId="77777777" w:rsidTr="002D6FEF">
        <w:tc>
          <w:tcPr>
            <w:tcW w:w="1857" w:type="pct"/>
          </w:tcPr>
          <w:p w14:paraId="570837D8" w14:textId="5A21DA72" w:rsidR="004E18B6" w:rsidRPr="003E04C1" w:rsidRDefault="004E18B6" w:rsidP="004A4887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Burzovní pravidla</w:t>
            </w:r>
          </w:p>
        </w:tc>
        <w:tc>
          <w:tcPr>
            <w:tcW w:w="3143" w:type="pct"/>
          </w:tcPr>
          <w:p w14:paraId="71534451" w14:textId="631FEE4A" w:rsidR="004E18B6" w:rsidRPr="00902F45" w:rsidRDefault="004E18B6" w:rsidP="00084D12">
            <w:pPr>
              <w:spacing w:after="120"/>
              <w:jc w:val="both"/>
              <w:rPr>
                <w:sz w:val="22"/>
                <w:szCs w:val="22"/>
              </w:rPr>
            </w:pPr>
            <w:r w:rsidRPr="00902F45">
              <w:rPr>
                <w:sz w:val="22"/>
                <w:szCs w:val="22"/>
              </w:rPr>
              <w:t>Burzovní pravidla PXE pro trh s komoditami pro konečné zákazníky, jejichž znění je uvedeno na webových stránkách PXE</w:t>
            </w:r>
            <w:r w:rsidR="00E4601B" w:rsidRPr="00902F45">
              <w:rPr>
                <w:rFonts w:cs="Arial"/>
                <w:sz w:val="22"/>
                <w:szCs w:val="22"/>
              </w:rPr>
              <w:t xml:space="preserve"> a je též přílohou této smlouvy</w:t>
            </w:r>
            <w:r w:rsidRPr="00902F45">
              <w:rPr>
                <w:sz w:val="22"/>
                <w:szCs w:val="22"/>
              </w:rPr>
              <w:t>;</w:t>
            </w:r>
          </w:p>
        </w:tc>
      </w:tr>
      <w:tr w:rsidR="002D6FEF" w:rsidRPr="003E04C1" w14:paraId="3881DEAD" w14:textId="77777777" w:rsidTr="002D6FEF">
        <w:tc>
          <w:tcPr>
            <w:tcW w:w="1857" w:type="pct"/>
          </w:tcPr>
          <w:p w14:paraId="2242BF79" w14:textId="77777777" w:rsidR="002D6FEF" w:rsidRPr="003E04C1" w:rsidRDefault="002D6FEF" w:rsidP="004A4887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3E04C1">
              <w:rPr>
                <w:rFonts w:cs="Arial"/>
                <w:b/>
                <w:bCs/>
                <w:sz w:val="22"/>
                <w:szCs w:val="22"/>
              </w:rPr>
              <w:t>Účastnická smlouva</w:t>
            </w:r>
          </w:p>
        </w:tc>
        <w:tc>
          <w:tcPr>
            <w:tcW w:w="3143" w:type="pct"/>
          </w:tcPr>
          <w:p w14:paraId="75B84026" w14:textId="40873C77" w:rsidR="002D6FEF" w:rsidRPr="00902F45" w:rsidRDefault="002D6FEF" w:rsidP="0054512F">
            <w:pPr>
              <w:spacing w:after="120"/>
              <w:jc w:val="both"/>
              <w:rPr>
                <w:i/>
                <w:sz w:val="22"/>
                <w:szCs w:val="22"/>
              </w:rPr>
            </w:pPr>
            <w:r w:rsidRPr="00902F45">
              <w:rPr>
                <w:rFonts w:cs="Arial"/>
                <w:sz w:val="22"/>
                <w:szCs w:val="22"/>
              </w:rPr>
              <w:t>smlouva o vzniku oprávnění k uzavírání obchodů na</w:t>
            </w:r>
            <w:r w:rsidR="002C7506">
              <w:rPr>
                <w:rFonts w:cs="Arial"/>
                <w:sz w:val="22"/>
                <w:szCs w:val="22"/>
              </w:rPr>
              <w:t> </w:t>
            </w:r>
            <w:r w:rsidRPr="00902F45">
              <w:rPr>
                <w:rFonts w:cs="Arial"/>
                <w:sz w:val="22"/>
                <w:szCs w:val="22"/>
              </w:rPr>
              <w:t xml:space="preserve">POWER EXCHANGE CENTRAL EUROPE umožňující </w:t>
            </w:r>
            <w:r w:rsidR="0070316E" w:rsidRPr="00902F45">
              <w:rPr>
                <w:rFonts w:cs="Arial"/>
                <w:sz w:val="22"/>
                <w:szCs w:val="22"/>
              </w:rPr>
              <w:t xml:space="preserve">nákup </w:t>
            </w:r>
            <w:r w:rsidRPr="00902F45">
              <w:rPr>
                <w:rFonts w:cs="Arial"/>
                <w:sz w:val="22"/>
                <w:szCs w:val="22"/>
              </w:rPr>
              <w:t>v</w:t>
            </w:r>
            <w:r w:rsidR="0054512F" w:rsidRPr="00902F45">
              <w:rPr>
                <w:rFonts w:cs="Arial"/>
                <w:sz w:val="22"/>
                <w:szCs w:val="22"/>
              </w:rPr>
              <w:t> </w:t>
            </w:r>
            <w:r w:rsidRPr="00902F45">
              <w:rPr>
                <w:rFonts w:cs="Arial"/>
                <w:sz w:val="22"/>
                <w:szCs w:val="22"/>
              </w:rPr>
              <w:t>Aukci</w:t>
            </w:r>
            <w:r w:rsidR="0054512F" w:rsidRPr="00902F45">
              <w:rPr>
                <w:rFonts w:cs="Arial"/>
                <w:sz w:val="22"/>
                <w:szCs w:val="22"/>
              </w:rPr>
              <w:t xml:space="preserve"> konečnému zákazníkovi</w:t>
            </w:r>
            <w:r w:rsidR="00603432" w:rsidRPr="00902F45">
              <w:rPr>
                <w:rFonts w:cs="Arial"/>
                <w:sz w:val="22"/>
                <w:szCs w:val="22"/>
              </w:rPr>
              <w:t>, jejíž vzor je uveden na webových stránkách PXE a je též přílohou této smlouvy</w:t>
            </w:r>
            <w:r w:rsidRPr="00902F45">
              <w:rPr>
                <w:rFonts w:cs="Arial"/>
                <w:sz w:val="22"/>
                <w:szCs w:val="22"/>
              </w:rPr>
              <w:t>;</w:t>
            </w:r>
          </w:p>
        </w:tc>
      </w:tr>
      <w:tr w:rsidR="002D6FEF" w:rsidRPr="003E04C1" w14:paraId="3BB182CB" w14:textId="77777777" w:rsidTr="002D6FEF">
        <w:tc>
          <w:tcPr>
            <w:tcW w:w="1857" w:type="pct"/>
          </w:tcPr>
          <w:p w14:paraId="694869D6" w14:textId="61A1154D" w:rsidR="002D6FEF" w:rsidRPr="003E04C1" w:rsidRDefault="002605F0" w:rsidP="004A4887">
            <w:pPr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Služby</w:t>
            </w:r>
          </w:p>
        </w:tc>
        <w:tc>
          <w:tcPr>
            <w:tcW w:w="3143" w:type="pct"/>
          </w:tcPr>
          <w:p w14:paraId="1A113287" w14:textId="35D9F465" w:rsidR="002D6FEF" w:rsidRPr="003E04C1" w:rsidRDefault="002605F0" w:rsidP="00C949E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komplexní služby, jej</w:t>
            </w:r>
            <w:r w:rsidR="00E4601B">
              <w:rPr>
                <w:sz w:val="22"/>
                <w:szCs w:val="22"/>
              </w:rPr>
              <w:t>ich</w:t>
            </w:r>
            <w:r>
              <w:rPr>
                <w:sz w:val="22"/>
                <w:szCs w:val="22"/>
              </w:rPr>
              <w:t xml:space="preserve">ž </w:t>
            </w:r>
            <w:r w:rsidR="00E4601B">
              <w:rPr>
                <w:sz w:val="22"/>
                <w:szCs w:val="22"/>
              </w:rPr>
              <w:t xml:space="preserve">cílem </w:t>
            </w:r>
            <w:r>
              <w:rPr>
                <w:sz w:val="22"/>
                <w:szCs w:val="22"/>
              </w:rPr>
              <w:t xml:space="preserve">je výběr dodavatele elektrické energie a zemního plynu pro resort Zákazníka na období let 2017 až 2019 formou </w:t>
            </w:r>
            <w:r w:rsidR="009250B8">
              <w:rPr>
                <w:sz w:val="22"/>
                <w:szCs w:val="22"/>
              </w:rPr>
              <w:t>Aukce</w:t>
            </w:r>
            <w:r w:rsidR="003C195A">
              <w:rPr>
                <w:sz w:val="22"/>
                <w:szCs w:val="22"/>
              </w:rPr>
              <w:t>(í)</w:t>
            </w:r>
            <w:r>
              <w:rPr>
                <w:sz w:val="22"/>
                <w:szCs w:val="22"/>
              </w:rPr>
              <w:t xml:space="preserve">, </w:t>
            </w:r>
            <w:r w:rsidR="00E4601B">
              <w:rPr>
                <w:sz w:val="22"/>
                <w:szCs w:val="22"/>
              </w:rPr>
              <w:t xml:space="preserve">a které </w:t>
            </w:r>
            <w:r>
              <w:rPr>
                <w:sz w:val="22"/>
                <w:szCs w:val="22"/>
              </w:rPr>
              <w:t>sestávají z</w:t>
            </w:r>
            <w:r w:rsidR="00E4601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následujících</w:t>
            </w:r>
            <w:r w:rsidRPr="003E04C1">
              <w:rPr>
                <w:sz w:val="22"/>
                <w:szCs w:val="22"/>
              </w:rPr>
              <w:t xml:space="preserve"> </w:t>
            </w:r>
            <w:r w:rsidR="002D6FEF" w:rsidRPr="003E04C1">
              <w:rPr>
                <w:sz w:val="22"/>
                <w:szCs w:val="22"/>
              </w:rPr>
              <w:t>činnost</w:t>
            </w:r>
            <w:r>
              <w:rPr>
                <w:sz w:val="22"/>
                <w:szCs w:val="22"/>
              </w:rPr>
              <w:t>í</w:t>
            </w:r>
            <w:r w:rsidR="002F2705">
              <w:rPr>
                <w:sz w:val="22"/>
                <w:szCs w:val="22"/>
              </w:rPr>
              <w:t>:</w:t>
            </w:r>
            <w:r w:rsidR="002D6FEF" w:rsidRPr="003E04C1">
              <w:rPr>
                <w:sz w:val="22"/>
                <w:szCs w:val="22"/>
              </w:rPr>
              <w:t xml:space="preserve"> </w:t>
            </w:r>
          </w:p>
          <w:p w14:paraId="20CC1B38" w14:textId="4FAC6D98" w:rsidR="00DB7CBC" w:rsidRDefault="002F2705" w:rsidP="00E604B8">
            <w:pPr>
              <w:pStyle w:val="Odstavecseseznamem"/>
              <w:numPr>
                <w:ilvl w:val="0"/>
                <w:numId w:val="20"/>
              </w:numPr>
              <w:ind w:left="529" w:hanging="529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příprava dat k odběrným místům a zpracování přihlášky k</w:t>
            </w:r>
            <w:r w:rsidR="003C195A">
              <w:rPr>
                <w:sz w:val="22"/>
                <w:szCs w:val="22"/>
              </w:rPr>
              <w:t> A</w:t>
            </w:r>
            <w:r>
              <w:rPr>
                <w:sz w:val="22"/>
                <w:szCs w:val="22"/>
              </w:rPr>
              <w:t>ukci</w:t>
            </w:r>
            <w:r w:rsidR="003C195A">
              <w:rPr>
                <w:sz w:val="22"/>
                <w:szCs w:val="22"/>
              </w:rPr>
              <w:t>(ím)</w:t>
            </w:r>
            <w:r>
              <w:rPr>
                <w:sz w:val="22"/>
                <w:szCs w:val="22"/>
              </w:rPr>
              <w:t xml:space="preserve"> na trhu PXE</w:t>
            </w:r>
            <w:r w:rsidR="00F006A4">
              <w:rPr>
                <w:sz w:val="22"/>
                <w:szCs w:val="22"/>
              </w:rPr>
              <w:t xml:space="preserve"> tak, jak jsou tyto činnosti definovány v čl. </w:t>
            </w:r>
            <w:r w:rsidR="004015CC">
              <w:rPr>
                <w:sz w:val="22"/>
                <w:szCs w:val="22"/>
              </w:rPr>
              <w:t xml:space="preserve">IV. odst. 1 </w:t>
            </w:r>
            <w:r w:rsidR="00324901">
              <w:rPr>
                <w:sz w:val="22"/>
                <w:szCs w:val="22"/>
              </w:rPr>
              <w:t xml:space="preserve">až 3 </w:t>
            </w:r>
            <w:r w:rsidR="00F006A4">
              <w:rPr>
                <w:sz w:val="22"/>
                <w:szCs w:val="22"/>
              </w:rPr>
              <w:t>této smlouvy</w:t>
            </w:r>
            <w:r>
              <w:rPr>
                <w:sz w:val="22"/>
                <w:szCs w:val="22"/>
              </w:rPr>
              <w:t>,</w:t>
            </w:r>
          </w:p>
          <w:p w14:paraId="4381C7FC" w14:textId="1A7AD525" w:rsidR="002F2705" w:rsidRPr="003E04C1" w:rsidRDefault="002F2705" w:rsidP="00E604B8">
            <w:pPr>
              <w:pStyle w:val="Odstavecseseznamem"/>
              <w:numPr>
                <w:ilvl w:val="0"/>
                <w:numId w:val="20"/>
              </w:numPr>
              <w:ind w:left="529" w:hanging="529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zastupování Zákazníka při obchodování na trhu PXE</w:t>
            </w:r>
            <w:r w:rsidR="00FA323F">
              <w:rPr>
                <w:sz w:val="22"/>
                <w:szCs w:val="22"/>
              </w:rPr>
              <w:t xml:space="preserve"> a</w:t>
            </w:r>
            <w:r w:rsidR="00F006A4">
              <w:rPr>
                <w:sz w:val="22"/>
                <w:szCs w:val="22"/>
              </w:rPr>
              <w:t xml:space="preserve"> výkon činnosti dohodce (tj. zprostředkování burzovního obchodu) tak, jak jsou tyto činnosti definovány v čl. </w:t>
            </w:r>
            <w:r w:rsidR="004015CC">
              <w:rPr>
                <w:sz w:val="22"/>
                <w:szCs w:val="22"/>
              </w:rPr>
              <w:t xml:space="preserve">IV. odst. </w:t>
            </w:r>
            <w:r w:rsidR="00324901">
              <w:rPr>
                <w:sz w:val="22"/>
                <w:szCs w:val="22"/>
              </w:rPr>
              <w:t>4</w:t>
            </w:r>
            <w:r w:rsidR="004015CC">
              <w:rPr>
                <w:sz w:val="22"/>
                <w:szCs w:val="22"/>
              </w:rPr>
              <w:t xml:space="preserve"> </w:t>
            </w:r>
            <w:r w:rsidR="00F006A4">
              <w:rPr>
                <w:sz w:val="22"/>
                <w:szCs w:val="22"/>
              </w:rPr>
              <w:t>této smlouvy a</w:t>
            </w:r>
          </w:p>
          <w:p w14:paraId="3A17BCC4" w14:textId="0E23849A" w:rsidR="00770282" w:rsidRPr="00770282" w:rsidRDefault="00F006A4" w:rsidP="004015CC">
            <w:pPr>
              <w:pStyle w:val="Odstavecseseznamem"/>
              <w:numPr>
                <w:ilvl w:val="0"/>
                <w:numId w:val="20"/>
              </w:numPr>
              <w:ind w:left="529" w:hanging="529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zajištění technické a administrativní podpory Zákazníkovi k sjednání smlouvy o dodávce elektřiny a zemního plynu s vybranými dodavateli tak, jak jsou tyto činnosti definovány v čl. </w:t>
            </w:r>
            <w:r w:rsidR="004015CC">
              <w:rPr>
                <w:sz w:val="22"/>
                <w:szCs w:val="22"/>
              </w:rPr>
              <w:t xml:space="preserve">IV. odst. </w:t>
            </w:r>
            <w:r w:rsidR="0032490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této smlouvy.</w:t>
            </w:r>
          </w:p>
        </w:tc>
      </w:tr>
    </w:tbl>
    <w:p w14:paraId="23F38C8D" w14:textId="64E1F26D" w:rsidR="00C07E86" w:rsidRPr="003E04C1" w:rsidRDefault="00711C43" w:rsidP="0018379C">
      <w:pPr>
        <w:keepNext/>
        <w:spacing w:before="36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I</w:t>
      </w:r>
      <w:r w:rsidR="00C07E86" w:rsidRPr="003E04C1">
        <w:rPr>
          <w:b/>
          <w:sz w:val="22"/>
          <w:szCs w:val="22"/>
        </w:rPr>
        <w:t>II.</w:t>
      </w:r>
    </w:p>
    <w:p w14:paraId="5163B8CA" w14:textId="77777777" w:rsidR="00C07E86" w:rsidRPr="003E04C1" w:rsidRDefault="00C07E86" w:rsidP="00A950F7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Předmět smlouvy</w:t>
      </w:r>
    </w:p>
    <w:p w14:paraId="79B506BB" w14:textId="5DEFA126" w:rsidR="00EE4405" w:rsidRPr="003E04C1" w:rsidRDefault="00F006A4" w:rsidP="00CD74A8">
      <w:pPr>
        <w:numPr>
          <w:ilvl w:val="0"/>
          <w:numId w:val="19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D1780D" w:rsidRPr="003E04C1">
        <w:rPr>
          <w:sz w:val="22"/>
          <w:szCs w:val="22"/>
        </w:rPr>
        <w:t xml:space="preserve"> se zavazuje </w:t>
      </w:r>
      <w:r>
        <w:rPr>
          <w:sz w:val="22"/>
          <w:szCs w:val="22"/>
        </w:rPr>
        <w:t xml:space="preserve">Zákazníkovi poskytnout </w:t>
      </w:r>
      <w:r w:rsidR="00CA0C0B">
        <w:rPr>
          <w:sz w:val="22"/>
          <w:szCs w:val="22"/>
        </w:rPr>
        <w:t xml:space="preserve">za podmínek dále uvedených </w:t>
      </w:r>
      <w:r w:rsidRPr="00EA6F4F">
        <w:rPr>
          <w:sz w:val="22"/>
          <w:szCs w:val="22"/>
        </w:rPr>
        <w:t>Služby</w:t>
      </w:r>
      <w:r>
        <w:rPr>
          <w:sz w:val="22"/>
          <w:szCs w:val="22"/>
        </w:rPr>
        <w:t xml:space="preserve">. </w:t>
      </w:r>
    </w:p>
    <w:p w14:paraId="30D01C9C" w14:textId="332D3CBE" w:rsidR="00EE4405" w:rsidRPr="003E04C1" w:rsidRDefault="00F006A4" w:rsidP="00CD74A8">
      <w:pPr>
        <w:numPr>
          <w:ilvl w:val="0"/>
          <w:numId w:val="19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Zákazník se zavazuje za </w:t>
      </w:r>
      <w:r w:rsidR="004F2BB8">
        <w:rPr>
          <w:sz w:val="22"/>
          <w:szCs w:val="22"/>
        </w:rPr>
        <w:t xml:space="preserve">řádně a včas </w:t>
      </w:r>
      <w:r>
        <w:rPr>
          <w:sz w:val="22"/>
          <w:szCs w:val="22"/>
        </w:rPr>
        <w:t>poskytnuté Služby zaplatit Poskytovateli cenu uvedenou v</w:t>
      </w:r>
      <w:r w:rsidR="005634AD">
        <w:rPr>
          <w:sz w:val="22"/>
          <w:szCs w:val="22"/>
        </w:rPr>
        <w:t xml:space="preserve"> čl. VI. této </w:t>
      </w:r>
      <w:r w:rsidR="003C195A">
        <w:rPr>
          <w:sz w:val="22"/>
          <w:szCs w:val="22"/>
        </w:rPr>
        <w:t>smlouvy</w:t>
      </w:r>
      <w:r w:rsidR="005634AD">
        <w:rPr>
          <w:sz w:val="22"/>
          <w:szCs w:val="22"/>
        </w:rPr>
        <w:t>.</w:t>
      </w:r>
      <w:r w:rsidR="00D1780D" w:rsidRPr="003E04C1">
        <w:rPr>
          <w:sz w:val="22"/>
          <w:szCs w:val="22"/>
        </w:rPr>
        <w:t xml:space="preserve"> </w:t>
      </w:r>
    </w:p>
    <w:p w14:paraId="3AE65D12" w14:textId="77777777" w:rsidR="00EE4405" w:rsidRPr="003E04C1" w:rsidRDefault="00CD74A8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IV</w:t>
      </w:r>
      <w:r w:rsidR="00D1780D" w:rsidRPr="003E04C1">
        <w:rPr>
          <w:b/>
          <w:sz w:val="22"/>
          <w:szCs w:val="22"/>
        </w:rPr>
        <w:t>.</w:t>
      </w:r>
    </w:p>
    <w:p w14:paraId="328D518F" w14:textId="69801A24" w:rsidR="00EE4405" w:rsidRPr="00A950F7" w:rsidRDefault="00BF367A" w:rsidP="00A950F7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Podrobný popis Služeb</w:t>
      </w:r>
    </w:p>
    <w:p w14:paraId="0EEB111E" w14:textId="1F2785B6" w:rsidR="00195698" w:rsidRPr="00195698" w:rsidRDefault="00195698" w:rsidP="00AE7F9E">
      <w:pPr>
        <w:numPr>
          <w:ilvl w:val="0"/>
          <w:numId w:val="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bookmarkStart w:id="2" w:name="_Ref464565418"/>
      <w:r w:rsidRPr="00195698">
        <w:rPr>
          <w:sz w:val="22"/>
          <w:szCs w:val="22"/>
        </w:rPr>
        <w:t>Poskytovatel je povinen připravit data k odběrným místům a zpracovat přihlášku(y) k </w:t>
      </w:r>
      <w:r w:rsidR="003561D6">
        <w:rPr>
          <w:sz w:val="22"/>
          <w:szCs w:val="22"/>
        </w:rPr>
        <w:t>A</w:t>
      </w:r>
      <w:r w:rsidRPr="00195698">
        <w:rPr>
          <w:sz w:val="22"/>
          <w:szCs w:val="22"/>
        </w:rPr>
        <w:t>ukci na</w:t>
      </w:r>
      <w:r w:rsidR="004F2BB8">
        <w:rPr>
          <w:sz w:val="22"/>
          <w:szCs w:val="22"/>
        </w:rPr>
        <w:t> </w:t>
      </w:r>
      <w:r w:rsidRPr="00195698">
        <w:rPr>
          <w:sz w:val="22"/>
          <w:szCs w:val="22"/>
        </w:rPr>
        <w:t xml:space="preserve">trhu </w:t>
      </w:r>
      <w:r>
        <w:rPr>
          <w:sz w:val="22"/>
          <w:szCs w:val="22"/>
        </w:rPr>
        <w:t xml:space="preserve">konečných zákazníků </w:t>
      </w:r>
      <w:r w:rsidRPr="00195698">
        <w:rPr>
          <w:sz w:val="22"/>
          <w:szCs w:val="22"/>
        </w:rPr>
        <w:t>PXE na základě kompletních údajů a dokumentů předaných či</w:t>
      </w:r>
      <w:r w:rsidR="004F2BB8">
        <w:rPr>
          <w:sz w:val="22"/>
          <w:szCs w:val="22"/>
        </w:rPr>
        <w:t> </w:t>
      </w:r>
      <w:r w:rsidRPr="00195698">
        <w:rPr>
          <w:sz w:val="22"/>
          <w:szCs w:val="22"/>
        </w:rPr>
        <w:t>zpřístupněných Poskytovateli Zákazníkem</w:t>
      </w:r>
      <w:r>
        <w:rPr>
          <w:sz w:val="22"/>
          <w:szCs w:val="22"/>
        </w:rPr>
        <w:t xml:space="preserve"> (dále jen „</w:t>
      </w:r>
      <w:r w:rsidRPr="00195698">
        <w:rPr>
          <w:b/>
          <w:sz w:val="22"/>
          <w:szCs w:val="22"/>
        </w:rPr>
        <w:t>Podklady</w:t>
      </w:r>
      <w:r>
        <w:rPr>
          <w:sz w:val="22"/>
          <w:szCs w:val="22"/>
        </w:rPr>
        <w:t>“)</w:t>
      </w:r>
      <w:r w:rsidRPr="00195698">
        <w:rPr>
          <w:sz w:val="22"/>
          <w:szCs w:val="22"/>
        </w:rPr>
        <w:t>. Zákazník prohlašuje, že má</w:t>
      </w:r>
      <w:r w:rsidR="002C7506">
        <w:rPr>
          <w:sz w:val="22"/>
          <w:szCs w:val="22"/>
        </w:rPr>
        <w:t> </w:t>
      </w:r>
      <w:r>
        <w:rPr>
          <w:sz w:val="22"/>
          <w:szCs w:val="22"/>
        </w:rPr>
        <w:t xml:space="preserve">Podklady </w:t>
      </w:r>
      <w:r w:rsidRPr="00195698">
        <w:rPr>
          <w:sz w:val="22"/>
          <w:szCs w:val="22"/>
        </w:rPr>
        <w:t>k dispozici ve formě:</w:t>
      </w:r>
      <w:bookmarkEnd w:id="2"/>
    </w:p>
    <w:p w14:paraId="5476FE40" w14:textId="6C655D1A" w:rsidR="00195698" w:rsidRPr="00195698" w:rsidRDefault="00195698" w:rsidP="00C60278">
      <w:pPr>
        <w:pStyle w:val="Odstavecseseznamem"/>
        <w:numPr>
          <w:ilvl w:val="0"/>
          <w:numId w:val="30"/>
        </w:numPr>
        <w:spacing w:after="120"/>
        <w:ind w:left="1208" w:hanging="357"/>
        <w:contextualSpacing w:val="0"/>
        <w:jc w:val="both"/>
        <w:rPr>
          <w:sz w:val="22"/>
          <w:szCs w:val="22"/>
        </w:rPr>
      </w:pPr>
      <w:r w:rsidRPr="00195698">
        <w:rPr>
          <w:sz w:val="22"/>
          <w:szCs w:val="22"/>
        </w:rPr>
        <w:t xml:space="preserve">údajů o spotřebě </w:t>
      </w:r>
      <w:r>
        <w:rPr>
          <w:sz w:val="22"/>
          <w:szCs w:val="22"/>
        </w:rPr>
        <w:t xml:space="preserve">elektřiny </w:t>
      </w:r>
      <w:r w:rsidRPr="00195698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zemního plynu </w:t>
      </w:r>
      <w:r w:rsidRPr="00195698">
        <w:rPr>
          <w:sz w:val="22"/>
          <w:szCs w:val="22"/>
        </w:rPr>
        <w:t xml:space="preserve">v rámci resortu MPSV vedené v rámci webové aplikace Energybroker, a to za období 2014, 2015 a částečně 2016, včetně informací, které byly podkladem pro realizaci veřejné zakázky na centrální nákup </w:t>
      </w:r>
      <w:r>
        <w:rPr>
          <w:sz w:val="22"/>
          <w:szCs w:val="22"/>
        </w:rPr>
        <w:lastRenderedPageBreak/>
        <w:t xml:space="preserve">elektřiny </w:t>
      </w:r>
      <w:r w:rsidRPr="00195698">
        <w:rPr>
          <w:sz w:val="22"/>
          <w:szCs w:val="22"/>
        </w:rPr>
        <w:t xml:space="preserve">realizované v roce 2014, 2015 a veřejné zakázky na nákup </w:t>
      </w:r>
      <w:r>
        <w:rPr>
          <w:sz w:val="22"/>
          <w:szCs w:val="22"/>
        </w:rPr>
        <w:t>zemního plynu</w:t>
      </w:r>
      <w:r w:rsidRPr="00195698">
        <w:rPr>
          <w:sz w:val="22"/>
          <w:szCs w:val="22"/>
        </w:rPr>
        <w:t xml:space="preserve"> realizované v roce 2013 a 2015 s fixní cenou</w:t>
      </w:r>
      <w:r w:rsidR="00C95C29">
        <w:rPr>
          <w:sz w:val="22"/>
          <w:szCs w:val="22"/>
        </w:rPr>
        <w:t xml:space="preserve"> a</w:t>
      </w:r>
    </w:p>
    <w:p w14:paraId="267D0234" w14:textId="6CA963A2" w:rsidR="00BF367A" w:rsidRPr="00195698" w:rsidRDefault="00195698" w:rsidP="00195698">
      <w:pPr>
        <w:pStyle w:val="Odstavecseseznamem"/>
        <w:numPr>
          <w:ilvl w:val="0"/>
          <w:numId w:val="30"/>
        </w:numPr>
        <w:spacing w:after="120"/>
        <w:jc w:val="both"/>
        <w:rPr>
          <w:sz w:val="22"/>
          <w:szCs w:val="22"/>
        </w:rPr>
      </w:pPr>
      <w:r w:rsidRPr="00195698">
        <w:rPr>
          <w:sz w:val="22"/>
          <w:szCs w:val="22"/>
        </w:rPr>
        <w:t>podklad</w:t>
      </w:r>
      <w:r w:rsidR="00C95C29">
        <w:rPr>
          <w:sz w:val="22"/>
          <w:szCs w:val="22"/>
        </w:rPr>
        <w:t>u</w:t>
      </w:r>
      <w:r w:rsidRPr="00195698">
        <w:rPr>
          <w:sz w:val="22"/>
          <w:szCs w:val="22"/>
        </w:rPr>
        <w:t xml:space="preserve"> shrnující</w:t>
      </w:r>
      <w:r w:rsidR="00C95C29">
        <w:rPr>
          <w:sz w:val="22"/>
          <w:szCs w:val="22"/>
        </w:rPr>
        <w:t>ho</w:t>
      </w:r>
      <w:r w:rsidRPr="00195698">
        <w:rPr>
          <w:sz w:val="22"/>
          <w:szCs w:val="22"/>
        </w:rPr>
        <w:t xml:space="preserve"> relevantní údaje o odběrných místech, o poptávaném množství komodit na období dodávek 3 let, odhad</w:t>
      </w:r>
      <w:r w:rsidR="00C95C29">
        <w:rPr>
          <w:sz w:val="22"/>
          <w:szCs w:val="22"/>
        </w:rPr>
        <w:t>u</w:t>
      </w:r>
      <w:r w:rsidRPr="00195698">
        <w:rPr>
          <w:sz w:val="22"/>
          <w:szCs w:val="22"/>
        </w:rPr>
        <w:t xml:space="preserve"> měsíční rezervované kapacity včetně zapracovaných požadavků dotčených subjektů k dodávkám energií, jména a údaje kontaktních osob včetně dalších informací potřebných k vyplnění údajů k </w:t>
      </w:r>
      <w:r w:rsidR="00C95C29">
        <w:rPr>
          <w:sz w:val="22"/>
          <w:szCs w:val="22"/>
        </w:rPr>
        <w:t>uskutečnění</w:t>
      </w:r>
      <w:r w:rsidRPr="00195698">
        <w:rPr>
          <w:sz w:val="22"/>
          <w:szCs w:val="22"/>
        </w:rPr>
        <w:t xml:space="preserve"> burzovní</w:t>
      </w:r>
      <w:r w:rsidR="00C95C29">
        <w:rPr>
          <w:sz w:val="22"/>
          <w:szCs w:val="22"/>
        </w:rPr>
        <w:t>ho obchodu</w:t>
      </w:r>
      <w:r w:rsidR="00387B71">
        <w:rPr>
          <w:sz w:val="22"/>
          <w:szCs w:val="22"/>
        </w:rPr>
        <w:t>.</w:t>
      </w:r>
    </w:p>
    <w:p w14:paraId="2C734D75" w14:textId="40B5EB37" w:rsidR="009B3CC0" w:rsidRDefault="009B3CC0" w:rsidP="00324901">
      <w:pPr>
        <w:numPr>
          <w:ilvl w:val="0"/>
          <w:numId w:val="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 w:rsidRPr="006D54CD">
        <w:rPr>
          <w:sz w:val="22"/>
          <w:szCs w:val="22"/>
        </w:rPr>
        <w:t>Poskytovatel bere na vědomí a zajistí, aby byla v rámci Aukce</w:t>
      </w:r>
      <w:r>
        <w:rPr>
          <w:sz w:val="22"/>
          <w:szCs w:val="22"/>
        </w:rPr>
        <w:t>(í)</w:t>
      </w:r>
      <w:r w:rsidRPr="006D54CD">
        <w:rPr>
          <w:sz w:val="22"/>
          <w:szCs w:val="22"/>
        </w:rPr>
        <w:t xml:space="preserve"> pro Zákazníka vedena soutěž o</w:t>
      </w:r>
      <w:r>
        <w:rPr>
          <w:sz w:val="22"/>
          <w:szCs w:val="22"/>
        </w:rPr>
        <w:t> </w:t>
      </w:r>
      <w:r w:rsidRPr="006D54CD">
        <w:rPr>
          <w:sz w:val="22"/>
          <w:szCs w:val="22"/>
        </w:rPr>
        <w:t xml:space="preserve">dodavatele elektřiny a </w:t>
      </w:r>
      <w:r>
        <w:rPr>
          <w:sz w:val="22"/>
          <w:szCs w:val="22"/>
        </w:rPr>
        <w:t xml:space="preserve">o </w:t>
      </w:r>
      <w:r w:rsidRPr="006D54CD">
        <w:rPr>
          <w:sz w:val="22"/>
          <w:szCs w:val="22"/>
        </w:rPr>
        <w:t xml:space="preserve">dodavatele zemního plynu </w:t>
      </w:r>
      <w:r>
        <w:rPr>
          <w:sz w:val="22"/>
          <w:szCs w:val="22"/>
        </w:rPr>
        <w:t xml:space="preserve">vždy </w:t>
      </w:r>
      <w:r w:rsidRPr="006D54CD">
        <w:rPr>
          <w:sz w:val="22"/>
          <w:szCs w:val="22"/>
        </w:rPr>
        <w:t xml:space="preserve">s nejnižším násobícím koeficientem </w:t>
      </w:r>
      <w:r>
        <w:rPr>
          <w:sz w:val="22"/>
          <w:szCs w:val="22"/>
        </w:rPr>
        <w:t xml:space="preserve">(ve smyslu čl. 20 odst. 10 písm. c) Burzovních pravidel), </w:t>
      </w:r>
      <w:r w:rsidRPr="006D54CD">
        <w:rPr>
          <w:sz w:val="22"/>
          <w:szCs w:val="22"/>
        </w:rPr>
        <w:t>při požadovaném počtu fixačních kroků 4x ročně, kdy</w:t>
      </w:r>
      <w:r>
        <w:rPr>
          <w:sz w:val="22"/>
          <w:szCs w:val="22"/>
        </w:rPr>
        <w:t xml:space="preserve"> d</w:t>
      </w:r>
      <w:r w:rsidRPr="006D54CD">
        <w:rPr>
          <w:sz w:val="22"/>
          <w:szCs w:val="22"/>
        </w:rPr>
        <w:t xml:space="preserve">odavatel </w:t>
      </w:r>
      <w:r>
        <w:rPr>
          <w:sz w:val="22"/>
          <w:szCs w:val="22"/>
        </w:rPr>
        <w:t xml:space="preserve">příslušné komodity </w:t>
      </w:r>
      <w:r w:rsidRPr="006D54CD">
        <w:rPr>
          <w:sz w:val="22"/>
          <w:szCs w:val="22"/>
        </w:rPr>
        <w:t xml:space="preserve">bude na základě sjednané smlouvy se </w:t>
      </w:r>
      <w:r>
        <w:rPr>
          <w:sz w:val="22"/>
          <w:szCs w:val="22"/>
        </w:rPr>
        <w:t xml:space="preserve">Zákazníkem </w:t>
      </w:r>
      <w:r w:rsidRPr="006D54CD">
        <w:rPr>
          <w:sz w:val="22"/>
          <w:szCs w:val="22"/>
        </w:rPr>
        <w:t xml:space="preserve">vázán podmínkou realizovat po období 2017 až 2019 dodávky v jednotkových cenách energií stanovených v režimu postupné fixace cen elektrické energie a zemního plynu k hodnotám Base </w:t>
      </w:r>
      <w:r>
        <w:rPr>
          <w:sz w:val="22"/>
          <w:szCs w:val="22"/>
        </w:rPr>
        <w:t>L</w:t>
      </w:r>
      <w:r w:rsidRPr="006D54CD">
        <w:rPr>
          <w:sz w:val="22"/>
          <w:szCs w:val="22"/>
        </w:rPr>
        <w:t xml:space="preserve">oad </w:t>
      </w:r>
      <w:r>
        <w:rPr>
          <w:sz w:val="22"/>
          <w:szCs w:val="22"/>
        </w:rPr>
        <w:t xml:space="preserve">na </w:t>
      </w:r>
      <w:r w:rsidRPr="006D54CD">
        <w:rPr>
          <w:sz w:val="22"/>
          <w:szCs w:val="22"/>
        </w:rPr>
        <w:t>velkoobchodní</w:t>
      </w:r>
      <w:r w:rsidR="006170D2">
        <w:rPr>
          <w:sz w:val="22"/>
          <w:szCs w:val="22"/>
        </w:rPr>
        <w:t>ch</w:t>
      </w:r>
      <w:r w:rsidRPr="006D54CD">
        <w:rPr>
          <w:sz w:val="22"/>
          <w:szCs w:val="22"/>
        </w:rPr>
        <w:t xml:space="preserve"> tr</w:t>
      </w:r>
      <w:r w:rsidR="006170D2">
        <w:rPr>
          <w:sz w:val="22"/>
          <w:szCs w:val="22"/>
        </w:rPr>
        <w:t>zích</w:t>
      </w:r>
      <w:r w:rsidRPr="006D54CD">
        <w:rPr>
          <w:sz w:val="22"/>
          <w:szCs w:val="22"/>
        </w:rPr>
        <w:t xml:space="preserve"> s energií PXE</w:t>
      </w:r>
      <w:r w:rsidR="006170D2">
        <w:rPr>
          <w:sz w:val="22"/>
          <w:szCs w:val="22"/>
        </w:rPr>
        <w:t>/EEX</w:t>
      </w:r>
      <w:r w:rsidRPr="006D54CD">
        <w:rPr>
          <w:sz w:val="22"/>
          <w:szCs w:val="22"/>
        </w:rPr>
        <w:t>.</w:t>
      </w:r>
    </w:p>
    <w:p w14:paraId="675821F4" w14:textId="4FB13D89" w:rsidR="00324901" w:rsidRDefault="00324901" w:rsidP="00324901">
      <w:pPr>
        <w:numPr>
          <w:ilvl w:val="0"/>
          <w:numId w:val="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 bere dále na vědomí, že:</w:t>
      </w:r>
    </w:p>
    <w:p w14:paraId="3B1B80CE" w14:textId="3CECF679" w:rsidR="00324901" w:rsidRPr="00324901" w:rsidRDefault="003C195A" w:rsidP="00324901">
      <w:pPr>
        <w:pStyle w:val="Odstavecseseznamem"/>
        <w:numPr>
          <w:ilvl w:val="0"/>
          <w:numId w:val="35"/>
        </w:numPr>
        <w:spacing w:after="120"/>
        <w:ind w:left="1208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24901" w:rsidRPr="00324901">
        <w:rPr>
          <w:sz w:val="22"/>
          <w:szCs w:val="22"/>
        </w:rPr>
        <w:t xml:space="preserve">ředpokládaný počet odběrných míst </w:t>
      </w:r>
      <w:r w:rsidR="00447E1A">
        <w:rPr>
          <w:sz w:val="22"/>
          <w:szCs w:val="22"/>
        </w:rPr>
        <w:t xml:space="preserve">v resortu Zákazníka </w:t>
      </w:r>
      <w:r w:rsidR="00324901" w:rsidRPr="00324901">
        <w:rPr>
          <w:sz w:val="22"/>
          <w:szCs w:val="22"/>
        </w:rPr>
        <w:t xml:space="preserve">pro </w:t>
      </w:r>
      <w:r w:rsidR="00324901">
        <w:rPr>
          <w:sz w:val="22"/>
          <w:szCs w:val="22"/>
        </w:rPr>
        <w:t>elektřinu</w:t>
      </w:r>
      <w:r w:rsidR="00324901" w:rsidRPr="00324901">
        <w:rPr>
          <w:sz w:val="22"/>
          <w:szCs w:val="22"/>
        </w:rPr>
        <w:t xml:space="preserve"> na hladině nízkého napětí je cca 408 a na hladině vysokého napětí 28. Odhadovaná spotřeba </w:t>
      </w:r>
      <w:r w:rsidR="00324901">
        <w:rPr>
          <w:sz w:val="22"/>
          <w:szCs w:val="22"/>
        </w:rPr>
        <w:t>elektřiny</w:t>
      </w:r>
      <w:r w:rsidR="00324901" w:rsidRPr="00324901">
        <w:rPr>
          <w:sz w:val="22"/>
          <w:szCs w:val="22"/>
        </w:rPr>
        <w:t xml:space="preserve"> za jeden rok činí cca 32</w:t>
      </w:r>
      <w:r w:rsidR="00324901">
        <w:rPr>
          <w:sz w:val="22"/>
          <w:szCs w:val="22"/>
        </w:rPr>
        <w:t> </w:t>
      </w:r>
      <w:r w:rsidR="00324901" w:rsidRPr="00324901">
        <w:rPr>
          <w:sz w:val="22"/>
          <w:szCs w:val="22"/>
        </w:rPr>
        <w:t xml:space="preserve">GWh.  </w:t>
      </w:r>
    </w:p>
    <w:p w14:paraId="29293FA5" w14:textId="5FB5E027" w:rsidR="00324901" w:rsidRPr="00324901" w:rsidRDefault="003C195A" w:rsidP="00324901">
      <w:pPr>
        <w:pStyle w:val="Odstavecseseznamem"/>
        <w:numPr>
          <w:ilvl w:val="0"/>
          <w:numId w:val="35"/>
        </w:numPr>
        <w:spacing w:after="120"/>
        <w:ind w:left="1208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324901" w:rsidRPr="00324901">
        <w:rPr>
          <w:sz w:val="22"/>
          <w:szCs w:val="22"/>
        </w:rPr>
        <w:t xml:space="preserve">ředpokládaný počet odběrných míst </w:t>
      </w:r>
      <w:r w:rsidR="00447E1A">
        <w:rPr>
          <w:sz w:val="22"/>
          <w:szCs w:val="22"/>
        </w:rPr>
        <w:t xml:space="preserve">zemního plynu v resortu Zákazníka </w:t>
      </w:r>
      <w:r w:rsidR="00324901" w:rsidRPr="00324901">
        <w:rPr>
          <w:sz w:val="22"/>
          <w:szCs w:val="22"/>
        </w:rPr>
        <w:t>pod 630 MWh (malo</w:t>
      </w:r>
      <w:r w:rsidR="00447E1A">
        <w:rPr>
          <w:sz w:val="22"/>
          <w:szCs w:val="22"/>
        </w:rPr>
        <w:t>o</w:t>
      </w:r>
      <w:r w:rsidR="00324901" w:rsidRPr="00324901">
        <w:rPr>
          <w:sz w:val="22"/>
          <w:szCs w:val="22"/>
        </w:rPr>
        <w:t xml:space="preserve">dběr) je 202 a u dodávek </w:t>
      </w:r>
      <w:r w:rsidR="00447E1A">
        <w:rPr>
          <w:sz w:val="22"/>
          <w:szCs w:val="22"/>
        </w:rPr>
        <w:t xml:space="preserve">zemního plynu </w:t>
      </w:r>
      <w:r w:rsidR="00324901" w:rsidRPr="00324901">
        <w:rPr>
          <w:sz w:val="22"/>
          <w:szCs w:val="22"/>
        </w:rPr>
        <w:t xml:space="preserve">nad 630 MWh (velkoodběr) 13. Celkový Předpokládaný odběr </w:t>
      </w:r>
      <w:r w:rsidR="00447E1A">
        <w:rPr>
          <w:sz w:val="22"/>
          <w:szCs w:val="22"/>
        </w:rPr>
        <w:t xml:space="preserve">zemního plynu </w:t>
      </w:r>
      <w:r w:rsidR="00324901" w:rsidRPr="00324901">
        <w:rPr>
          <w:sz w:val="22"/>
          <w:szCs w:val="22"/>
        </w:rPr>
        <w:t>činí ročně 47 GWh.</w:t>
      </w:r>
    </w:p>
    <w:p w14:paraId="2E7B6A7E" w14:textId="62013C43" w:rsidR="00324901" w:rsidRPr="00324901" w:rsidRDefault="003C195A" w:rsidP="00324901">
      <w:pPr>
        <w:pStyle w:val="Odstavecseseznamem"/>
        <w:numPr>
          <w:ilvl w:val="0"/>
          <w:numId w:val="35"/>
        </w:numPr>
        <w:spacing w:after="120"/>
        <w:ind w:left="1208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324901" w:rsidRPr="00324901">
        <w:rPr>
          <w:sz w:val="22"/>
          <w:szCs w:val="22"/>
        </w:rPr>
        <w:t xml:space="preserve">utnou podmínkou realizace předmětu </w:t>
      </w:r>
      <w:r w:rsidR="00324901">
        <w:rPr>
          <w:sz w:val="22"/>
          <w:szCs w:val="22"/>
        </w:rPr>
        <w:t>Zakázky</w:t>
      </w:r>
      <w:r w:rsidR="00324901" w:rsidRPr="00324901">
        <w:rPr>
          <w:sz w:val="22"/>
          <w:szCs w:val="22"/>
        </w:rPr>
        <w:t xml:space="preserve"> je </w:t>
      </w:r>
      <w:r>
        <w:rPr>
          <w:sz w:val="22"/>
          <w:szCs w:val="22"/>
        </w:rPr>
        <w:t xml:space="preserve">zajištění </w:t>
      </w:r>
      <w:r w:rsidR="00324901" w:rsidRPr="00324901">
        <w:rPr>
          <w:sz w:val="22"/>
          <w:szCs w:val="22"/>
        </w:rPr>
        <w:t>výběr</w:t>
      </w:r>
      <w:r>
        <w:rPr>
          <w:sz w:val="22"/>
          <w:szCs w:val="22"/>
        </w:rPr>
        <w:t>u</w:t>
      </w:r>
      <w:r w:rsidR="00324901" w:rsidRPr="00324901">
        <w:rPr>
          <w:sz w:val="22"/>
          <w:szCs w:val="22"/>
        </w:rPr>
        <w:t xml:space="preserve"> dodavatele/dodavatelů </w:t>
      </w:r>
      <w:r>
        <w:rPr>
          <w:sz w:val="22"/>
          <w:szCs w:val="22"/>
        </w:rPr>
        <w:t xml:space="preserve">elektřiny </w:t>
      </w:r>
      <w:r w:rsidR="00324901" w:rsidRPr="00324901">
        <w:rPr>
          <w:sz w:val="22"/>
          <w:szCs w:val="22"/>
        </w:rPr>
        <w:t>a </w:t>
      </w:r>
      <w:r>
        <w:rPr>
          <w:sz w:val="22"/>
          <w:szCs w:val="22"/>
        </w:rPr>
        <w:t xml:space="preserve">zemního plynu </w:t>
      </w:r>
      <w:r w:rsidR="00324901" w:rsidRPr="00324901">
        <w:rPr>
          <w:sz w:val="22"/>
          <w:szCs w:val="22"/>
        </w:rPr>
        <w:t>pro rok 2017 nejpozději do</w:t>
      </w:r>
      <w:r w:rsidR="004F2BB8">
        <w:rPr>
          <w:sz w:val="22"/>
          <w:szCs w:val="22"/>
        </w:rPr>
        <w:t> </w:t>
      </w:r>
      <w:r w:rsidR="00324901" w:rsidRPr="00324901">
        <w:rPr>
          <w:sz w:val="22"/>
          <w:szCs w:val="22"/>
        </w:rPr>
        <w:t>30.</w:t>
      </w:r>
      <w:r>
        <w:rPr>
          <w:sz w:val="22"/>
          <w:szCs w:val="22"/>
        </w:rPr>
        <w:t> </w:t>
      </w:r>
      <w:r w:rsidR="00324901" w:rsidRPr="00324901">
        <w:rPr>
          <w:sz w:val="22"/>
          <w:szCs w:val="22"/>
        </w:rPr>
        <w:t>11.</w:t>
      </w:r>
      <w:r>
        <w:rPr>
          <w:sz w:val="22"/>
          <w:szCs w:val="22"/>
        </w:rPr>
        <w:t> </w:t>
      </w:r>
      <w:r w:rsidR="00324901" w:rsidRPr="00324901">
        <w:rPr>
          <w:sz w:val="22"/>
          <w:szCs w:val="22"/>
        </w:rPr>
        <w:t>2016.</w:t>
      </w:r>
    </w:p>
    <w:p w14:paraId="727EA281" w14:textId="4A4160D9" w:rsidR="007660AA" w:rsidRDefault="00FA323F" w:rsidP="00AE7F9E">
      <w:pPr>
        <w:numPr>
          <w:ilvl w:val="0"/>
          <w:numId w:val="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Burzovní dohodce</w:t>
      </w:r>
      <w:r w:rsidR="00387B71" w:rsidRPr="00195698">
        <w:rPr>
          <w:sz w:val="22"/>
          <w:szCs w:val="22"/>
        </w:rPr>
        <w:t xml:space="preserve"> </w:t>
      </w:r>
      <w:r w:rsidR="00387B71">
        <w:rPr>
          <w:sz w:val="22"/>
          <w:szCs w:val="22"/>
        </w:rPr>
        <w:t>bude zastupovat Zákazníka při obchodování na trhu PXE za účelem realizace Zakázky</w:t>
      </w:r>
      <w:r>
        <w:rPr>
          <w:sz w:val="22"/>
          <w:szCs w:val="22"/>
        </w:rPr>
        <w:t>, tj. podá za Zákazníka poptávku do Aukce</w:t>
      </w:r>
      <w:r w:rsidR="006D54CD">
        <w:rPr>
          <w:sz w:val="22"/>
          <w:szCs w:val="22"/>
        </w:rPr>
        <w:t>(í)</w:t>
      </w:r>
      <w:r>
        <w:rPr>
          <w:sz w:val="22"/>
          <w:szCs w:val="22"/>
        </w:rPr>
        <w:t xml:space="preserve">. Zákazník tímto zmocňuje </w:t>
      </w:r>
      <w:r w:rsidR="00C469BF">
        <w:rPr>
          <w:sz w:val="22"/>
          <w:szCs w:val="22"/>
        </w:rPr>
        <w:t>Burzovního dohodce, aby za Zákazníka poptávku do Aukce</w:t>
      </w:r>
      <w:r w:rsidR="006D54CD">
        <w:rPr>
          <w:sz w:val="22"/>
          <w:szCs w:val="22"/>
        </w:rPr>
        <w:t>(í)</w:t>
      </w:r>
      <w:r w:rsidR="00C469BF">
        <w:rPr>
          <w:sz w:val="22"/>
          <w:szCs w:val="22"/>
        </w:rPr>
        <w:t xml:space="preserve"> podal. Burzovní dohodce je oprávněn zmocnit dále svého zástupce za podmínek uvedených v § 30 odst. 4 zák. č. 229/1992 Sb., o komoditních burzách. </w:t>
      </w:r>
      <w:r>
        <w:rPr>
          <w:sz w:val="22"/>
          <w:szCs w:val="22"/>
        </w:rPr>
        <w:t>Zprostředkování burzovního obchodu</w:t>
      </w:r>
      <w:r w:rsidR="003C195A">
        <w:rPr>
          <w:sz w:val="22"/>
          <w:szCs w:val="22"/>
        </w:rPr>
        <w:t>(ů) pro Zákazníka</w:t>
      </w:r>
      <w:r>
        <w:rPr>
          <w:sz w:val="22"/>
          <w:szCs w:val="22"/>
        </w:rPr>
        <w:t xml:space="preserve"> na trhu konečných zákazníků PXE provede Burzovní </w:t>
      </w:r>
      <w:r w:rsidR="00387B71">
        <w:rPr>
          <w:sz w:val="22"/>
          <w:szCs w:val="22"/>
        </w:rPr>
        <w:t>dohodce</w:t>
      </w:r>
      <w:r>
        <w:rPr>
          <w:sz w:val="22"/>
          <w:szCs w:val="22"/>
        </w:rPr>
        <w:t xml:space="preserve"> nebo jeho zástupce.</w:t>
      </w:r>
      <w:r w:rsidR="00CA0C0B">
        <w:rPr>
          <w:sz w:val="22"/>
          <w:szCs w:val="22"/>
        </w:rPr>
        <w:t xml:space="preserve"> Vznikne-li v důsledku porušení povinnosti Burzovního dohodce Zákazníkovi újma, za kterou Burzovní dohodce odpovídá, zavazuje se PXE tuto újmu v plném rozsahu Zákazníkovi nahradit. Poskytovatel současně poskytne Zákazníkovi kvalifikovanou podporu v rámci úkonů souvisejících s realizací postupů a činností při</w:t>
      </w:r>
      <w:r w:rsidR="004F2BB8">
        <w:rPr>
          <w:sz w:val="22"/>
          <w:szCs w:val="22"/>
        </w:rPr>
        <w:t> </w:t>
      </w:r>
      <w:r w:rsidR="00CA0C0B">
        <w:rPr>
          <w:sz w:val="22"/>
          <w:szCs w:val="22"/>
        </w:rPr>
        <w:t>obchodování na komoditním trhu PXE,</w:t>
      </w:r>
      <w:r w:rsidR="00CA0C0B" w:rsidRPr="00CA0C0B">
        <w:rPr>
          <w:sz w:val="22"/>
          <w:szCs w:val="22"/>
        </w:rPr>
        <w:t xml:space="preserve"> u nichž bude vyžadována jeho součinnost nebo aktivní účast</w:t>
      </w:r>
      <w:r w:rsidR="00CA0C0B">
        <w:rPr>
          <w:sz w:val="22"/>
          <w:szCs w:val="22"/>
        </w:rPr>
        <w:t>.</w:t>
      </w:r>
    </w:p>
    <w:p w14:paraId="32373078" w14:textId="352CB334" w:rsidR="00CA0C0B" w:rsidRDefault="00CA0C0B" w:rsidP="00AE7F9E">
      <w:pPr>
        <w:numPr>
          <w:ilvl w:val="0"/>
          <w:numId w:val="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 je povinen</w:t>
      </w:r>
      <w:r w:rsidR="00EF3C87">
        <w:rPr>
          <w:sz w:val="22"/>
          <w:szCs w:val="22"/>
        </w:rPr>
        <w:t xml:space="preserve"> Zákazníkovi </w:t>
      </w:r>
      <w:r w:rsidR="00EF3C87" w:rsidRPr="00EF3C87">
        <w:rPr>
          <w:sz w:val="22"/>
          <w:szCs w:val="22"/>
        </w:rPr>
        <w:t>poskytov</w:t>
      </w:r>
      <w:r w:rsidR="00EF3C87">
        <w:rPr>
          <w:sz w:val="22"/>
          <w:szCs w:val="22"/>
        </w:rPr>
        <w:t>at</w:t>
      </w:r>
      <w:r w:rsidR="00EF3C87" w:rsidRPr="00EF3C87">
        <w:rPr>
          <w:sz w:val="22"/>
          <w:szCs w:val="22"/>
        </w:rPr>
        <w:t xml:space="preserve"> součinnost a odborné poradenství v  procesních postupech směřujících k uzavření smlouvy s dodavatelem/dodavateli energií a </w:t>
      </w:r>
      <w:r w:rsidR="00EF3C87" w:rsidRPr="00EF3C87" w:rsidDel="00AC26CF">
        <w:rPr>
          <w:sz w:val="22"/>
          <w:szCs w:val="22"/>
        </w:rPr>
        <w:t xml:space="preserve"> </w:t>
      </w:r>
      <w:r w:rsidR="00EF3C87" w:rsidRPr="00EF3C87">
        <w:rPr>
          <w:sz w:val="22"/>
          <w:szCs w:val="22"/>
        </w:rPr>
        <w:t xml:space="preserve">zahájení plnění centralizované dodávky </w:t>
      </w:r>
      <w:r w:rsidR="00EF3C87">
        <w:rPr>
          <w:sz w:val="22"/>
          <w:szCs w:val="22"/>
        </w:rPr>
        <w:t xml:space="preserve">elektrické energie </w:t>
      </w:r>
      <w:r w:rsidR="00EF3C87" w:rsidRPr="00EF3C87">
        <w:rPr>
          <w:sz w:val="22"/>
          <w:szCs w:val="22"/>
        </w:rPr>
        <w:t>a </w:t>
      </w:r>
      <w:r w:rsidR="00EF3C87">
        <w:rPr>
          <w:sz w:val="22"/>
          <w:szCs w:val="22"/>
        </w:rPr>
        <w:t>zemního plynu.</w:t>
      </w:r>
    </w:p>
    <w:p w14:paraId="38D7EE2D" w14:textId="6A0731DF" w:rsidR="00E25972" w:rsidRPr="003E04C1" w:rsidRDefault="00E25972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V.</w:t>
      </w:r>
    </w:p>
    <w:p w14:paraId="4ED8FBFB" w14:textId="56B39D21" w:rsidR="00E25972" w:rsidRPr="00A950F7" w:rsidRDefault="00E25972" w:rsidP="00E25972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Součinnost Zákazníka</w:t>
      </w:r>
    </w:p>
    <w:p w14:paraId="627FB1C4" w14:textId="6178DFEF" w:rsidR="00E25972" w:rsidRPr="00E25972" w:rsidRDefault="00E25972" w:rsidP="00E25972">
      <w:pPr>
        <w:numPr>
          <w:ilvl w:val="0"/>
          <w:numId w:val="33"/>
        </w:numPr>
        <w:tabs>
          <w:tab w:val="clear" w:pos="1065"/>
        </w:tabs>
        <w:spacing w:after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Zákazník</w:t>
      </w:r>
      <w:r w:rsidRPr="00E25972">
        <w:rPr>
          <w:sz w:val="22"/>
          <w:szCs w:val="22"/>
        </w:rPr>
        <w:t xml:space="preserve"> poskytne </w:t>
      </w:r>
      <w:r>
        <w:rPr>
          <w:sz w:val="22"/>
          <w:szCs w:val="22"/>
        </w:rPr>
        <w:t>Poskytovateli</w:t>
      </w:r>
      <w:r w:rsidRPr="00E25972">
        <w:rPr>
          <w:sz w:val="22"/>
          <w:szCs w:val="22"/>
        </w:rPr>
        <w:t xml:space="preserve"> následující součinnost a materiály:</w:t>
      </w:r>
    </w:p>
    <w:p w14:paraId="57D3958D" w14:textId="5E307C94" w:rsidR="00E25972" w:rsidRPr="00E25972" w:rsidRDefault="00E25972" w:rsidP="00E25972">
      <w:pPr>
        <w:pStyle w:val="Odstavecseseznamem"/>
        <w:numPr>
          <w:ilvl w:val="0"/>
          <w:numId w:val="34"/>
        </w:numPr>
        <w:tabs>
          <w:tab w:val="num" w:pos="851"/>
        </w:tabs>
        <w:ind w:left="851" w:hanging="425"/>
        <w:jc w:val="both"/>
        <w:rPr>
          <w:noProof/>
          <w:sz w:val="22"/>
          <w:szCs w:val="22"/>
        </w:rPr>
      </w:pPr>
      <w:r w:rsidRPr="00E25972">
        <w:rPr>
          <w:noProof/>
          <w:sz w:val="22"/>
          <w:szCs w:val="22"/>
        </w:rPr>
        <w:t>poveření k</w:t>
      </w:r>
      <w:r>
        <w:rPr>
          <w:noProof/>
          <w:sz w:val="22"/>
          <w:szCs w:val="22"/>
        </w:rPr>
        <w:t> </w:t>
      </w:r>
      <w:r w:rsidRPr="00E25972">
        <w:rPr>
          <w:noProof/>
          <w:sz w:val="22"/>
          <w:szCs w:val="22"/>
        </w:rPr>
        <w:t>zastupování</w:t>
      </w:r>
      <w:r>
        <w:rPr>
          <w:noProof/>
          <w:sz w:val="22"/>
          <w:szCs w:val="22"/>
        </w:rPr>
        <w:t>, není-li již součástí této smlouvy</w:t>
      </w:r>
      <w:r w:rsidRPr="00E25972">
        <w:rPr>
          <w:noProof/>
          <w:sz w:val="22"/>
          <w:szCs w:val="22"/>
        </w:rPr>
        <w:t>;</w:t>
      </w:r>
    </w:p>
    <w:p w14:paraId="6B1D2AE5" w14:textId="05281508" w:rsidR="00E25972" w:rsidRPr="00E25972" w:rsidRDefault="00E25972" w:rsidP="00E25972">
      <w:pPr>
        <w:pStyle w:val="Odstavecseseznamem"/>
        <w:numPr>
          <w:ilvl w:val="0"/>
          <w:numId w:val="34"/>
        </w:numPr>
        <w:tabs>
          <w:tab w:val="num" w:pos="851"/>
        </w:tabs>
        <w:ind w:left="851" w:hanging="425"/>
        <w:jc w:val="both"/>
        <w:rPr>
          <w:noProof/>
          <w:sz w:val="22"/>
          <w:szCs w:val="22"/>
        </w:rPr>
      </w:pPr>
      <w:r w:rsidRPr="00E25972">
        <w:rPr>
          <w:noProof/>
          <w:sz w:val="22"/>
          <w:szCs w:val="22"/>
        </w:rPr>
        <w:t>poskytnutí relevantních podkladů, dat a informací, které se váží k předmětu plnění</w:t>
      </w:r>
      <w:r>
        <w:rPr>
          <w:noProof/>
          <w:sz w:val="22"/>
          <w:szCs w:val="22"/>
        </w:rPr>
        <w:t>, zejména Podklady</w:t>
      </w:r>
      <w:r w:rsidRPr="00E25972">
        <w:rPr>
          <w:noProof/>
          <w:sz w:val="22"/>
          <w:szCs w:val="22"/>
        </w:rPr>
        <w:t>;</w:t>
      </w:r>
    </w:p>
    <w:p w14:paraId="7F2D1A9B" w14:textId="6DBB9085" w:rsidR="00A64060" w:rsidRPr="00E25972" w:rsidRDefault="00E25972" w:rsidP="00E25972">
      <w:pPr>
        <w:pStyle w:val="Odstavecseseznamem"/>
        <w:numPr>
          <w:ilvl w:val="0"/>
          <w:numId w:val="34"/>
        </w:numPr>
        <w:tabs>
          <w:tab w:val="num" w:pos="851"/>
        </w:tabs>
        <w:spacing w:after="120"/>
        <w:ind w:left="850" w:hanging="425"/>
        <w:contextualSpacing w:val="0"/>
        <w:jc w:val="both"/>
        <w:rPr>
          <w:noProof/>
          <w:sz w:val="22"/>
          <w:szCs w:val="22"/>
        </w:rPr>
      </w:pPr>
      <w:r w:rsidRPr="00E25972">
        <w:rPr>
          <w:noProof/>
          <w:sz w:val="22"/>
          <w:szCs w:val="22"/>
        </w:rPr>
        <w:t>podporu při sběru a zpracování dat.</w:t>
      </w:r>
      <w:r w:rsidR="009E24A8" w:rsidRPr="00E25972">
        <w:rPr>
          <w:noProof/>
          <w:sz w:val="22"/>
          <w:szCs w:val="22"/>
        </w:rPr>
        <w:t xml:space="preserve"> </w:t>
      </w:r>
    </w:p>
    <w:p w14:paraId="0062B44F" w14:textId="14D0A6C4" w:rsidR="00EE4405" w:rsidRDefault="00186055" w:rsidP="00E25972">
      <w:pPr>
        <w:numPr>
          <w:ilvl w:val="0"/>
          <w:numId w:val="33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Podklady poskytne Poskytovatel Zákazníkovi v dostatečném předstihu nezbytném pro řádné poskytnutí Služby. </w:t>
      </w:r>
    </w:p>
    <w:p w14:paraId="239A5C43" w14:textId="211A19B7" w:rsidR="00670DE7" w:rsidRPr="00902F45" w:rsidRDefault="00603432" w:rsidP="00603432">
      <w:pPr>
        <w:numPr>
          <w:ilvl w:val="0"/>
          <w:numId w:val="33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Zákazník bere dále na vědomí, že k poskytnutí Služeb je nezbytné, aby se Zákazník stal účastníkem obchodování na trhu konečných zákazníků PXE a k tomuto účelu uzavřel s PXE Účastnickou </w:t>
      </w:r>
      <w:r w:rsidRPr="00902F45">
        <w:rPr>
          <w:sz w:val="22"/>
          <w:szCs w:val="22"/>
        </w:rPr>
        <w:t>smlouvu</w:t>
      </w:r>
      <w:r w:rsidR="004E18B6" w:rsidRPr="00902F45">
        <w:rPr>
          <w:sz w:val="22"/>
          <w:szCs w:val="22"/>
        </w:rPr>
        <w:t xml:space="preserve"> (příloha č. 1 této smlouvy)</w:t>
      </w:r>
      <w:r w:rsidRPr="00902F45">
        <w:rPr>
          <w:sz w:val="22"/>
          <w:szCs w:val="22"/>
        </w:rPr>
        <w:t>.</w:t>
      </w:r>
      <w:r w:rsidR="009250B8" w:rsidRPr="00902F45">
        <w:rPr>
          <w:sz w:val="22"/>
          <w:szCs w:val="22"/>
        </w:rPr>
        <w:t xml:space="preserve"> Zákazník s PXE uzavře Účastnickou smlouvu bez zbytečného odkladu po uzavření této smlouvy s dostatečným předstihem před konáním Aukce.</w:t>
      </w:r>
    </w:p>
    <w:p w14:paraId="334B9CB4" w14:textId="7AE31BF4" w:rsidR="00603432" w:rsidRPr="00902F45" w:rsidRDefault="00603432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 w:rsidRPr="00902F45">
        <w:rPr>
          <w:b/>
          <w:sz w:val="22"/>
          <w:szCs w:val="22"/>
        </w:rPr>
        <w:t>V</w:t>
      </w:r>
      <w:r w:rsidR="004E18B6" w:rsidRPr="00902F45">
        <w:rPr>
          <w:b/>
          <w:sz w:val="22"/>
          <w:szCs w:val="22"/>
        </w:rPr>
        <w:t>I</w:t>
      </w:r>
      <w:r w:rsidRPr="00902F45">
        <w:rPr>
          <w:b/>
          <w:sz w:val="22"/>
          <w:szCs w:val="22"/>
        </w:rPr>
        <w:t>.</w:t>
      </w:r>
    </w:p>
    <w:p w14:paraId="76C77C28" w14:textId="5F7DAB66" w:rsidR="00603432" w:rsidRPr="00902F45" w:rsidRDefault="00603432" w:rsidP="00603432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902F45">
        <w:rPr>
          <w:b/>
          <w:sz w:val="22"/>
          <w:szCs w:val="22"/>
        </w:rPr>
        <w:t>Cena a platební podmínky</w:t>
      </w:r>
    </w:p>
    <w:p w14:paraId="7325403E" w14:textId="31204F47" w:rsidR="00603432" w:rsidRPr="0091504D" w:rsidRDefault="00892408" w:rsidP="00603432">
      <w:pPr>
        <w:numPr>
          <w:ilvl w:val="0"/>
          <w:numId w:val="36"/>
        </w:numPr>
        <w:tabs>
          <w:tab w:val="clear" w:pos="1065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902F45">
        <w:rPr>
          <w:sz w:val="22"/>
          <w:szCs w:val="22"/>
        </w:rPr>
        <w:t xml:space="preserve">Zákazník zaplatí </w:t>
      </w:r>
      <w:r w:rsidR="004E18B6" w:rsidRPr="00902F45">
        <w:rPr>
          <w:sz w:val="22"/>
          <w:szCs w:val="22"/>
        </w:rPr>
        <w:t xml:space="preserve">Poskytovateli </w:t>
      </w:r>
      <w:r w:rsidRPr="00902F45">
        <w:rPr>
          <w:sz w:val="22"/>
          <w:szCs w:val="22"/>
        </w:rPr>
        <w:t xml:space="preserve">za poskytnuté Služby cenu ve výši </w:t>
      </w:r>
      <w:r w:rsidRPr="00902F45">
        <w:rPr>
          <w:b/>
          <w:sz w:val="22"/>
          <w:szCs w:val="22"/>
        </w:rPr>
        <w:t>0,- Kč</w:t>
      </w:r>
      <w:r w:rsidRPr="00902F45">
        <w:rPr>
          <w:sz w:val="22"/>
          <w:szCs w:val="22"/>
        </w:rPr>
        <w:t>.</w:t>
      </w:r>
      <w:r w:rsidR="00125E07" w:rsidRPr="00902F45">
        <w:rPr>
          <w:sz w:val="22"/>
          <w:szCs w:val="22"/>
        </w:rPr>
        <w:t xml:space="preserve"> Daňový doklad tedy nebude vystavován.</w:t>
      </w:r>
      <w:r w:rsidR="00731FBB" w:rsidRPr="00902F45">
        <w:rPr>
          <w:rFonts w:ascii="Arial" w:hAnsi="Arial" w:cs="Arial"/>
        </w:rPr>
        <w:t xml:space="preserve"> </w:t>
      </w:r>
      <w:r w:rsidR="004F2BB8" w:rsidRPr="0018379C">
        <w:rPr>
          <w:sz w:val="22"/>
          <w:szCs w:val="22"/>
        </w:rPr>
        <w:t>Nulové náklady za zprostředkovatelské služby vyplývají ze skutečnosti, že veškeré náklady Poskytovatele spojené s přípravou dat a zprostředkováním nákup elektrické energie a zemního plynu jsou Poskytovatelem standardně promítnuty do poplatku za obchodování na komoditní burze a nemohou tak být Poskytovatelem objektivně nárokovány.</w:t>
      </w:r>
    </w:p>
    <w:p w14:paraId="3C11B380" w14:textId="3A34B5D4" w:rsidR="00892408" w:rsidRDefault="00892408" w:rsidP="00603432">
      <w:pPr>
        <w:numPr>
          <w:ilvl w:val="0"/>
          <w:numId w:val="36"/>
        </w:numPr>
        <w:tabs>
          <w:tab w:val="clear" w:pos="1065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 w:rsidRPr="00902F45">
        <w:rPr>
          <w:sz w:val="22"/>
          <w:szCs w:val="22"/>
        </w:rPr>
        <w:t xml:space="preserve">Na základě Účastnické smlouvy uzavřené mezi PXE a Zákazníkem zaplatí Zákazník </w:t>
      </w:r>
      <w:r w:rsidR="004E18B6" w:rsidRPr="00902F45">
        <w:rPr>
          <w:sz w:val="22"/>
          <w:szCs w:val="22"/>
        </w:rPr>
        <w:t xml:space="preserve">PXE v souladu s Burzovními pravidly (příloha č. 2 této smlouvy) </w:t>
      </w:r>
      <w:r w:rsidR="004A4887" w:rsidRPr="00902F45">
        <w:rPr>
          <w:sz w:val="22"/>
          <w:szCs w:val="22"/>
        </w:rPr>
        <w:t>vstupní</w:t>
      </w:r>
      <w:r w:rsidR="004A4887">
        <w:rPr>
          <w:sz w:val="22"/>
          <w:szCs w:val="22"/>
        </w:rPr>
        <w:t xml:space="preserve"> </w:t>
      </w:r>
      <w:r w:rsidR="004E18B6">
        <w:rPr>
          <w:sz w:val="22"/>
          <w:szCs w:val="22"/>
        </w:rPr>
        <w:t>burzovní poplatek za</w:t>
      </w:r>
      <w:r w:rsidR="004F2BB8">
        <w:rPr>
          <w:sz w:val="22"/>
          <w:szCs w:val="22"/>
        </w:rPr>
        <w:t> </w:t>
      </w:r>
      <w:r w:rsidR="004E18B6">
        <w:rPr>
          <w:sz w:val="22"/>
          <w:szCs w:val="22"/>
        </w:rPr>
        <w:t xml:space="preserve">účastnictví ve výši </w:t>
      </w:r>
      <w:r w:rsidR="004E18B6" w:rsidRPr="004E18B6">
        <w:rPr>
          <w:b/>
          <w:sz w:val="22"/>
          <w:szCs w:val="22"/>
        </w:rPr>
        <w:t>2 500,- Kč</w:t>
      </w:r>
      <w:r w:rsidR="004E18B6">
        <w:rPr>
          <w:sz w:val="22"/>
          <w:szCs w:val="22"/>
        </w:rPr>
        <w:t xml:space="preserve"> a po </w:t>
      </w:r>
      <w:r w:rsidR="003C195A">
        <w:rPr>
          <w:sz w:val="22"/>
          <w:szCs w:val="22"/>
        </w:rPr>
        <w:t xml:space="preserve">uzavření burzovního obchodu (tzn. po uzavření smlouvy o sdružených službách dodávky) </w:t>
      </w:r>
      <w:r w:rsidR="004E18B6">
        <w:rPr>
          <w:sz w:val="22"/>
          <w:szCs w:val="22"/>
        </w:rPr>
        <w:t>poplatek za obchodování ve výši, která při předpokládaném objemu burzovních obchodů dle čl. IV. odst. 3 této smlouvy</w:t>
      </w:r>
      <w:r w:rsidR="004A26FB">
        <w:rPr>
          <w:sz w:val="22"/>
          <w:szCs w:val="22"/>
        </w:rPr>
        <w:t xml:space="preserve"> </w:t>
      </w:r>
      <w:r w:rsidR="004A4887">
        <w:rPr>
          <w:sz w:val="22"/>
          <w:szCs w:val="22"/>
        </w:rPr>
        <w:t xml:space="preserve">činí </w:t>
      </w:r>
      <w:r w:rsidR="00D82CD4">
        <w:rPr>
          <w:sz w:val="22"/>
          <w:szCs w:val="22"/>
        </w:rPr>
        <w:t xml:space="preserve">celkem </w:t>
      </w:r>
      <w:r w:rsidR="00902F45">
        <w:rPr>
          <w:b/>
          <w:sz w:val="22"/>
          <w:szCs w:val="22"/>
        </w:rPr>
        <w:t>49</w:t>
      </w:r>
      <w:r w:rsidR="00C07250">
        <w:rPr>
          <w:b/>
          <w:sz w:val="22"/>
          <w:szCs w:val="22"/>
        </w:rPr>
        <w:t>3 0</w:t>
      </w:r>
      <w:r w:rsidR="00902F45">
        <w:rPr>
          <w:b/>
          <w:sz w:val="22"/>
          <w:szCs w:val="22"/>
        </w:rPr>
        <w:t>80</w:t>
      </w:r>
      <w:r w:rsidR="004A26FB" w:rsidRPr="004A26FB">
        <w:rPr>
          <w:b/>
          <w:sz w:val="22"/>
          <w:szCs w:val="22"/>
        </w:rPr>
        <w:t>,</w:t>
      </w:r>
      <w:r w:rsidR="00D82CD4">
        <w:rPr>
          <w:b/>
          <w:sz w:val="22"/>
          <w:szCs w:val="22"/>
        </w:rPr>
        <w:noBreakHyphen/>
      </w:r>
      <w:r w:rsidR="004A26FB" w:rsidRPr="004A26FB">
        <w:rPr>
          <w:b/>
          <w:sz w:val="22"/>
          <w:szCs w:val="22"/>
        </w:rPr>
        <w:t xml:space="preserve"> Kč</w:t>
      </w:r>
      <w:r w:rsidR="00902F45">
        <w:rPr>
          <w:b/>
          <w:sz w:val="22"/>
          <w:szCs w:val="22"/>
        </w:rPr>
        <w:t xml:space="preserve"> bez DPH, tj. 59</w:t>
      </w:r>
      <w:r w:rsidR="00C07250">
        <w:rPr>
          <w:b/>
          <w:sz w:val="22"/>
          <w:szCs w:val="22"/>
        </w:rPr>
        <w:t>6</w:t>
      </w:r>
      <w:r w:rsidR="00902F45">
        <w:rPr>
          <w:b/>
          <w:sz w:val="22"/>
          <w:szCs w:val="22"/>
        </w:rPr>
        <w:t> 6</w:t>
      </w:r>
      <w:r w:rsidR="00C07250">
        <w:rPr>
          <w:b/>
          <w:sz w:val="22"/>
          <w:szCs w:val="22"/>
        </w:rPr>
        <w:t>26</w:t>
      </w:r>
      <w:r w:rsidR="00902F45">
        <w:rPr>
          <w:b/>
          <w:sz w:val="22"/>
          <w:szCs w:val="22"/>
        </w:rPr>
        <w:t>,80 vč. DPH</w:t>
      </w:r>
      <w:r w:rsidR="004A26FB">
        <w:rPr>
          <w:sz w:val="22"/>
          <w:szCs w:val="22"/>
        </w:rPr>
        <w:t xml:space="preserve">. Tato cena vychází ze sazebníku burzovních poplatků uvedeného v Burzovních pravidlech a rozhodnutí burzovní komory </w:t>
      </w:r>
      <w:r w:rsidR="00D82CD4">
        <w:rPr>
          <w:sz w:val="22"/>
          <w:szCs w:val="22"/>
        </w:rPr>
        <w:t xml:space="preserve">PXE </w:t>
      </w:r>
      <w:r w:rsidR="004A26FB">
        <w:rPr>
          <w:sz w:val="22"/>
          <w:szCs w:val="22"/>
        </w:rPr>
        <w:t>o snížení poplatku</w:t>
      </w:r>
      <w:r w:rsidR="00D82CD4">
        <w:rPr>
          <w:sz w:val="22"/>
          <w:szCs w:val="22"/>
        </w:rPr>
        <w:t xml:space="preserve"> za obchodování pro Zákazníka ze dne </w:t>
      </w:r>
      <w:r w:rsidR="005634AD">
        <w:rPr>
          <w:sz w:val="22"/>
          <w:szCs w:val="22"/>
        </w:rPr>
        <w:t>19. 10. 2016</w:t>
      </w:r>
      <w:r w:rsidR="00D82CD4">
        <w:rPr>
          <w:sz w:val="22"/>
          <w:szCs w:val="22"/>
        </w:rPr>
        <w:t>.</w:t>
      </w:r>
    </w:p>
    <w:p w14:paraId="65ABE1E2" w14:textId="436D482F" w:rsidR="00EE4405" w:rsidRPr="003E04C1" w:rsidRDefault="00DC6E29" w:rsidP="00603432">
      <w:pPr>
        <w:numPr>
          <w:ilvl w:val="0"/>
          <w:numId w:val="36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Burzovní poplatky zaplatí Zákazník Poskytovateli na základě Účastnické smlouvy v souladu s podmínkami stanovenými Burzovními pravidly</w:t>
      </w:r>
      <w:r w:rsidR="004F2BB8">
        <w:rPr>
          <w:sz w:val="22"/>
          <w:szCs w:val="22"/>
        </w:rPr>
        <w:t xml:space="preserve"> (viz příloha č. 2 této smlouvy)</w:t>
      </w:r>
      <w:r>
        <w:rPr>
          <w:sz w:val="22"/>
          <w:szCs w:val="22"/>
        </w:rPr>
        <w:t>.</w:t>
      </w:r>
    </w:p>
    <w:p w14:paraId="0E059B3C" w14:textId="5E04CC75" w:rsidR="00EE4405" w:rsidRPr="003E04C1" w:rsidRDefault="00DC6E29" w:rsidP="00603432">
      <w:pPr>
        <w:numPr>
          <w:ilvl w:val="0"/>
          <w:numId w:val="36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Pro vyloučení pochybností strany uvádějí, že Burzovní dohodce je za své služby odměňován v rámci pracovního vztahu s</w:t>
      </w:r>
      <w:r w:rsidR="00592158">
        <w:rPr>
          <w:sz w:val="22"/>
          <w:szCs w:val="22"/>
        </w:rPr>
        <w:t> </w:t>
      </w:r>
      <w:r>
        <w:rPr>
          <w:sz w:val="22"/>
          <w:szCs w:val="22"/>
        </w:rPr>
        <w:t>PXE</w:t>
      </w:r>
      <w:r w:rsidR="00592158">
        <w:rPr>
          <w:sz w:val="22"/>
          <w:szCs w:val="22"/>
        </w:rPr>
        <w:t xml:space="preserve"> a nevzniká mu nárok na dohodné</w:t>
      </w:r>
      <w:r>
        <w:rPr>
          <w:sz w:val="22"/>
          <w:szCs w:val="22"/>
        </w:rPr>
        <w:t xml:space="preserve">. </w:t>
      </w:r>
    </w:p>
    <w:p w14:paraId="40A54D9B" w14:textId="77777777" w:rsidR="001F04FF" w:rsidRDefault="001F04FF" w:rsidP="00603432">
      <w:pPr>
        <w:numPr>
          <w:ilvl w:val="0"/>
          <w:numId w:val="36"/>
        </w:numPr>
        <w:spacing w:after="120"/>
        <w:ind w:left="425" w:hanging="425"/>
        <w:jc w:val="both"/>
        <w:rPr>
          <w:sz w:val="22"/>
          <w:szCs w:val="22"/>
        </w:rPr>
      </w:pPr>
      <w:r w:rsidRPr="001F04FF">
        <w:rPr>
          <w:sz w:val="22"/>
          <w:szCs w:val="22"/>
        </w:rPr>
        <w:t xml:space="preserve">Cena Služeb a výše burzovních poplatků jsou uvedeny jako pevné a nejvýše přípustné. Na úhradu nákladů spojených s poskytnutím Služeb nemá Poskytovatel právo. </w:t>
      </w:r>
    </w:p>
    <w:p w14:paraId="0D1D3A32" w14:textId="4DBA895D" w:rsidR="00691AF6" w:rsidRDefault="00691AF6" w:rsidP="00603432">
      <w:pPr>
        <w:numPr>
          <w:ilvl w:val="0"/>
          <w:numId w:val="36"/>
        </w:numPr>
        <w:spacing w:after="120"/>
        <w:ind w:left="425" w:hanging="425"/>
        <w:jc w:val="both"/>
        <w:rPr>
          <w:sz w:val="22"/>
          <w:szCs w:val="22"/>
        </w:rPr>
      </w:pPr>
      <w:r w:rsidRPr="00731FBB">
        <w:rPr>
          <w:sz w:val="22"/>
          <w:szCs w:val="22"/>
        </w:rPr>
        <w:t xml:space="preserve">Poskytovatel nebude oprávněn „doúčtovat“ </w:t>
      </w:r>
      <w:r>
        <w:rPr>
          <w:sz w:val="22"/>
          <w:szCs w:val="22"/>
        </w:rPr>
        <w:t>Zákazníkovi</w:t>
      </w:r>
      <w:r w:rsidRPr="00731FBB">
        <w:rPr>
          <w:sz w:val="22"/>
          <w:szCs w:val="22"/>
        </w:rPr>
        <w:t xml:space="preserve"> jakékoliv dodatečné služby, práce či</w:t>
      </w:r>
      <w:r w:rsidR="004F2BB8">
        <w:rPr>
          <w:sz w:val="22"/>
          <w:szCs w:val="22"/>
        </w:rPr>
        <w:t> </w:t>
      </w:r>
      <w:r w:rsidRPr="00731FBB">
        <w:rPr>
          <w:sz w:val="22"/>
          <w:szCs w:val="22"/>
        </w:rPr>
        <w:t xml:space="preserve">dodávky, které budou nezbytné pro řádné splnění </w:t>
      </w:r>
      <w:r>
        <w:rPr>
          <w:sz w:val="22"/>
          <w:szCs w:val="22"/>
        </w:rPr>
        <w:t>této smlouvy</w:t>
      </w:r>
      <w:r w:rsidRPr="00731FBB">
        <w:rPr>
          <w:sz w:val="22"/>
          <w:szCs w:val="22"/>
        </w:rPr>
        <w:t>, a to např. i z důvodu, že</w:t>
      </w:r>
      <w:r w:rsidR="004F2BB8">
        <w:rPr>
          <w:sz w:val="22"/>
          <w:szCs w:val="22"/>
        </w:rPr>
        <w:t> </w:t>
      </w:r>
      <w:r>
        <w:rPr>
          <w:sz w:val="22"/>
          <w:szCs w:val="22"/>
        </w:rPr>
        <w:t>Poskytovatel</w:t>
      </w:r>
      <w:r w:rsidRPr="00731FBB">
        <w:rPr>
          <w:sz w:val="22"/>
          <w:szCs w:val="22"/>
        </w:rPr>
        <w:t xml:space="preserve"> chybně odhadl nabídkovou cenu anebo poskytnul nekvalitní službu či dodávku, v</w:t>
      </w:r>
      <w:r w:rsidR="004F2BB8">
        <w:rPr>
          <w:sz w:val="22"/>
          <w:szCs w:val="22"/>
        </w:rPr>
        <w:t> </w:t>
      </w:r>
      <w:r w:rsidRPr="00731FBB">
        <w:rPr>
          <w:sz w:val="22"/>
          <w:szCs w:val="22"/>
        </w:rPr>
        <w:t xml:space="preserve">jejichž důsledku bylo nezbytné poskytnout další plnění pro komplexní a řádné splnění dílčího nebo celého předmětu </w:t>
      </w:r>
      <w:r>
        <w:rPr>
          <w:sz w:val="22"/>
          <w:szCs w:val="22"/>
        </w:rPr>
        <w:t>této smlouvy</w:t>
      </w:r>
      <w:r w:rsidRPr="00731FBB">
        <w:rPr>
          <w:sz w:val="22"/>
          <w:szCs w:val="22"/>
        </w:rPr>
        <w:t>.</w:t>
      </w:r>
    </w:p>
    <w:p w14:paraId="03DC2808" w14:textId="02F04139" w:rsidR="00B86954" w:rsidRDefault="00DC6E29" w:rsidP="00603432">
      <w:pPr>
        <w:numPr>
          <w:ilvl w:val="0"/>
          <w:numId w:val="36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B86954" w:rsidRPr="00B86954">
        <w:rPr>
          <w:sz w:val="22"/>
          <w:szCs w:val="22"/>
        </w:rPr>
        <w:t>prohlašuje, že ke dni uzavření této smlouvy není veden v registru nespolehlivých plátců daně z přidané hodnoty a ani mu nejsou známy žádné skutečnosti, na základě kterých</w:t>
      </w:r>
      <w:r w:rsidR="004F2BB8">
        <w:rPr>
          <w:sz w:val="22"/>
          <w:szCs w:val="22"/>
        </w:rPr>
        <w:t> </w:t>
      </w:r>
      <w:r w:rsidR="00B86954" w:rsidRPr="00B86954">
        <w:rPr>
          <w:sz w:val="22"/>
          <w:szCs w:val="22"/>
        </w:rPr>
        <w:t>by</w:t>
      </w:r>
      <w:r w:rsidR="004F2BB8">
        <w:rPr>
          <w:sz w:val="22"/>
          <w:szCs w:val="22"/>
        </w:rPr>
        <w:t> </w:t>
      </w:r>
      <w:r w:rsidR="00B86954" w:rsidRPr="00B86954">
        <w:rPr>
          <w:sz w:val="22"/>
          <w:szCs w:val="22"/>
        </w:rPr>
        <w:t>s</w:t>
      </w:r>
      <w:r w:rsidR="004F2BB8">
        <w:rPr>
          <w:sz w:val="22"/>
          <w:szCs w:val="22"/>
        </w:rPr>
        <w:t> </w:t>
      </w:r>
      <w:r w:rsidR="00B86954" w:rsidRPr="00B86954">
        <w:rPr>
          <w:sz w:val="22"/>
          <w:szCs w:val="22"/>
        </w:rPr>
        <w:t xml:space="preserve">ním mohl správce daně zahájit řízení o prohlášení za nespolehlivého plátce daně podle § 106a zákona č. 235/2004 Sb., o dani z přidané hodnoty. </w:t>
      </w:r>
    </w:p>
    <w:p w14:paraId="0FAD562A" w14:textId="77777777" w:rsidR="0001500E" w:rsidRPr="0001500E" w:rsidRDefault="0001500E" w:rsidP="0018379C">
      <w:pPr>
        <w:keepNext/>
        <w:spacing w:before="360"/>
        <w:jc w:val="center"/>
        <w:outlineLvl w:val="0"/>
        <w:rPr>
          <w:b/>
          <w:sz w:val="22"/>
          <w:szCs w:val="22"/>
        </w:rPr>
      </w:pPr>
      <w:r w:rsidRPr="0001500E">
        <w:rPr>
          <w:b/>
          <w:sz w:val="22"/>
          <w:szCs w:val="22"/>
        </w:rPr>
        <w:t>VII.</w:t>
      </w:r>
    </w:p>
    <w:p w14:paraId="07CF376B" w14:textId="3E1BB151" w:rsidR="0001500E" w:rsidRPr="0001500E" w:rsidRDefault="0001500E" w:rsidP="0001500E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Místo a doba plnění</w:t>
      </w:r>
    </w:p>
    <w:p w14:paraId="6EB65DBB" w14:textId="08F480E3" w:rsidR="0001500E" w:rsidRDefault="001A4389" w:rsidP="0001500E">
      <w:pPr>
        <w:numPr>
          <w:ilvl w:val="0"/>
          <w:numId w:val="2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Místem plnění je sídlo Zákazníka a sídlo PXE</w:t>
      </w:r>
      <w:r w:rsidR="0001500E" w:rsidRPr="003E04C1">
        <w:rPr>
          <w:sz w:val="22"/>
          <w:szCs w:val="22"/>
        </w:rPr>
        <w:t xml:space="preserve">. </w:t>
      </w:r>
    </w:p>
    <w:p w14:paraId="2701371F" w14:textId="143F3963" w:rsidR="001A4389" w:rsidRPr="003E04C1" w:rsidRDefault="001A4389" w:rsidP="0001500E">
      <w:pPr>
        <w:numPr>
          <w:ilvl w:val="0"/>
          <w:numId w:val="22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zahájí poskytování </w:t>
      </w:r>
      <w:r w:rsidR="0076745A">
        <w:rPr>
          <w:sz w:val="22"/>
          <w:szCs w:val="22"/>
        </w:rPr>
        <w:t>S</w:t>
      </w:r>
      <w:r>
        <w:rPr>
          <w:sz w:val="22"/>
          <w:szCs w:val="22"/>
        </w:rPr>
        <w:t>lužeb ihned po uzavření této smlouvy (předpokládá se</w:t>
      </w:r>
      <w:r w:rsidR="002C7506">
        <w:rPr>
          <w:sz w:val="22"/>
          <w:szCs w:val="22"/>
        </w:rPr>
        <w:t> </w:t>
      </w:r>
      <w:r w:rsidR="0091504D">
        <w:rPr>
          <w:sz w:val="22"/>
          <w:szCs w:val="22"/>
        </w:rPr>
        <w:t>31</w:t>
      </w:r>
      <w:r>
        <w:rPr>
          <w:sz w:val="22"/>
          <w:szCs w:val="22"/>
        </w:rPr>
        <w:t xml:space="preserve">. 10. 2016). Poskytovatel bude poskytovat </w:t>
      </w:r>
      <w:r w:rsidR="0076745A">
        <w:rPr>
          <w:sz w:val="22"/>
          <w:szCs w:val="22"/>
        </w:rPr>
        <w:t>S</w:t>
      </w:r>
      <w:r>
        <w:rPr>
          <w:sz w:val="22"/>
          <w:szCs w:val="22"/>
        </w:rPr>
        <w:t xml:space="preserve">lužby tak, </w:t>
      </w:r>
      <w:r w:rsidR="0076745A">
        <w:rPr>
          <w:sz w:val="22"/>
          <w:szCs w:val="22"/>
        </w:rPr>
        <w:t xml:space="preserve">aby smlouva mezi vítězným dodavatelem a Zákazníkem byla uzavřena (tj. aby Aukce proběhla) do 30. 11. 2016. </w:t>
      </w:r>
      <w:r w:rsidR="009250B8">
        <w:rPr>
          <w:sz w:val="22"/>
          <w:szCs w:val="22"/>
        </w:rPr>
        <w:t xml:space="preserve">Splnění tohoto termínu předpokládá </w:t>
      </w:r>
      <w:r w:rsidR="0076745A">
        <w:rPr>
          <w:sz w:val="22"/>
          <w:szCs w:val="22"/>
        </w:rPr>
        <w:t xml:space="preserve">včasné </w:t>
      </w:r>
      <w:r w:rsidR="009250B8">
        <w:rPr>
          <w:sz w:val="22"/>
          <w:szCs w:val="22"/>
        </w:rPr>
        <w:t xml:space="preserve">poskytnutí </w:t>
      </w:r>
      <w:r w:rsidR="0076745A">
        <w:rPr>
          <w:sz w:val="22"/>
          <w:szCs w:val="22"/>
        </w:rPr>
        <w:t xml:space="preserve">dohodnuté </w:t>
      </w:r>
      <w:r w:rsidR="009250B8">
        <w:rPr>
          <w:sz w:val="22"/>
          <w:szCs w:val="22"/>
        </w:rPr>
        <w:t xml:space="preserve">součinnosti </w:t>
      </w:r>
      <w:r w:rsidR="0076745A">
        <w:rPr>
          <w:sz w:val="22"/>
          <w:szCs w:val="22"/>
        </w:rPr>
        <w:t>ze strany Zákazníka.</w:t>
      </w:r>
    </w:p>
    <w:p w14:paraId="2FF86AA3" w14:textId="046A68AA" w:rsidR="00EE4405" w:rsidRPr="003E04C1" w:rsidRDefault="00BB1259" w:rsidP="00C65D16">
      <w:pPr>
        <w:keepNext/>
        <w:spacing w:before="48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lastRenderedPageBreak/>
        <w:t>V</w:t>
      </w:r>
      <w:r w:rsidR="00DC6E29">
        <w:rPr>
          <w:b/>
          <w:sz w:val="22"/>
          <w:szCs w:val="22"/>
        </w:rPr>
        <w:t>I</w:t>
      </w:r>
      <w:r w:rsidR="0001500E">
        <w:rPr>
          <w:b/>
          <w:sz w:val="22"/>
          <w:szCs w:val="22"/>
        </w:rPr>
        <w:t>I</w:t>
      </w:r>
      <w:r w:rsidR="00DC6E29">
        <w:rPr>
          <w:b/>
          <w:sz w:val="22"/>
          <w:szCs w:val="22"/>
        </w:rPr>
        <w:t>I</w:t>
      </w:r>
      <w:r w:rsidR="00D1780D" w:rsidRPr="003E04C1">
        <w:rPr>
          <w:b/>
          <w:sz w:val="22"/>
          <w:szCs w:val="22"/>
        </w:rPr>
        <w:t>.</w:t>
      </w:r>
    </w:p>
    <w:p w14:paraId="681FBDBD" w14:textId="60A53005" w:rsidR="00EE4405" w:rsidRPr="003E04C1" w:rsidRDefault="00685241" w:rsidP="00A950F7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Smluvní pokuta a náhrada škody</w:t>
      </w:r>
    </w:p>
    <w:p w14:paraId="120E1CFC" w14:textId="52696E1D" w:rsidR="000C6106" w:rsidRPr="000C6106" w:rsidRDefault="000C6106" w:rsidP="000C6106">
      <w:pPr>
        <w:numPr>
          <w:ilvl w:val="0"/>
          <w:numId w:val="38"/>
        </w:numPr>
        <w:tabs>
          <w:tab w:val="clear" w:pos="1065"/>
          <w:tab w:val="num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Pr="000C6106">
        <w:rPr>
          <w:sz w:val="22"/>
          <w:szCs w:val="22"/>
        </w:rPr>
        <w:t xml:space="preserve">je povinen </w:t>
      </w:r>
      <w:r>
        <w:rPr>
          <w:sz w:val="22"/>
          <w:szCs w:val="22"/>
        </w:rPr>
        <w:t xml:space="preserve">Zákazníkovi </w:t>
      </w:r>
      <w:r w:rsidRPr="000C6106">
        <w:rPr>
          <w:sz w:val="22"/>
          <w:szCs w:val="22"/>
        </w:rPr>
        <w:t xml:space="preserve">uhradit smluvní pokutu ve výši 0,2% z celkové ceny </w:t>
      </w:r>
      <w:r>
        <w:rPr>
          <w:sz w:val="22"/>
          <w:szCs w:val="22"/>
        </w:rPr>
        <w:t>předmětu plnění</w:t>
      </w:r>
      <w:r w:rsidRPr="000C6106">
        <w:rPr>
          <w:sz w:val="22"/>
          <w:szCs w:val="22"/>
        </w:rPr>
        <w:t xml:space="preserve">, a to za každý i započatý den prodlení, v případě jeho prodlení se smluvně sjednaným  termínovaným plněním. </w:t>
      </w:r>
    </w:p>
    <w:p w14:paraId="427AAA5E" w14:textId="0BCE8EB2" w:rsidR="000C6106" w:rsidRPr="000C6106" w:rsidRDefault="000C6106" w:rsidP="000C6106">
      <w:pPr>
        <w:numPr>
          <w:ilvl w:val="0"/>
          <w:numId w:val="38"/>
        </w:numPr>
        <w:tabs>
          <w:tab w:val="clear" w:pos="1065"/>
        </w:tabs>
        <w:spacing w:after="120"/>
        <w:ind w:left="425" w:hanging="425"/>
        <w:jc w:val="both"/>
        <w:rPr>
          <w:sz w:val="22"/>
          <w:szCs w:val="22"/>
        </w:rPr>
      </w:pPr>
      <w:r w:rsidRPr="000C6106">
        <w:rPr>
          <w:sz w:val="22"/>
          <w:szCs w:val="22"/>
        </w:rPr>
        <w:t xml:space="preserve">V případě </w:t>
      </w:r>
      <w:r>
        <w:rPr>
          <w:sz w:val="22"/>
          <w:szCs w:val="22"/>
        </w:rPr>
        <w:t xml:space="preserve">Zákazníkem </w:t>
      </w:r>
      <w:r w:rsidRPr="000C6106">
        <w:rPr>
          <w:sz w:val="22"/>
          <w:szCs w:val="22"/>
        </w:rPr>
        <w:t xml:space="preserve">uznaných důvodů pro zpoždění termínovaného plnění, které nebudou na straně </w:t>
      </w:r>
      <w:r>
        <w:rPr>
          <w:sz w:val="22"/>
          <w:szCs w:val="22"/>
        </w:rPr>
        <w:t>Zákazníka</w:t>
      </w:r>
      <w:r w:rsidRPr="000C6106">
        <w:rPr>
          <w:sz w:val="22"/>
          <w:szCs w:val="22"/>
        </w:rPr>
        <w:t xml:space="preserve">, může </w:t>
      </w:r>
      <w:r>
        <w:rPr>
          <w:sz w:val="22"/>
          <w:szCs w:val="22"/>
        </w:rPr>
        <w:t xml:space="preserve">Zákazník </w:t>
      </w:r>
      <w:r w:rsidRPr="000C6106">
        <w:rPr>
          <w:sz w:val="22"/>
          <w:szCs w:val="22"/>
        </w:rPr>
        <w:t xml:space="preserve">od </w:t>
      </w:r>
      <w:r>
        <w:rPr>
          <w:sz w:val="22"/>
          <w:szCs w:val="22"/>
        </w:rPr>
        <w:t>vymáhání smluvní pokuty upustit.</w:t>
      </w:r>
    </w:p>
    <w:p w14:paraId="6DBA93C4" w14:textId="634055A9" w:rsidR="00A45390" w:rsidRDefault="000C6106" w:rsidP="000C6106">
      <w:pPr>
        <w:numPr>
          <w:ilvl w:val="0"/>
          <w:numId w:val="38"/>
        </w:numPr>
        <w:spacing w:after="120"/>
        <w:ind w:left="425" w:hanging="425"/>
        <w:jc w:val="both"/>
        <w:rPr>
          <w:sz w:val="22"/>
          <w:szCs w:val="22"/>
        </w:rPr>
      </w:pPr>
      <w:r w:rsidRPr="000C6106">
        <w:rPr>
          <w:sz w:val="22"/>
          <w:szCs w:val="22"/>
        </w:rPr>
        <w:t xml:space="preserve">Smluvní pokutu, stejně jako případnou škodu vzniklou </w:t>
      </w:r>
      <w:r>
        <w:rPr>
          <w:sz w:val="22"/>
          <w:szCs w:val="22"/>
        </w:rPr>
        <w:t xml:space="preserve">Zákazníkovi </w:t>
      </w:r>
      <w:r w:rsidRPr="000C6106">
        <w:rPr>
          <w:sz w:val="22"/>
          <w:szCs w:val="22"/>
        </w:rPr>
        <w:t xml:space="preserve">vlivem činnosti </w:t>
      </w:r>
      <w:r>
        <w:rPr>
          <w:sz w:val="22"/>
          <w:szCs w:val="22"/>
        </w:rPr>
        <w:t>Poskytovatele</w:t>
      </w:r>
      <w:r w:rsidRPr="000C6106">
        <w:rPr>
          <w:sz w:val="22"/>
          <w:szCs w:val="22"/>
        </w:rPr>
        <w:t xml:space="preserve">, se </w:t>
      </w:r>
      <w:r>
        <w:rPr>
          <w:sz w:val="22"/>
          <w:szCs w:val="22"/>
        </w:rPr>
        <w:t xml:space="preserve">Poskytovatel </w:t>
      </w:r>
      <w:r w:rsidRPr="000C6106">
        <w:rPr>
          <w:sz w:val="22"/>
          <w:szCs w:val="22"/>
        </w:rPr>
        <w:t xml:space="preserve">zavazuje zaplatit </w:t>
      </w:r>
      <w:r>
        <w:rPr>
          <w:sz w:val="22"/>
          <w:szCs w:val="22"/>
        </w:rPr>
        <w:t xml:space="preserve">Zákazníkovi </w:t>
      </w:r>
      <w:r w:rsidRPr="000C6106">
        <w:rPr>
          <w:sz w:val="22"/>
          <w:szCs w:val="22"/>
        </w:rPr>
        <w:t xml:space="preserve">nejpozději do 30 dnů ode dne, kdy bude </w:t>
      </w:r>
      <w:r>
        <w:rPr>
          <w:sz w:val="22"/>
          <w:szCs w:val="22"/>
        </w:rPr>
        <w:t xml:space="preserve">Poskytovatelem </w:t>
      </w:r>
      <w:r w:rsidRPr="000C6106">
        <w:rPr>
          <w:sz w:val="22"/>
          <w:szCs w:val="22"/>
        </w:rPr>
        <w:t>o nároku na úhradu smluvní pokuty a její výši, resp. vzniklé škody a její výši, prokazatelně informován.</w:t>
      </w:r>
      <w:r>
        <w:rPr>
          <w:sz w:val="22"/>
          <w:szCs w:val="22"/>
        </w:rPr>
        <w:t xml:space="preserve"> </w:t>
      </w:r>
    </w:p>
    <w:p w14:paraId="7CE41633" w14:textId="38CDDB3C" w:rsidR="00685241" w:rsidRPr="00685241" w:rsidRDefault="00685241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 w:rsidRPr="00685241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X</w:t>
      </w:r>
      <w:r w:rsidRPr="00685241">
        <w:rPr>
          <w:b/>
          <w:sz w:val="22"/>
          <w:szCs w:val="22"/>
        </w:rPr>
        <w:t>.</w:t>
      </w:r>
    </w:p>
    <w:p w14:paraId="6160DCF1" w14:textId="0049D659" w:rsidR="00685241" w:rsidRPr="00685241" w:rsidRDefault="00685241" w:rsidP="00685241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Ostatní p</w:t>
      </w:r>
      <w:r w:rsidRPr="003E04C1">
        <w:rPr>
          <w:b/>
          <w:sz w:val="22"/>
          <w:szCs w:val="22"/>
        </w:rPr>
        <w:t>ráva a povinnosti smluvních stran</w:t>
      </w:r>
    </w:p>
    <w:p w14:paraId="326D90A2" w14:textId="2FE73D2C" w:rsidR="00731FBB" w:rsidRPr="00731FBB" w:rsidRDefault="00952361" w:rsidP="00731FBB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685241" w:rsidRPr="00D1381F">
        <w:rPr>
          <w:sz w:val="22"/>
          <w:szCs w:val="22"/>
        </w:rPr>
        <w:t xml:space="preserve"> se zavazuje poskytovat </w:t>
      </w:r>
      <w:r>
        <w:rPr>
          <w:sz w:val="22"/>
          <w:szCs w:val="22"/>
        </w:rPr>
        <w:t xml:space="preserve">Služby </w:t>
      </w:r>
      <w:r w:rsidR="00685241" w:rsidRPr="00D1381F">
        <w:rPr>
          <w:sz w:val="22"/>
          <w:szCs w:val="22"/>
        </w:rPr>
        <w:t xml:space="preserve">svědomitě, s řádnou a odbornou péčí a potřebnými odbornými schopnostmi. Při poskytování </w:t>
      </w:r>
      <w:r>
        <w:rPr>
          <w:sz w:val="22"/>
          <w:szCs w:val="22"/>
        </w:rPr>
        <w:t>S</w:t>
      </w:r>
      <w:r w:rsidR="00685241" w:rsidRPr="00D1381F">
        <w:rPr>
          <w:sz w:val="22"/>
          <w:szCs w:val="22"/>
        </w:rPr>
        <w:t xml:space="preserve">lužeb je uchazeč vázán zákony, obecně závaznými právními předpisy a pokyny </w:t>
      </w:r>
      <w:r>
        <w:rPr>
          <w:sz w:val="22"/>
          <w:szCs w:val="22"/>
        </w:rPr>
        <w:t>Zákazníka</w:t>
      </w:r>
      <w:r w:rsidR="00685241" w:rsidRPr="00D1381F">
        <w:rPr>
          <w:sz w:val="22"/>
          <w:szCs w:val="22"/>
        </w:rPr>
        <w:t>, pokud tyto nejsou v rozporu s těmito normami nebo</w:t>
      </w:r>
      <w:r w:rsidR="001E2CB1">
        <w:rPr>
          <w:sz w:val="22"/>
          <w:szCs w:val="22"/>
        </w:rPr>
        <w:t> </w:t>
      </w:r>
      <w:r w:rsidR="00685241" w:rsidRPr="00D1381F">
        <w:rPr>
          <w:sz w:val="22"/>
          <w:szCs w:val="22"/>
        </w:rPr>
        <w:t xml:space="preserve">zájmy </w:t>
      </w:r>
      <w:r>
        <w:rPr>
          <w:sz w:val="22"/>
          <w:szCs w:val="22"/>
        </w:rPr>
        <w:t>Zákazníka</w:t>
      </w:r>
      <w:r w:rsidR="00685241" w:rsidRPr="00D1381F">
        <w:rPr>
          <w:sz w:val="22"/>
          <w:szCs w:val="22"/>
        </w:rPr>
        <w:t>.</w:t>
      </w:r>
      <w:r w:rsidR="00731FBB" w:rsidRPr="00731FBB">
        <w:rPr>
          <w:sz w:val="22"/>
          <w:szCs w:val="22"/>
        </w:rPr>
        <w:t xml:space="preserve"> </w:t>
      </w:r>
      <w:r w:rsidR="00731FBB">
        <w:rPr>
          <w:sz w:val="22"/>
          <w:szCs w:val="22"/>
        </w:rPr>
        <w:t>S</w:t>
      </w:r>
      <w:r w:rsidR="00731FBB" w:rsidRPr="00731FBB">
        <w:rPr>
          <w:sz w:val="22"/>
          <w:szCs w:val="22"/>
        </w:rPr>
        <w:t xml:space="preserve">lužby </w:t>
      </w:r>
      <w:r w:rsidR="00731FBB">
        <w:rPr>
          <w:sz w:val="22"/>
          <w:szCs w:val="22"/>
        </w:rPr>
        <w:t xml:space="preserve">budou </w:t>
      </w:r>
      <w:r w:rsidR="00731FBB" w:rsidRPr="00731FBB">
        <w:rPr>
          <w:sz w:val="22"/>
          <w:szCs w:val="22"/>
        </w:rPr>
        <w:t xml:space="preserve">poskytnuty </w:t>
      </w:r>
      <w:r w:rsidR="00731FBB">
        <w:rPr>
          <w:sz w:val="22"/>
          <w:szCs w:val="22"/>
        </w:rPr>
        <w:t xml:space="preserve">Zákazníkovi </w:t>
      </w:r>
      <w:r w:rsidR="00731FBB" w:rsidRPr="00731FBB">
        <w:rPr>
          <w:sz w:val="22"/>
          <w:szCs w:val="22"/>
        </w:rPr>
        <w:t>v požadovaném rozsahu bez</w:t>
      </w:r>
      <w:r w:rsidR="001E2CB1">
        <w:rPr>
          <w:sz w:val="22"/>
          <w:szCs w:val="22"/>
        </w:rPr>
        <w:t> </w:t>
      </w:r>
      <w:r w:rsidR="00731FBB" w:rsidRPr="00731FBB">
        <w:rPr>
          <w:sz w:val="22"/>
          <w:szCs w:val="22"/>
        </w:rPr>
        <w:t>jakéhokoliv omezení</w:t>
      </w:r>
      <w:r w:rsidR="00731FBB">
        <w:rPr>
          <w:sz w:val="22"/>
          <w:szCs w:val="22"/>
        </w:rPr>
        <w:t>.</w:t>
      </w:r>
    </w:p>
    <w:p w14:paraId="6647D8E6" w14:textId="388B0F7A" w:rsidR="00685241" w:rsidRPr="00D1381F" w:rsidRDefault="00952361" w:rsidP="00D1381F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685241" w:rsidRPr="00D1381F">
        <w:rPr>
          <w:sz w:val="22"/>
          <w:szCs w:val="22"/>
        </w:rPr>
        <w:t xml:space="preserve">i </w:t>
      </w:r>
      <w:r>
        <w:rPr>
          <w:sz w:val="22"/>
          <w:szCs w:val="22"/>
        </w:rPr>
        <w:t xml:space="preserve">Zákazník </w:t>
      </w:r>
      <w:r w:rsidR="00685241" w:rsidRPr="00D1381F">
        <w:rPr>
          <w:sz w:val="22"/>
          <w:szCs w:val="22"/>
        </w:rPr>
        <w:t xml:space="preserve">jsou povinni se vzájemně informovat o všech okolnostech důležitých pro řádné a včasné </w:t>
      </w:r>
      <w:r>
        <w:rPr>
          <w:sz w:val="22"/>
          <w:szCs w:val="22"/>
        </w:rPr>
        <w:t xml:space="preserve">poskytnutí Služeb </w:t>
      </w:r>
      <w:r w:rsidR="00685241" w:rsidRPr="00D1381F">
        <w:rPr>
          <w:sz w:val="22"/>
          <w:szCs w:val="22"/>
        </w:rPr>
        <w:t xml:space="preserve">a poskytovat si součinnost nezbytnou pro řádné a včasné </w:t>
      </w:r>
      <w:r>
        <w:rPr>
          <w:sz w:val="22"/>
          <w:szCs w:val="22"/>
        </w:rPr>
        <w:t>poskytnutí Služeb</w:t>
      </w:r>
      <w:r w:rsidR="00685241" w:rsidRPr="00D1381F">
        <w:rPr>
          <w:sz w:val="22"/>
          <w:szCs w:val="22"/>
        </w:rPr>
        <w:t>.</w:t>
      </w:r>
    </w:p>
    <w:p w14:paraId="6D58E6EA" w14:textId="0B8923A9" w:rsidR="00685241" w:rsidRPr="00D1381F" w:rsidRDefault="00685241" w:rsidP="00D1381F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 w:rsidRPr="00D1381F">
        <w:rPr>
          <w:sz w:val="22"/>
          <w:szCs w:val="22"/>
        </w:rPr>
        <w:t xml:space="preserve">Výstupy z poskytnutého plnění, které vzniknou v průběhu a v souvislosti s poskytnutím </w:t>
      </w:r>
      <w:r w:rsidR="00952361">
        <w:rPr>
          <w:sz w:val="22"/>
          <w:szCs w:val="22"/>
        </w:rPr>
        <w:t>S</w:t>
      </w:r>
      <w:r w:rsidRPr="00D1381F">
        <w:rPr>
          <w:sz w:val="22"/>
          <w:szCs w:val="22"/>
        </w:rPr>
        <w:t xml:space="preserve">lužeb, se stávají okamžikem jejich předání </w:t>
      </w:r>
      <w:r w:rsidR="00952361">
        <w:rPr>
          <w:sz w:val="22"/>
          <w:szCs w:val="22"/>
        </w:rPr>
        <w:t xml:space="preserve">Zákazníkovi </w:t>
      </w:r>
      <w:r w:rsidRPr="00D1381F">
        <w:rPr>
          <w:sz w:val="22"/>
          <w:szCs w:val="22"/>
        </w:rPr>
        <w:t xml:space="preserve">jeho výlučným vlastnictvím. </w:t>
      </w:r>
      <w:r w:rsidR="00952361">
        <w:rPr>
          <w:sz w:val="22"/>
          <w:szCs w:val="22"/>
        </w:rPr>
        <w:t xml:space="preserve">Poskytovatel </w:t>
      </w:r>
      <w:r w:rsidRPr="00D1381F">
        <w:rPr>
          <w:sz w:val="22"/>
          <w:szCs w:val="22"/>
        </w:rPr>
        <w:t xml:space="preserve">nesmí poskytnout žádný z těchto výstupů třetí straně bez předchozího písemného souhlasu </w:t>
      </w:r>
      <w:r w:rsidR="00952361">
        <w:rPr>
          <w:sz w:val="22"/>
          <w:szCs w:val="22"/>
        </w:rPr>
        <w:t>Zákazníka</w:t>
      </w:r>
      <w:r w:rsidRPr="00D1381F">
        <w:rPr>
          <w:sz w:val="22"/>
          <w:szCs w:val="22"/>
        </w:rPr>
        <w:t>.</w:t>
      </w:r>
    </w:p>
    <w:p w14:paraId="069F866A" w14:textId="34375F79" w:rsidR="00685241" w:rsidRPr="00D1381F" w:rsidRDefault="00952361" w:rsidP="00D1381F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bude </w:t>
      </w:r>
      <w:r w:rsidR="00685241" w:rsidRPr="00D1381F">
        <w:rPr>
          <w:sz w:val="22"/>
          <w:szCs w:val="22"/>
        </w:rPr>
        <w:t xml:space="preserve">pro </w:t>
      </w:r>
      <w:r>
        <w:rPr>
          <w:sz w:val="22"/>
          <w:szCs w:val="22"/>
        </w:rPr>
        <w:t xml:space="preserve">Zákazníka </w:t>
      </w:r>
      <w:r w:rsidR="00685241" w:rsidRPr="00D1381F">
        <w:rPr>
          <w:sz w:val="22"/>
          <w:szCs w:val="22"/>
        </w:rPr>
        <w:t>vykonávat činnosti vedoucí k uzavření burzovního obchodu a</w:t>
      </w:r>
      <w:r w:rsidR="001E2CB1">
        <w:rPr>
          <w:sz w:val="22"/>
          <w:szCs w:val="22"/>
        </w:rPr>
        <w:t> </w:t>
      </w:r>
      <w:r w:rsidR="00685241" w:rsidRPr="00D1381F">
        <w:rPr>
          <w:sz w:val="22"/>
          <w:szCs w:val="22"/>
        </w:rPr>
        <w:t xml:space="preserve">dále pro </w:t>
      </w:r>
      <w:r>
        <w:rPr>
          <w:sz w:val="22"/>
          <w:szCs w:val="22"/>
        </w:rPr>
        <w:t xml:space="preserve">Zákazníka vypracuje </w:t>
      </w:r>
      <w:r w:rsidR="00685241" w:rsidRPr="00D1381F">
        <w:rPr>
          <w:sz w:val="22"/>
          <w:szCs w:val="22"/>
        </w:rPr>
        <w:t xml:space="preserve">všechny podklady a </w:t>
      </w:r>
      <w:r>
        <w:rPr>
          <w:sz w:val="22"/>
          <w:szCs w:val="22"/>
        </w:rPr>
        <w:t xml:space="preserve">poskytne </w:t>
      </w:r>
      <w:r w:rsidR="00685241" w:rsidRPr="00D1381F">
        <w:rPr>
          <w:sz w:val="22"/>
          <w:szCs w:val="22"/>
        </w:rPr>
        <w:t>mu veškerou nezbytnou součinnost pro naplnění zákonných požadavků nákupu komodity na komoditní burze.</w:t>
      </w:r>
    </w:p>
    <w:p w14:paraId="23F28277" w14:textId="6187A42F" w:rsidR="00685241" w:rsidRPr="00952361" w:rsidRDefault="00252489" w:rsidP="00952361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685241" w:rsidRPr="00952361">
        <w:rPr>
          <w:sz w:val="22"/>
          <w:szCs w:val="22"/>
        </w:rPr>
        <w:t xml:space="preserve"> souhlasí se zveřejněním </w:t>
      </w:r>
      <w:r w:rsidR="00952361" w:rsidRPr="00952361">
        <w:rPr>
          <w:sz w:val="22"/>
          <w:szCs w:val="22"/>
        </w:rPr>
        <w:t xml:space="preserve">této </w:t>
      </w:r>
      <w:r w:rsidR="00685241" w:rsidRPr="00952361">
        <w:rPr>
          <w:sz w:val="22"/>
          <w:szCs w:val="22"/>
        </w:rPr>
        <w:t>smlouvy, po jejím podpisu oběma stranami, a to jak</w:t>
      </w:r>
      <w:r w:rsidR="001E2CB1">
        <w:rPr>
          <w:sz w:val="22"/>
          <w:szCs w:val="22"/>
        </w:rPr>
        <w:t> </w:t>
      </w:r>
      <w:r w:rsidR="00685241" w:rsidRPr="00952361">
        <w:rPr>
          <w:sz w:val="22"/>
          <w:szCs w:val="22"/>
        </w:rPr>
        <w:t>na</w:t>
      </w:r>
      <w:r w:rsidR="001E2CB1">
        <w:rPr>
          <w:sz w:val="22"/>
          <w:szCs w:val="22"/>
        </w:rPr>
        <w:t> </w:t>
      </w:r>
      <w:r w:rsidR="00685241" w:rsidRPr="00952361">
        <w:rPr>
          <w:sz w:val="22"/>
          <w:szCs w:val="22"/>
        </w:rPr>
        <w:t>profilu zadavatele, v elektronickém tržišti a v registru smluv.</w:t>
      </w:r>
      <w:r w:rsidR="00952361" w:rsidRPr="00952361">
        <w:rPr>
          <w:sz w:val="22"/>
          <w:szCs w:val="22"/>
        </w:rPr>
        <w:t xml:space="preserve"> Totéž platí pro Účastnickou smlouvu.</w:t>
      </w:r>
    </w:p>
    <w:p w14:paraId="40AED566" w14:textId="35DCDBA4" w:rsidR="00685241" w:rsidRDefault="00DA4FF6" w:rsidP="00DA4FF6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685241" w:rsidRPr="00DA4F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685241" w:rsidRPr="00DA4FF6">
        <w:rPr>
          <w:sz w:val="22"/>
          <w:szCs w:val="22"/>
        </w:rPr>
        <w:t>podle ustanovení § 2 písm. e) zákona č. 320/2001 Sb., o finanční kontrole ve veřejné správě a o změně některých zákonů (zákon o finanční kontrole), ve znění pozdějších předpisů, osobou povinnou spolupůsobit při výkonu finanční kontroly prováděné v</w:t>
      </w:r>
      <w:r>
        <w:rPr>
          <w:sz w:val="22"/>
          <w:szCs w:val="22"/>
        </w:rPr>
        <w:t> </w:t>
      </w:r>
      <w:r w:rsidR="00685241" w:rsidRPr="00DA4FF6">
        <w:rPr>
          <w:sz w:val="22"/>
          <w:szCs w:val="22"/>
        </w:rPr>
        <w:t>souvislosti s</w:t>
      </w:r>
      <w:r>
        <w:rPr>
          <w:sz w:val="22"/>
          <w:szCs w:val="22"/>
        </w:rPr>
        <w:t> </w:t>
      </w:r>
      <w:r w:rsidR="00685241" w:rsidRPr="00DA4FF6">
        <w:rPr>
          <w:sz w:val="22"/>
          <w:szCs w:val="22"/>
        </w:rPr>
        <w:t>úhradou zboží nebo služeb z veřejných výdajů</w:t>
      </w:r>
      <w:r>
        <w:rPr>
          <w:sz w:val="22"/>
          <w:szCs w:val="22"/>
        </w:rPr>
        <w:t xml:space="preserve"> a zavazuje se tedy k takovému spolupůsobení</w:t>
      </w:r>
      <w:r w:rsidR="00685241" w:rsidRPr="00DA4FF6">
        <w:rPr>
          <w:sz w:val="22"/>
          <w:szCs w:val="22"/>
        </w:rPr>
        <w:t>.</w:t>
      </w:r>
    </w:p>
    <w:p w14:paraId="0723F454" w14:textId="2A40DB47" w:rsidR="003C195A" w:rsidRPr="003C195A" w:rsidRDefault="005F7CE5" w:rsidP="003C195A">
      <w:pPr>
        <w:numPr>
          <w:ilvl w:val="0"/>
          <w:numId w:val="41"/>
        </w:numPr>
        <w:spacing w:after="120"/>
        <w:ind w:left="425" w:hanging="425"/>
        <w:jc w:val="both"/>
        <w:rPr>
          <w:sz w:val="22"/>
          <w:szCs w:val="22"/>
        </w:rPr>
      </w:pPr>
      <w:r w:rsidRPr="003C195A">
        <w:rPr>
          <w:sz w:val="22"/>
          <w:szCs w:val="22"/>
        </w:rPr>
        <w:t xml:space="preserve">Nevyplývá-li z této smlouvy nebo právních předpisů jinak, </w:t>
      </w:r>
      <w:r>
        <w:rPr>
          <w:sz w:val="22"/>
          <w:szCs w:val="22"/>
        </w:rPr>
        <w:t xml:space="preserve">bude </w:t>
      </w:r>
      <w:r w:rsidRPr="003C195A">
        <w:rPr>
          <w:sz w:val="22"/>
          <w:szCs w:val="22"/>
        </w:rPr>
        <w:t xml:space="preserve">práva Poskytovatele </w:t>
      </w:r>
      <w:r>
        <w:rPr>
          <w:sz w:val="22"/>
          <w:szCs w:val="22"/>
        </w:rPr>
        <w:t xml:space="preserve">dle této smlouvy fakticky </w:t>
      </w:r>
      <w:r w:rsidRPr="003C195A">
        <w:rPr>
          <w:sz w:val="22"/>
          <w:szCs w:val="22"/>
        </w:rPr>
        <w:t>vykonáv</w:t>
      </w:r>
      <w:r>
        <w:rPr>
          <w:sz w:val="22"/>
          <w:szCs w:val="22"/>
        </w:rPr>
        <w:t>at</w:t>
      </w:r>
      <w:r w:rsidRPr="003C195A">
        <w:rPr>
          <w:sz w:val="22"/>
          <w:szCs w:val="22"/>
        </w:rPr>
        <w:t xml:space="preserve"> a povinnosti Poskytovatele</w:t>
      </w:r>
      <w:r>
        <w:rPr>
          <w:sz w:val="22"/>
          <w:szCs w:val="22"/>
        </w:rPr>
        <w:t xml:space="preserve"> dle této smlouvy fakticky </w:t>
      </w:r>
      <w:r w:rsidRPr="003C195A">
        <w:rPr>
          <w:sz w:val="22"/>
          <w:szCs w:val="22"/>
        </w:rPr>
        <w:t>pln</w:t>
      </w:r>
      <w:r>
        <w:rPr>
          <w:sz w:val="22"/>
          <w:szCs w:val="22"/>
        </w:rPr>
        <w:t>it</w:t>
      </w:r>
      <w:r w:rsidRPr="003C195A">
        <w:rPr>
          <w:sz w:val="22"/>
          <w:szCs w:val="22"/>
        </w:rPr>
        <w:t xml:space="preserve"> dle volby Poskytovatele buď PXE nebo Burzovní dohodce.</w:t>
      </w:r>
      <w:r>
        <w:rPr>
          <w:sz w:val="22"/>
          <w:szCs w:val="22"/>
        </w:rPr>
        <w:t xml:space="preserve"> S výjimkou zprostředkování burzovních obchodů, které je ze zákona výlučnou úlohou Burzovního dohodce, odpovídají za splnění závazků z této smlouvy PXE a Burzovní dohodce společně a nerozdílně.</w:t>
      </w:r>
    </w:p>
    <w:p w14:paraId="29C3A6DD" w14:textId="2350B527" w:rsidR="00DB6902" w:rsidRPr="00DB6902" w:rsidRDefault="000F5C08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 w:rsidR="00DB6902" w:rsidRPr="00DB6902">
        <w:rPr>
          <w:b/>
          <w:sz w:val="22"/>
          <w:szCs w:val="22"/>
        </w:rPr>
        <w:t>.</w:t>
      </w:r>
    </w:p>
    <w:p w14:paraId="51E52C0C" w14:textId="77777777" w:rsidR="00DB6902" w:rsidRPr="00DB6902" w:rsidRDefault="00DB6902" w:rsidP="00DB6902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Kontaktní osoby</w:t>
      </w:r>
    </w:p>
    <w:p w14:paraId="5FD7B84D" w14:textId="77777777" w:rsidR="00EE4405" w:rsidRPr="006F2AFB" w:rsidRDefault="00D1780D" w:rsidP="001E2CB1">
      <w:pPr>
        <w:spacing w:after="120"/>
        <w:ind w:left="426"/>
        <w:jc w:val="both"/>
        <w:rPr>
          <w:sz w:val="22"/>
          <w:szCs w:val="22"/>
        </w:rPr>
      </w:pPr>
      <w:r w:rsidRPr="006F2AFB">
        <w:rPr>
          <w:sz w:val="22"/>
          <w:szCs w:val="22"/>
        </w:rPr>
        <w:t xml:space="preserve">Kontaktními osobami, především pro účely </w:t>
      </w:r>
      <w:r w:rsidR="006F2AFB">
        <w:rPr>
          <w:sz w:val="22"/>
          <w:szCs w:val="22"/>
        </w:rPr>
        <w:t xml:space="preserve">vzájemného poskytování </w:t>
      </w:r>
      <w:r w:rsidRPr="006F2AFB">
        <w:rPr>
          <w:sz w:val="22"/>
          <w:szCs w:val="22"/>
        </w:rPr>
        <w:t>inform</w:t>
      </w:r>
      <w:r w:rsidR="005F57A2">
        <w:rPr>
          <w:sz w:val="22"/>
          <w:szCs w:val="22"/>
        </w:rPr>
        <w:t>ací podle této smlouvy</w:t>
      </w:r>
      <w:r w:rsidRPr="006F2AFB">
        <w:rPr>
          <w:sz w:val="22"/>
          <w:szCs w:val="22"/>
        </w:rPr>
        <w:t>, jsou:</w:t>
      </w:r>
    </w:p>
    <w:p w14:paraId="71C64A0C" w14:textId="4A0BF21F" w:rsidR="00EE4405" w:rsidRPr="00541F8B" w:rsidRDefault="00D1780D" w:rsidP="005F57A2">
      <w:pPr>
        <w:ind w:left="426"/>
        <w:jc w:val="both"/>
        <w:rPr>
          <w:sz w:val="22"/>
          <w:szCs w:val="22"/>
        </w:rPr>
      </w:pPr>
      <w:r w:rsidRPr="003E04C1">
        <w:rPr>
          <w:sz w:val="22"/>
          <w:szCs w:val="22"/>
        </w:rPr>
        <w:t xml:space="preserve">Za </w:t>
      </w:r>
      <w:r w:rsidR="000F5C08">
        <w:rPr>
          <w:sz w:val="22"/>
          <w:szCs w:val="22"/>
        </w:rPr>
        <w:t>Poskytovatele</w:t>
      </w:r>
      <w:r w:rsidRPr="003E04C1">
        <w:rPr>
          <w:sz w:val="22"/>
          <w:szCs w:val="22"/>
        </w:rPr>
        <w:t xml:space="preserve">: </w:t>
      </w:r>
      <w:r w:rsidRPr="003E04C1">
        <w:rPr>
          <w:sz w:val="22"/>
          <w:szCs w:val="22"/>
        </w:rPr>
        <w:tab/>
      </w:r>
      <w:r w:rsidRPr="003E04C1">
        <w:rPr>
          <w:sz w:val="22"/>
          <w:szCs w:val="22"/>
        </w:rPr>
        <w:tab/>
      </w:r>
      <w:r w:rsidRPr="003E04C1">
        <w:rPr>
          <w:sz w:val="22"/>
          <w:szCs w:val="22"/>
        </w:rPr>
        <w:tab/>
      </w:r>
      <w:r w:rsidR="00541F8B" w:rsidRPr="00541F8B">
        <w:rPr>
          <w:sz w:val="22"/>
          <w:szCs w:val="22"/>
        </w:rPr>
        <w:t>Jaroslav Severin</w:t>
      </w:r>
    </w:p>
    <w:p w14:paraId="5F1393A9" w14:textId="2D10E4D1" w:rsidR="00EE4405" w:rsidRPr="00541F8B" w:rsidRDefault="001E2CB1">
      <w:pPr>
        <w:ind w:left="2832" w:firstLine="708"/>
        <w:jc w:val="both"/>
        <w:rPr>
          <w:sz w:val="22"/>
          <w:szCs w:val="22"/>
        </w:rPr>
      </w:pPr>
      <w:r>
        <w:rPr>
          <w:sz w:val="22"/>
          <w:szCs w:val="22"/>
        </w:rPr>
        <w:t>tel.</w:t>
      </w:r>
      <w:r w:rsidR="00D1780D" w:rsidRPr="00541F8B">
        <w:rPr>
          <w:sz w:val="22"/>
          <w:szCs w:val="22"/>
        </w:rPr>
        <w:t xml:space="preserve">: </w:t>
      </w:r>
      <w:r w:rsidR="00541F8B" w:rsidRPr="00541F8B">
        <w:rPr>
          <w:sz w:val="22"/>
          <w:szCs w:val="22"/>
        </w:rPr>
        <w:t>+420 724 766 624</w:t>
      </w:r>
    </w:p>
    <w:p w14:paraId="6CDA6D30" w14:textId="5A7C3897" w:rsidR="00EE4405" w:rsidRPr="003E04C1" w:rsidRDefault="001E2CB1" w:rsidP="00541F8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email</w:t>
      </w:r>
      <w:r w:rsidR="00D1780D" w:rsidRPr="00541F8B">
        <w:rPr>
          <w:sz w:val="22"/>
          <w:szCs w:val="22"/>
        </w:rPr>
        <w:t xml:space="preserve">: </w:t>
      </w:r>
      <w:hyperlink r:id="rId12" w:history="1">
        <w:r w:rsidR="002C7506" w:rsidRPr="00251DCD">
          <w:rPr>
            <w:rStyle w:val="Hypertextovodkaz"/>
            <w:sz w:val="22"/>
            <w:szCs w:val="22"/>
          </w:rPr>
          <w:t>severin@pxe.cz</w:t>
        </w:r>
      </w:hyperlink>
      <w:r w:rsidR="002C7506">
        <w:rPr>
          <w:sz w:val="22"/>
          <w:szCs w:val="22"/>
        </w:rPr>
        <w:t xml:space="preserve"> </w:t>
      </w:r>
      <w:r w:rsidR="00D1780D" w:rsidRPr="003E04C1">
        <w:rPr>
          <w:sz w:val="22"/>
          <w:szCs w:val="22"/>
        </w:rPr>
        <w:tab/>
      </w:r>
      <w:r w:rsidR="00D1780D" w:rsidRPr="003E04C1">
        <w:rPr>
          <w:sz w:val="22"/>
          <w:szCs w:val="22"/>
        </w:rPr>
        <w:tab/>
      </w:r>
      <w:r w:rsidR="00D1780D" w:rsidRPr="003E04C1">
        <w:rPr>
          <w:sz w:val="22"/>
          <w:szCs w:val="22"/>
        </w:rPr>
        <w:tab/>
      </w:r>
      <w:r w:rsidR="00D1780D" w:rsidRPr="003E04C1">
        <w:rPr>
          <w:sz w:val="22"/>
          <w:szCs w:val="22"/>
        </w:rPr>
        <w:tab/>
        <w:t xml:space="preserve"> </w:t>
      </w:r>
    </w:p>
    <w:p w14:paraId="129BAB9F" w14:textId="77777777" w:rsidR="00EE4405" w:rsidRPr="003E04C1" w:rsidRDefault="00EE4405">
      <w:pPr>
        <w:ind w:left="2832" w:firstLine="708"/>
        <w:jc w:val="both"/>
        <w:rPr>
          <w:sz w:val="22"/>
          <w:szCs w:val="22"/>
        </w:rPr>
      </w:pPr>
    </w:p>
    <w:p w14:paraId="7913BCDD" w14:textId="39AFB1F6" w:rsidR="00EE4405" w:rsidRPr="003E04C1" w:rsidRDefault="00D1780D" w:rsidP="005F57A2">
      <w:pPr>
        <w:ind w:left="426"/>
        <w:jc w:val="both"/>
        <w:rPr>
          <w:sz w:val="22"/>
          <w:szCs w:val="22"/>
        </w:rPr>
      </w:pPr>
      <w:r w:rsidRPr="003E04C1">
        <w:rPr>
          <w:sz w:val="22"/>
          <w:szCs w:val="22"/>
        </w:rPr>
        <w:lastRenderedPageBreak/>
        <w:t xml:space="preserve">Za </w:t>
      </w:r>
      <w:r w:rsidR="000F5C08">
        <w:rPr>
          <w:sz w:val="22"/>
          <w:szCs w:val="22"/>
        </w:rPr>
        <w:t>Zákazníka</w:t>
      </w:r>
      <w:r w:rsidR="001E2CB1">
        <w:rPr>
          <w:sz w:val="22"/>
          <w:szCs w:val="22"/>
        </w:rPr>
        <w:t>:</w:t>
      </w:r>
      <w:r w:rsidR="001E2CB1">
        <w:rPr>
          <w:sz w:val="22"/>
          <w:szCs w:val="22"/>
        </w:rPr>
        <w:tab/>
      </w:r>
      <w:r w:rsidR="001E2CB1">
        <w:rPr>
          <w:sz w:val="22"/>
          <w:szCs w:val="22"/>
        </w:rPr>
        <w:tab/>
      </w:r>
      <w:r w:rsidR="001E2CB1">
        <w:rPr>
          <w:sz w:val="22"/>
          <w:szCs w:val="22"/>
        </w:rPr>
        <w:tab/>
        <w:t>RNDr. Zbyněk Sedlák</w:t>
      </w:r>
    </w:p>
    <w:p w14:paraId="379106C0" w14:textId="6F77BC13" w:rsidR="003D05BB" w:rsidRPr="003E04C1" w:rsidRDefault="003D05BB" w:rsidP="001E2CB1">
      <w:pPr>
        <w:ind w:left="2832" w:firstLine="708"/>
        <w:jc w:val="both"/>
        <w:rPr>
          <w:sz w:val="22"/>
          <w:szCs w:val="22"/>
        </w:rPr>
      </w:pPr>
      <w:r w:rsidRPr="003E04C1">
        <w:rPr>
          <w:sz w:val="22"/>
          <w:szCs w:val="22"/>
        </w:rPr>
        <w:t>tel</w:t>
      </w:r>
      <w:r w:rsidR="001E2CB1">
        <w:rPr>
          <w:sz w:val="22"/>
          <w:szCs w:val="22"/>
        </w:rPr>
        <w:t>.</w:t>
      </w:r>
      <w:r w:rsidRPr="003E04C1">
        <w:rPr>
          <w:sz w:val="22"/>
          <w:szCs w:val="22"/>
        </w:rPr>
        <w:t xml:space="preserve">: </w:t>
      </w:r>
      <w:r w:rsidR="001E2CB1" w:rsidRPr="001E2CB1">
        <w:rPr>
          <w:sz w:val="22"/>
          <w:szCs w:val="22"/>
        </w:rPr>
        <w:t xml:space="preserve">+420 221 92 </w:t>
      </w:r>
      <w:r w:rsidR="001E2CB1">
        <w:rPr>
          <w:sz w:val="22"/>
          <w:szCs w:val="22"/>
        </w:rPr>
        <w:t>2876</w:t>
      </w:r>
    </w:p>
    <w:p w14:paraId="51BCC007" w14:textId="593535F6" w:rsidR="00EE4405" w:rsidRDefault="003D05BB" w:rsidP="003D05BB">
      <w:pPr>
        <w:ind w:left="3540"/>
        <w:jc w:val="both"/>
        <w:rPr>
          <w:sz w:val="22"/>
          <w:szCs w:val="22"/>
        </w:rPr>
      </w:pPr>
      <w:r w:rsidRPr="003E04C1">
        <w:rPr>
          <w:sz w:val="22"/>
          <w:szCs w:val="22"/>
        </w:rPr>
        <w:t xml:space="preserve">email: </w:t>
      </w:r>
      <w:hyperlink r:id="rId13" w:history="1">
        <w:r w:rsidR="0091504D" w:rsidRPr="00251DCD">
          <w:rPr>
            <w:rStyle w:val="Hypertextovodkaz"/>
            <w:sz w:val="22"/>
            <w:szCs w:val="22"/>
          </w:rPr>
          <w:t>zbynek.sedlak@mpsv.cz</w:t>
        </w:r>
      </w:hyperlink>
    </w:p>
    <w:p w14:paraId="6188D37A" w14:textId="77777777" w:rsidR="0091504D" w:rsidRDefault="0091504D" w:rsidP="003D05BB">
      <w:pPr>
        <w:ind w:left="3540"/>
        <w:jc w:val="both"/>
        <w:rPr>
          <w:sz w:val="22"/>
          <w:szCs w:val="22"/>
        </w:rPr>
      </w:pPr>
    </w:p>
    <w:p w14:paraId="69640CF6" w14:textId="6E4D2333" w:rsidR="0091504D" w:rsidRDefault="0091504D" w:rsidP="003D05BB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Mgr. Veronika Mesarčová</w:t>
      </w:r>
    </w:p>
    <w:p w14:paraId="3E52171A" w14:textId="15BA872A" w:rsidR="0091504D" w:rsidRDefault="002C7506" w:rsidP="003D05BB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91504D">
        <w:rPr>
          <w:sz w:val="22"/>
          <w:szCs w:val="22"/>
        </w:rPr>
        <w:t>el.</w:t>
      </w:r>
      <w:r>
        <w:rPr>
          <w:sz w:val="22"/>
          <w:szCs w:val="22"/>
        </w:rPr>
        <w:t>: + 420 221 92 2130</w:t>
      </w:r>
    </w:p>
    <w:p w14:paraId="2FE0181F" w14:textId="3FB60139" w:rsidR="002C7506" w:rsidRDefault="002C7506" w:rsidP="003D05BB">
      <w:pPr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14" w:history="1">
        <w:r w:rsidRPr="00251DCD">
          <w:rPr>
            <w:rStyle w:val="Hypertextovodkaz"/>
            <w:sz w:val="22"/>
            <w:szCs w:val="22"/>
          </w:rPr>
          <w:t>veronika.mesarcova@mpsv.cz</w:t>
        </w:r>
      </w:hyperlink>
    </w:p>
    <w:p w14:paraId="511FA2EF" w14:textId="61346016" w:rsidR="00A950F7" w:rsidRDefault="00501FE7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XI</w:t>
      </w:r>
      <w:r w:rsidR="00C65D16">
        <w:rPr>
          <w:b/>
          <w:sz w:val="22"/>
          <w:szCs w:val="22"/>
        </w:rPr>
        <w:t>.</w:t>
      </w:r>
    </w:p>
    <w:p w14:paraId="45BA9539" w14:textId="23AD910E" w:rsidR="00EE4405" w:rsidRPr="00A950F7" w:rsidRDefault="00190F08" w:rsidP="007A4F3C">
      <w:pPr>
        <w:keepNext/>
        <w:spacing w:after="12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Předčasné ukončení</w:t>
      </w:r>
      <w:r w:rsidR="00A950F7" w:rsidRPr="00A950F7">
        <w:rPr>
          <w:b/>
          <w:sz w:val="22"/>
          <w:szCs w:val="22"/>
        </w:rPr>
        <w:t xml:space="preserve"> smlouvy</w:t>
      </w:r>
      <w:r w:rsidR="00251855">
        <w:rPr>
          <w:b/>
          <w:sz w:val="22"/>
          <w:szCs w:val="22"/>
        </w:rPr>
        <w:t xml:space="preserve"> </w:t>
      </w:r>
    </w:p>
    <w:p w14:paraId="05D61245" w14:textId="77777777" w:rsidR="00501FE7" w:rsidRPr="00952361" w:rsidRDefault="00501FE7" w:rsidP="00501FE7">
      <w:pPr>
        <w:numPr>
          <w:ilvl w:val="0"/>
          <w:numId w:val="42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Účinnost této </w:t>
      </w:r>
      <w:r w:rsidRPr="00952361">
        <w:rPr>
          <w:sz w:val="22"/>
          <w:szCs w:val="22"/>
        </w:rPr>
        <w:t>smlouvy lze ukončit písemnou dohodou podepsanou oprávněnými zástupci obou smluvních stran.</w:t>
      </w:r>
    </w:p>
    <w:p w14:paraId="0087893B" w14:textId="77777777" w:rsidR="00501FE7" w:rsidRPr="00DA4FF6" w:rsidRDefault="00501FE7" w:rsidP="00501FE7">
      <w:pPr>
        <w:numPr>
          <w:ilvl w:val="0"/>
          <w:numId w:val="42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Zákazník </w:t>
      </w:r>
      <w:r w:rsidRPr="00DA4FF6">
        <w:rPr>
          <w:sz w:val="22"/>
          <w:szCs w:val="22"/>
        </w:rPr>
        <w:t xml:space="preserve">si vyhrazuje právo od </w:t>
      </w:r>
      <w:r>
        <w:rPr>
          <w:sz w:val="22"/>
          <w:szCs w:val="22"/>
        </w:rPr>
        <w:t xml:space="preserve">této </w:t>
      </w:r>
      <w:r w:rsidRPr="00DA4FF6">
        <w:rPr>
          <w:sz w:val="22"/>
          <w:szCs w:val="22"/>
        </w:rPr>
        <w:t xml:space="preserve">smlouvy odstoupit v případě prodlení </w:t>
      </w:r>
      <w:r>
        <w:rPr>
          <w:sz w:val="22"/>
          <w:szCs w:val="22"/>
        </w:rPr>
        <w:t xml:space="preserve">Poskytovatele </w:t>
      </w:r>
      <w:r w:rsidRPr="00DA4FF6">
        <w:rPr>
          <w:sz w:val="22"/>
          <w:szCs w:val="22"/>
        </w:rPr>
        <w:t>s jednotlivým termínovaným plněním delším než 3 týdny.</w:t>
      </w:r>
    </w:p>
    <w:p w14:paraId="6AA85DB2" w14:textId="77777777" w:rsidR="00501FE7" w:rsidRPr="00DA4FF6" w:rsidRDefault="00501FE7" w:rsidP="00501FE7">
      <w:pPr>
        <w:numPr>
          <w:ilvl w:val="0"/>
          <w:numId w:val="42"/>
        </w:num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Zákazník </w:t>
      </w:r>
      <w:r w:rsidRPr="00DA4FF6">
        <w:rPr>
          <w:sz w:val="22"/>
          <w:szCs w:val="22"/>
        </w:rPr>
        <w:t xml:space="preserve">si vyhrazuje </w:t>
      </w:r>
      <w:r>
        <w:rPr>
          <w:sz w:val="22"/>
          <w:szCs w:val="22"/>
        </w:rPr>
        <w:t xml:space="preserve">tuto </w:t>
      </w:r>
      <w:r w:rsidRPr="00DA4FF6">
        <w:rPr>
          <w:sz w:val="22"/>
          <w:szCs w:val="22"/>
        </w:rPr>
        <w:t xml:space="preserve">smlouvu vypovědět i bez udání důvodu. Výpovědní doba činí 2 týdny a počíná běžet den následující po dni prokazatelného doručení výpovědi </w:t>
      </w:r>
      <w:r>
        <w:rPr>
          <w:sz w:val="22"/>
          <w:szCs w:val="22"/>
        </w:rPr>
        <w:t>Poskytovateli</w:t>
      </w:r>
      <w:r w:rsidRPr="00DA4FF6">
        <w:rPr>
          <w:sz w:val="22"/>
          <w:szCs w:val="22"/>
        </w:rPr>
        <w:t>.</w:t>
      </w:r>
    </w:p>
    <w:p w14:paraId="6878712F" w14:textId="6B967610" w:rsidR="00EE4405" w:rsidRPr="003E04C1" w:rsidRDefault="000C243C" w:rsidP="0018379C">
      <w:pPr>
        <w:keepNext/>
        <w:spacing w:before="24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XII</w:t>
      </w:r>
      <w:r w:rsidR="00D1780D" w:rsidRPr="003E04C1">
        <w:rPr>
          <w:b/>
          <w:sz w:val="22"/>
          <w:szCs w:val="22"/>
        </w:rPr>
        <w:t>.</w:t>
      </w:r>
    </w:p>
    <w:p w14:paraId="6F9B14E7" w14:textId="77777777" w:rsidR="00EE4405" w:rsidRPr="003E04C1" w:rsidRDefault="00D1780D" w:rsidP="00E01589">
      <w:pPr>
        <w:keepNext/>
        <w:spacing w:after="120"/>
        <w:jc w:val="center"/>
        <w:outlineLvl w:val="0"/>
        <w:rPr>
          <w:b/>
          <w:sz w:val="22"/>
          <w:szCs w:val="22"/>
        </w:rPr>
      </w:pPr>
      <w:r w:rsidRPr="003E04C1">
        <w:rPr>
          <w:b/>
          <w:sz w:val="22"/>
          <w:szCs w:val="22"/>
        </w:rPr>
        <w:t>Závěrečná ustanovení</w:t>
      </w:r>
    </w:p>
    <w:p w14:paraId="2B7DD349" w14:textId="588942EF" w:rsidR="00AB2D2A" w:rsidRPr="00AB2D2A" w:rsidRDefault="00AB2D2A" w:rsidP="00AB2D2A">
      <w:pPr>
        <w:numPr>
          <w:ilvl w:val="0"/>
          <w:numId w:val="6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AB2D2A">
        <w:rPr>
          <w:sz w:val="22"/>
          <w:szCs w:val="22"/>
        </w:rPr>
        <w:t>Tato smlouva a práva a povinnosti z ní vzniklá (včetně práv a povinností z porušení této smlouvy, ke kterému došlo nebo dojde) se budou řídit občanský</w:t>
      </w:r>
      <w:r w:rsidR="001E2CB1">
        <w:rPr>
          <w:sz w:val="22"/>
          <w:szCs w:val="22"/>
        </w:rPr>
        <w:t>m</w:t>
      </w:r>
      <w:r w:rsidRPr="00AB2D2A">
        <w:rPr>
          <w:sz w:val="22"/>
          <w:szCs w:val="22"/>
        </w:rPr>
        <w:t xml:space="preserve"> zákoník</w:t>
      </w:r>
      <w:r>
        <w:rPr>
          <w:sz w:val="22"/>
          <w:szCs w:val="22"/>
        </w:rPr>
        <w:t>.</w:t>
      </w:r>
    </w:p>
    <w:p w14:paraId="03302864" w14:textId="77777777" w:rsidR="00842D77" w:rsidRPr="00842D77" w:rsidRDefault="00196348" w:rsidP="00842D77">
      <w:pPr>
        <w:numPr>
          <w:ilvl w:val="0"/>
          <w:numId w:val="6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842D77">
        <w:rPr>
          <w:sz w:val="22"/>
          <w:szCs w:val="22"/>
        </w:rPr>
        <w:t xml:space="preserve">Tato smlouva </w:t>
      </w:r>
      <w:r w:rsidR="00D1780D" w:rsidRPr="00842D77">
        <w:rPr>
          <w:sz w:val="22"/>
          <w:szCs w:val="22"/>
        </w:rPr>
        <w:t xml:space="preserve">může být měněna pouze </w:t>
      </w:r>
      <w:r w:rsidRPr="00842D77">
        <w:rPr>
          <w:sz w:val="22"/>
          <w:szCs w:val="22"/>
        </w:rPr>
        <w:t>na základě dohody smluvních stran uzavřené v písemné formě</w:t>
      </w:r>
      <w:r w:rsidR="00D1780D" w:rsidRPr="00842D77">
        <w:rPr>
          <w:sz w:val="22"/>
          <w:szCs w:val="22"/>
        </w:rPr>
        <w:t>.</w:t>
      </w:r>
      <w:r w:rsidR="00842D77" w:rsidRPr="00842D77">
        <w:rPr>
          <w:sz w:val="22"/>
          <w:szCs w:val="22"/>
        </w:rPr>
        <w:t xml:space="preserve"> Za písemnou formu nebude pro tento účel považována výměna e-mailových či jiných elektronických zprá</w:t>
      </w:r>
      <w:r w:rsidR="00842D77">
        <w:rPr>
          <w:sz w:val="22"/>
          <w:szCs w:val="22"/>
        </w:rPr>
        <w:t>v.</w:t>
      </w:r>
    </w:p>
    <w:p w14:paraId="698A2BF7" w14:textId="52A987F9" w:rsidR="00EE4405" w:rsidRPr="003E04C1" w:rsidRDefault="00D1780D" w:rsidP="00196348">
      <w:pPr>
        <w:numPr>
          <w:ilvl w:val="0"/>
          <w:numId w:val="6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3E04C1">
        <w:rPr>
          <w:sz w:val="22"/>
          <w:szCs w:val="22"/>
        </w:rPr>
        <w:t xml:space="preserve">Tato smlouva se vyhotovuje ve </w:t>
      </w:r>
      <w:r w:rsidR="002C7506">
        <w:rPr>
          <w:sz w:val="22"/>
          <w:szCs w:val="22"/>
        </w:rPr>
        <w:t>3</w:t>
      </w:r>
      <w:r w:rsidRPr="003E04C1">
        <w:rPr>
          <w:sz w:val="22"/>
          <w:szCs w:val="22"/>
        </w:rPr>
        <w:t xml:space="preserve"> stejnopisech, z nichž </w:t>
      </w:r>
      <w:r w:rsidR="002C7506">
        <w:rPr>
          <w:sz w:val="22"/>
          <w:szCs w:val="22"/>
        </w:rPr>
        <w:t xml:space="preserve">Poskytovatel obdrží 1 vyhotovení a Zákazník 2 vyhotovení. </w:t>
      </w:r>
    </w:p>
    <w:p w14:paraId="74C57FF1" w14:textId="77777777" w:rsidR="00EE4405" w:rsidRDefault="00D1780D" w:rsidP="00196348">
      <w:pPr>
        <w:numPr>
          <w:ilvl w:val="0"/>
          <w:numId w:val="6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 w:rsidRPr="003E04C1">
        <w:rPr>
          <w:sz w:val="22"/>
          <w:szCs w:val="22"/>
        </w:rPr>
        <w:t xml:space="preserve">Tato smlouva nabývá účinnosti dnem jejího </w:t>
      </w:r>
      <w:r w:rsidR="00196348">
        <w:rPr>
          <w:sz w:val="22"/>
          <w:szCs w:val="22"/>
        </w:rPr>
        <w:t>uzavření</w:t>
      </w:r>
      <w:r w:rsidRPr="003E04C1">
        <w:rPr>
          <w:sz w:val="22"/>
          <w:szCs w:val="22"/>
        </w:rPr>
        <w:t>.</w:t>
      </w:r>
    </w:p>
    <w:p w14:paraId="1832EBA6" w14:textId="65B8DDEF" w:rsidR="001E2CB1" w:rsidRPr="003E04C1" w:rsidRDefault="001E2CB1" w:rsidP="00196348">
      <w:pPr>
        <w:numPr>
          <w:ilvl w:val="0"/>
          <w:numId w:val="6"/>
        </w:numPr>
        <w:tabs>
          <w:tab w:val="clear" w:pos="360"/>
        </w:tabs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 přílohy:</w:t>
      </w:r>
    </w:p>
    <w:p w14:paraId="64F6FB30" w14:textId="38D6C0CD" w:rsidR="00A6688B" w:rsidRPr="00502260" w:rsidRDefault="00A6688B" w:rsidP="00A6688B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502260">
        <w:rPr>
          <w:sz w:val="22"/>
          <w:szCs w:val="22"/>
        </w:rPr>
        <w:t>Účastnická smlouva – vzor</w:t>
      </w:r>
    </w:p>
    <w:p w14:paraId="02C3415D" w14:textId="2C1229BF" w:rsidR="00A6688B" w:rsidRPr="00502260" w:rsidRDefault="00A6688B" w:rsidP="00A6688B">
      <w:pPr>
        <w:pStyle w:val="Odstavecseseznamem"/>
        <w:numPr>
          <w:ilvl w:val="0"/>
          <w:numId w:val="43"/>
        </w:numPr>
        <w:jc w:val="both"/>
        <w:rPr>
          <w:sz w:val="22"/>
          <w:szCs w:val="22"/>
        </w:rPr>
      </w:pPr>
      <w:r w:rsidRPr="00502260">
        <w:rPr>
          <w:sz w:val="22"/>
          <w:szCs w:val="22"/>
        </w:rPr>
        <w:t>Burzovní pravidla pro trh s komoditami pro konečné zákazníky</w:t>
      </w:r>
    </w:p>
    <w:p w14:paraId="71449D87" w14:textId="77777777" w:rsidR="000172DC" w:rsidRPr="003E04C1" w:rsidRDefault="000172DC">
      <w:pPr>
        <w:ind w:firstLine="708"/>
        <w:jc w:val="both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172DC" w14:paraId="53F7B208" w14:textId="77777777" w:rsidTr="000172DC">
        <w:tc>
          <w:tcPr>
            <w:tcW w:w="4606" w:type="dxa"/>
          </w:tcPr>
          <w:p w14:paraId="705C40A5" w14:textId="35B2F1C5" w:rsidR="008B0F75" w:rsidRDefault="008B0F75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V Praze dne:</w:t>
            </w:r>
            <w:r>
              <w:rPr>
                <w:sz w:val="22"/>
                <w:szCs w:val="22"/>
              </w:rPr>
              <w:t xml:space="preserve"> ..............................</w:t>
            </w:r>
          </w:p>
          <w:p w14:paraId="1E28FCD8" w14:textId="77777777" w:rsidR="008B0F75" w:rsidRDefault="008B0F75">
            <w:pPr>
              <w:jc w:val="both"/>
              <w:rPr>
                <w:sz w:val="22"/>
                <w:szCs w:val="22"/>
              </w:rPr>
            </w:pPr>
          </w:p>
          <w:p w14:paraId="2578AA89" w14:textId="5E1E2554" w:rsidR="000172DC" w:rsidRDefault="00A668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Zákazníka</w:t>
            </w:r>
            <w:r w:rsidR="000172DC">
              <w:rPr>
                <w:sz w:val="22"/>
                <w:szCs w:val="22"/>
              </w:rPr>
              <w:t>:</w:t>
            </w:r>
          </w:p>
          <w:p w14:paraId="213308DD" w14:textId="77777777" w:rsidR="00B25EC3" w:rsidRDefault="00B25EC3">
            <w:pPr>
              <w:jc w:val="both"/>
              <w:rPr>
                <w:sz w:val="22"/>
                <w:szCs w:val="22"/>
              </w:rPr>
            </w:pPr>
          </w:p>
          <w:p w14:paraId="0026F543" w14:textId="77777777" w:rsidR="00B25EC3" w:rsidRDefault="00B25EC3">
            <w:pPr>
              <w:jc w:val="both"/>
              <w:rPr>
                <w:sz w:val="22"/>
                <w:szCs w:val="22"/>
              </w:rPr>
            </w:pPr>
          </w:p>
          <w:p w14:paraId="719BCE66" w14:textId="77777777" w:rsidR="00B25EC3" w:rsidRDefault="00B25EC3" w:rsidP="00B2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</w:t>
            </w:r>
          </w:p>
          <w:p w14:paraId="68297F7A" w14:textId="77777777" w:rsidR="00B25EC3" w:rsidRDefault="001E2C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David Novák</w:t>
            </w:r>
          </w:p>
          <w:p w14:paraId="5D62E333" w14:textId="77777777" w:rsidR="001E2CB1" w:rsidRDefault="001E2C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odboru centrálních nákupů a veřejných zakázek</w:t>
            </w:r>
          </w:p>
          <w:p w14:paraId="014A0EB4" w14:textId="5B0D73BA" w:rsidR="001E2CB1" w:rsidRPr="002A2DF7" w:rsidRDefault="001E2CB1" w:rsidP="002A2DF7">
            <w:pPr>
              <w:jc w:val="both"/>
              <w:rPr>
                <w:b/>
                <w:sz w:val="22"/>
                <w:szCs w:val="22"/>
              </w:rPr>
            </w:pPr>
            <w:r w:rsidRPr="002A2DF7">
              <w:rPr>
                <w:b/>
                <w:sz w:val="22"/>
                <w:szCs w:val="22"/>
              </w:rPr>
              <w:t>Česká republika – Ministerstvo práce a</w:t>
            </w:r>
            <w:r w:rsidR="002A2DF7">
              <w:rPr>
                <w:b/>
                <w:sz w:val="22"/>
                <w:szCs w:val="22"/>
              </w:rPr>
              <w:t> </w:t>
            </w:r>
            <w:r w:rsidRPr="002A2DF7">
              <w:rPr>
                <w:b/>
                <w:sz w:val="22"/>
                <w:szCs w:val="22"/>
              </w:rPr>
              <w:t>sociálních</w:t>
            </w:r>
            <w:r w:rsidR="002A2DF7">
              <w:rPr>
                <w:b/>
                <w:sz w:val="22"/>
                <w:szCs w:val="22"/>
              </w:rPr>
              <w:t xml:space="preserve"> </w:t>
            </w:r>
            <w:r w:rsidRPr="002A2DF7">
              <w:rPr>
                <w:b/>
                <w:sz w:val="22"/>
                <w:szCs w:val="22"/>
              </w:rPr>
              <w:t>věcí</w:t>
            </w:r>
          </w:p>
        </w:tc>
        <w:tc>
          <w:tcPr>
            <w:tcW w:w="4606" w:type="dxa"/>
          </w:tcPr>
          <w:p w14:paraId="1122C39E" w14:textId="77777777" w:rsidR="008B0F75" w:rsidRDefault="008B0F75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V Praze dne:</w:t>
            </w:r>
            <w:r>
              <w:rPr>
                <w:sz w:val="22"/>
                <w:szCs w:val="22"/>
              </w:rPr>
              <w:t xml:space="preserve"> ..............................</w:t>
            </w:r>
          </w:p>
          <w:p w14:paraId="7DB74F06" w14:textId="77777777" w:rsidR="008B0F75" w:rsidRDefault="008B0F75">
            <w:pPr>
              <w:jc w:val="both"/>
              <w:rPr>
                <w:sz w:val="22"/>
                <w:szCs w:val="22"/>
              </w:rPr>
            </w:pPr>
          </w:p>
          <w:p w14:paraId="7C5FA195" w14:textId="3712BD5A" w:rsidR="000172DC" w:rsidRDefault="000172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</w:t>
            </w:r>
            <w:r w:rsidR="00A6688B">
              <w:rPr>
                <w:sz w:val="22"/>
                <w:szCs w:val="22"/>
              </w:rPr>
              <w:t>Poskytovatele</w:t>
            </w:r>
            <w:r>
              <w:rPr>
                <w:sz w:val="22"/>
                <w:szCs w:val="22"/>
              </w:rPr>
              <w:t>:</w:t>
            </w:r>
          </w:p>
          <w:p w14:paraId="46369780" w14:textId="77777777" w:rsidR="000172DC" w:rsidRDefault="000172DC">
            <w:pPr>
              <w:jc w:val="both"/>
              <w:rPr>
                <w:sz w:val="22"/>
                <w:szCs w:val="22"/>
              </w:rPr>
            </w:pPr>
          </w:p>
          <w:p w14:paraId="375ED6AD" w14:textId="77777777" w:rsidR="000172DC" w:rsidRDefault="000172DC">
            <w:pPr>
              <w:jc w:val="both"/>
              <w:rPr>
                <w:sz w:val="22"/>
                <w:szCs w:val="22"/>
              </w:rPr>
            </w:pPr>
          </w:p>
          <w:p w14:paraId="4C5E8822" w14:textId="77777777" w:rsidR="000172DC" w:rsidRDefault="000172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</w:t>
            </w:r>
          </w:p>
          <w:p w14:paraId="068C3381" w14:textId="77777777" w:rsidR="001E2CB1" w:rsidRDefault="000172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Kučera</w:t>
            </w:r>
          </w:p>
          <w:p w14:paraId="1967ABD2" w14:textId="4CD23A17" w:rsidR="000172DC" w:rsidRDefault="00E342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prokurista a </w:t>
            </w:r>
            <w:r w:rsidR="000172DC">
              <w:rPr>
                <w:sz w:val="22"/>
                <w:szCs w:val="22"/>
              </w:rPr>
              <w:t>generální sekretář</w:t>
            </w:r>
          </w:p>
          <w:p w14:paraId="61995FA9" w14:textId="1DE21D56" w:rsidR="001E2CB1" w:rsidRDefault="001E2CB1">
            <w:pPr>
              <w:jc w:val="both"/>
              <w:rPr>
                <w:sz w:val="22"/>
                <w:szCs w:val="22"/>
              </w:rPr>
            </w:pPr>
            <w:r w:rsidRPr="003E04C1">
              <w:rPr>
                <w:b/>
                <w:sz w:val="22"/>
                <w:szCs w:val="22"/>
              </w:rPr>
              <w:t>POWER EXCHANGE CENTRAL EUROPE, a.s.</w:t>
            </w:r>
          </w:p>
        </w:tc>
      </w:tr>
    </w:tbl>
    <w:p w14:paraId="5460B2E0" w14:textId="48E1CBE8" w:rsidR="00205979" w:rsidRPr="008F0A82" w:rsidRDefault="00205979" w:rsidP="00703057">
      <w:pPr>
        <w:rPr>
          <w:rFonts w:ascii="Arial" w:hAnsi="Arial" w:cs="Arial"/>
          <w:lang w:val="pl-P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F0A82" w14:paraId="6221EC3B" w14:textId="7250BE72" w:rsidTr="00712FB8">
        <w:tc>
          <w:tcPr>
            <w:tcW w:w="4606" w:type="dxa"/>
          </w:tcPr>
          <w:p w14:paraId="459465D0" w14:textId="1115657C" w:rsidR="008F0A82" w:rsidRDefault="008F0A82" w:rsidP="00A94AC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</w:tcPr>
          <w:p w14:paraId="082F585D" w14:textId="1F1ABB00" w:rsidR="008F0A82" w:rsidRDefault="008F0A82" w:rsidP="004453DB">
            <w:pPr>
              <w:jc w:val="both"/>
              <w:rPr>
                <w:sz w:val="22"/>
                <w:szCs w:val="22"/>
              </w:rPr>
            </w:pPr>
            <w:r w:rsidRPr="003E04C1">
              <w:rPr>
                <w:sz w:val="22"/>
                <w:szCs w:val="22"/>
              </w:rPr>
              <w:t>V Praze dne:</w:t>
            </w:r>
            <w:r>
              <w:rPr>
                <w:sz w:val="22"/>
                <w:szCs w:val="22"/>
              </w:rPr>
              <w:t xml:space="preserve"> ..............................</w:t>
            </w:r>
          </w:p>
          <w:p w14:paraId="1B5D9FAF" w14:textId="77777777" w:rsidR="008F0A82" w:rsidRDefault="008F0A82" w:rsidP="004453DB">
            <w:pPr>
              <w:jc w:val="both"/>
              <w:rPr>
                <w:sz w:val="22"/>
                <w:szCs w:val="22"/>
              </w:rPr>
            </w:pPr>
          </w:p>
          <w:p w14:paraId="71C3C361" w14:textId="77777777" w:rsidR="008F0A82" w:rsidRDefault="008F0A82" w:rsidP="00445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Burzovní dohodce:</w:t>
            </w:r>
          </w:p>
          <w:p w14:paraId="7E2B5306" w14:textId="77777777" w:rsidR="008F0A82" w:rsidRDefault="008F0A82" w:rsidP="004453DB">
            <w:pPr>
              <w:jc w:val="both"/>
              <w:rPr>
                <w:sz w:val="22"/>
                <w:szCs w:val="22"/>
              </w:rPr>
            </w:pPr>
          </w:p>
          <w:p w14:paraId="5F1D17DF" w14:textId="77777777" w:rsidR="008F0A82" w:rsidRDefault="008F0A82" w:rsidP="004453DB">
            <w:pPr>
              <w:jc w:val="both"/>
              <w:rPr>
                <w:sz w:val="22"/>
                <w:szCs w:val="22"/>
              </w:rPr>
            </w:pPr>
          </w:p>
          <w:p w14:paraId="7A29A83D" w14:textId="77777777" w:rsidR="008F0A82" w:rsidRDefault="008F0A82" w:rsidP="00445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</w:t>
            </w:r>
          </w:p>
          <w:p w14:paraId="1EA7031E" w14:textId="2B283162" w:rsidR="008F0A82" w:rsidRDefault="008F0A82">
            <w:r>
              <w:rPr>
                <w:sz w:val="22"/>
                <w:szCs w:val="22"/>
              </w:rPr>
              <w:t>Lukáš Melichar</w:t>
            </w:r>
          </w:p>
        </w:tc>
      </w:tr>
    </w:tbl>
    <w:p w14:paraId="7E33C28C" w14:textId="77777777" w:rsidR="00A85C0C" w:rsidRPr="009850AC" w:rsidRDefault="00A85C0C">
      <w:pPr>
        <w:rPr>
          <w:rFonts w:ascii="Arial" w:hAnsi="Arial" w:cs="Arial"/>
          <w:lang w:val="pl-PL"/>
        </w:rPr>
      </w:pPr>
    </w:p>
    <w:sectPr w:rsidR="00A85C0C" w:rsidRPr="009850AC">
      <w:headerReference w:type="even" r:id="rId15"/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812A4" w14:textId="77777777" w:rsidR="00323C24" w:rsidRDefault="00323C24">
      <w:r>
        <w:separator/>
      </w:r>
    </w:p>
  </w:endnote>
  <w:endnote w:type="continuationSeparator" w:id="0">
    <w:p w14:paraId="602064CD" w14:textId="77777777" w:rsidR="00323C24" w:rsidRDefault="0032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292062"/>
      <w:docPartObj>
        <w:docPartGallery w:val="Page Numbers (Bottom of Page)"/>
        <w:docPartUnique/>
      </w:docPartObj>
    </w:sdtPr>
    <w:sdtEndPr/>
    <w:sdtContent>
      <w:p w14:paraId="03B8845A" w14:textId="77777777" w:rsidR="004A4887" w:rsidRDefault="004A48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1F">
          <w:rPr>
            <w:noProof/>
          </w:rPr>
          <w:t>6</w:t>
        </w:r>
        <w:r>
          <w:fldChar w:fldCharType="end"/>
        </w:r>
      </w:p>
    </w:sdtContent>
  </w:sdt>
  <w:p w14:paraId="58BA31BB" w14:textId="77777777" w:rsidR="004A4887" w:rsidRDefault="004A48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9717338"/>
      <w:docPartObj>
        <w:docPartGallery w:val="Page Numbers (Bottom of Page)"/>
        <w:docPartUnique/>
      </w:docPartObj>
    </w:sdtPr>
    <w:sdtEndPr/>
    <w:sdtContent>
      <w:p w14:paraId="1A054075" w14:textId="03DE54DD" w:rsidR="004A4887" w:rsidRDefault="004A488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B1F">
          <w:rPr>
            <w:noProof/>
          </w:rPr>
          <w:t>1</w:t>
        </w:r>
        <w:r>
          <w:fldChar w:fldCharType="end"/>
        </w:r>
      </w:p>
    </w:sdtContent>
  </w:sdt>
  <w:p w14:paraId="0F17AAEF" w14:textId="77777777" w:rsidR="004A4887" w:rsidRDefault="004A4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41EC" w14:textId="77777777" w:rsidR="00323C24" w:rsidRDefault="00323C24">
      <w:r>
        <w:separator/>
      </w:r>
    </w:p>
  </w:footnote>
  <w:footnote w:type="continuationSeparator" w:id="0">
    <w:p w14:paraId="28E65BBB" w14:textId="77777777" w:rsidR="00323C24" w:rsidRDefault="00323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7443" w14:textId="77777777" w:rsidR="004A4887" w:rsidRDefault="004A488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951DE9" w14:textId="77777777" w:rsidR="004A4887" w:rsidRDefault="004A48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7E349" w14:textId="77777777" w:rsidR="004A4887" w:rsidRDefault="004A4887">
    <w:pPr>
      <w:pStyle w:val="Zhlav"/>
      <w:framePr w:wrap="around" w:vAnchor="text" w:hAnchor="margin" w:xAlign="center" w:y="1"/>
      <w:rPr>
        <w:rStyle w:val="slostrnky"/>
      </w:rPr>
    </w:pPr>
  </w:p>
  <w:p w14:paraId="0CD72F61" w14:textId="77777777" w:rsidR="004A4887" w:rsidRDefault="004A488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2"/>
      <w:numFmt w:val="lowerLetter"/>
      <w:suff w:val="nothing"/>
      <w:lvlText w:val="%1)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>
    <w:nsid w:val="0D400A0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367FDB"/>
    <w:multiLevelType w:val="multilevel"/>
    <w:tmpl w:val="BDB4143E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">
    <w:nsid w:val="1158192F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12212922"/>
    <w:multiLevelType w:val="multilevel"/>
    <w:tmpl w:val="4F783A0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22C5EA2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12AC078C"/>
    <w:multiLevelType w:val="hybridMultilevel"/>
    <w:tmpl w:val="DF24F28A"/>
    <w:lvl w:ilvl="0" w:tplc="63925F5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3184528"/>
    <w:multiLevelType w:val="hybridMultilevel"/>
    <w:tmpl w:val="3F7ABBB2"/>
    <w:lvl w:ilvl="0" w:tplc="15DC056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190D42A3"/>
    <w:multiLevelType w:val="hybridMultilevel"/>
    <w:tmpl w:val="B1827526"/>
    <w:lvl w:ilvl="0" w:tplc="AAAC25D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6F01C4"/>
    <w:multiLevelType w:val="hybridMultilevel"/>
    <w:tmpl w:val="D9F0692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1EFB3E3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3957AF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>
    <w:nsid w:val="253F0C1A"/>
    <w:multiLevelType w:val="hybridMultilevel"/>
    <w:tmpl w:val="F564B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00EA1"/>
    <w:multiLevelType w:val="singleLevel"/>
    <w:tmpl w:val="F0627564"/>
    <w:lvl w:ilvl="0">
      <w:start w:val="15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27553489"/>
    <w:multiLevelType w:val="hybridMultilevel"/>
    <w:tmpl w:val="F21EFA8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CC83C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CED2D3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E425F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E9B239E"/>
    <w:multiLevelType w:val="multilevel"/>
    <w:tmpl w:val="28106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19">
    <w:nsid w:val="30C957F4"/>
    <w:multiLevelType w:val="hybridMultilevel"/>
    <w:tmpl w:val="19D8BDA8"/>
    <w:lvl w:ilvl="0" w:tplc="B512E4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67447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>
    <w:nsid w:val="365A69D3"/>
    <w:multiLevelType w:val="multilevel"/>
    <w:tmpl w:val="3306F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2">
    <w:nsid w:val="3D645E69"/>
    <w:multiLevelType w:val="singleLevel"/>
    <w:tmpl w:val="52FCE3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3F7075E3"/>
    <w:multiLevelType w:val="multilevel"/>
    <w:tmpl w:val="F586B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457F4DAA"/>
    <w:multiLevelType w:val="hybridMultilevel"/>
    <w:tmpl w:val="CCEAA6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C30D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6D217B0"/>
    <w:multiLevelType w:val="hybridMultilevel"/>
    <w:tmpl w:val="D9F0692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4848235E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>
    <w:nsid w:val="4E3E6813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9">
    <w:nsid w:val="4F0D77C9"/>
    <w:multiLevelType w:val="hybridMultilevel"/>
    <w:tmpl w:val="1A08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A56E8"/>
    <w:multiLevelType w:val="multilevel"/>
    <w:tmpl w:val="28106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31">
    <w:nsid w:val="56791FBA"/>
    <w:multiLevelType w:val="hybridMultilevel"/>
    <w:tmpl w:val="F5043476"/>
    <w:lvl w:ilvl="0" w:tplc="BDB4566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8447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77E5334"/>
    <w:multiLevelType w:val="singleLevel"/>
    <w:tmpl w:val="681C8672"/>
    <w:lvl w:ilvl="0">
      <w:start w:val="4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4">
    <w:nsid w:val="5AA822B8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5">
    <w:nsid w:val="62C43F4B"/>
    <w:multiLevelType w:val="hybridMultilevel"/>
    <w:tmpl w:val="DF58E4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B513E"/>
    <w:multiLevelType w:val="hybridMultilevel"/>
    <w:tmpl w:val="C4B85164"/>
    <w:lvl w:ilvl="0" w:tplc="8CE6DCB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>
    <w:nsid w:val="66F63CC6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8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9">
    <w:nsid w:val="6CCA5D3C"/>
    <w:multiLevelType w:val="hybridMultilevel"/>
    <w:tmpl w:val="B29EE6DA"/>
    <w:lvl w:ilvl="0" w:tplc="E2C2D9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691C3E"/>
    <w:multiLevelType w:val="singleLevel"/>
    <w:tmpl w:val="5C7A37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1">
    <w:nsid w:val="6F6C3F4B"/>
    <w:multiLevelType w:val="multilevel"/>
    <w:tmpl w:val="B8CE466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2">
    <w:nsid w:val="783905DF"/>
    <w:multiLevelType w:val="singleLevel"/>
    <w:tmpl w:val="FACC06B2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43">
    <w:nsid w:val="78D424A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BFC38E7"/>
    <w:multiLevelType w:val="hybridMultilevel"/>
    <w:tmpl w:val="E87A4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23"/>
  </w:num>
  <w:num w:numId="4">
    <w:abstractNumId w:val="25"/>
  </w:num>
  <w:num w:numId="5">
    <w:abstractNumId w:val="22"/>
  </w:num>
  <w:num w:numId="6">
    <w:abstractNumId w:val="43"/>
  </w:num>
  <w:num w:numId="7">
    <w:abstractNumId w:val="17"/>
  </w:num>
  <w:num w:numId="8">
    <w:abstractNumId w:val="42"/>
  </w:num>
  <w:num w:numId="9">
    <w:abstractNumId w:val="33"/>
  </w:num>
  <w:num w:numId="10">
    <w:abstractNumId w:val="2"/>
  </w:num>
  <w:num w:numId="11">
    <w:abstractNumId w:val="13"/>
  </w:num>
  <w:num w:numId="12">
    <w:abstractNumId w:val="21"/>
  </w:num>
  <w:num w:numId="13">
    <w:abstractNumId w:val="37"/>
  </w:num>
  <w:num w:numId="14">
    <w:abstractNumId w:val="16"/>
  </w:num>
  <w:num w:numId="15">
    <w:abstractNumId w:val="32"/>
  </w:num>
  <w:num w:numId="16">
    <w:abstractNumId w:val="1"/>
  </w:num>
  <w:num w:numId="17">
    <w:abstractNumId w:val="10"/>
  </w:num>
  <w:num w:numId="18">
    <w:abstractNumId w:val="15"/>
  </w:num>
  <w:num w:numId="19">
    <w:abstractNumId w:val="30"/>
  </w:num>
  <w:num w:numId="20">
    <w:abstractNumId w:val="39"/>
  </w:num>
  <w:num w:numId="21">
    <w:abstractNumId w:val="12"/>
  </w:num>
  <w:num w:numId="22">
    <w:abstractNumId w:val="27"/>
  </w:num>
  <w:num w:numId="23">
    <w:abstractNumId w:val="5"/>
  </w:num>
  <w:num w:numId="24">
    <w:abstractNumId w:val="19"/>
  </w:num>
  <w:num w:numId="25">
    <w:abstractNumId w:val="29"/>
  </w:num>
  <w:num w:numId="26">
    <w:abstractNumId w:val="35"/>
  </w:num>
  <w:num w:numId="27">
    <w:abstractNumId w:val="26"/>
  </w:num>
  <w:num w:numId="28">
    <w:abstractNumId w:val="9"/>
  </w:num>
  <w:num w:numId="29">
    <w:abstractNumId w:val="0"/>
  </w:num>
  <w:num w:numId="30">
    <w:abstractNumId w:val="36"/>
  </w:num>
  <w:num w:numId="31">
    <w:abstractNumId w:val="38"/>
  </w:num>
  <w:num w:numId="32">
    <w:abstractNumId w:val="14"/>
  </w:num>
  <w:num w:numId="33">
    <w:abstractNumId w:val="28"/>
  </w:num>
  <w:num w:numId="34">
    <w:abstractNumId w:val="6"/>
  </w:num>
  <w:num w:numId="35">
    <w:abstractNumId w:val="7"/>
  </w:num>
  <w:num w:numId="36">
    <w:abstractNumId w:val="34"/>
  </w:num>
  <w:num w:numId="37">
    <w:abstractNumId w:val="4"/>
  </w:num>
  <w:num w:numId="38">
    <w:abstractNumId w:val="11"/>
  </w:num>
  <w:num w:numId="39">
    <w:abstractNumId w:val="24"/>
  </w:num>
  <w:num w:numId="40">
    <w:abstractNumId w:val="31"/>
  </w:num>
  <w:num w:numId="41">
    <w:abstractNumId w:val="3"/>
  </w:num>
  <w:num w:numId="42">
    <w:abstractNumId w:val="20"/>
  </w:num>
  <w:num w:numId="43">
    <w:abstractNumId w:val="44"/>
  </w:num>
  <w:num w:numId="44">
    <w:abstractNumId w:val="4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C9"/>
    <w:rsid w:val="00013FC1"/>
    <w:rsid w:val="0001500E"/>
    <w:rsid w:val="000172DC"/>
    <w:rsid w:val="0003190E"/>
    <w:rsid w:val="00036B4C"/>
    <w:rsid w:val="00051117"/>
    <w:rsid w:val="00053AEE"/>
    <w:rsid w:val="000753F6"/>
    <w:rsid w:val="000755A5"/>
    <w:rsid w:val="00084D12"/>
    <w:rsid w:val="000A1B83"/>
    <w:rsid w:val="000A1C2D"/>
    <w:rsid w:val="000B028F"/>
    <w:rsid w:val="000C243C"/>
    <w:rsid w:val="000C4325"/>
    <w:rsid w:val="000C6106"/>
    <w:rsid w:val="000D0675"/>
    <w:rsid w:val="000E219A"/>
    <w:rsid w:val="000E6286"/>
    <w:rsid w:val="000F5C08"/>
    <w:rsid w:val="000F6C3A"/>
    <w:rsid w:val="0010306B"/>
    <w:rsid w:val="0010607E"/>
    <w:rsid w:val="00120064"/>
    <w:rsid w:val="00125E07"/>
    <w:rsid w:val="001424A4"/>
    <w:rsid w:val="00152FDD"/>
    <w:rsid w:val="00163D0A"/>
    <w:rsid w:val="0018379C"/>
    <w:rsid w:val="00186055"/>
    <w:rsid w:val="0019011D"/>
    <w:rsid w:val="00190F08"/>
    <w:rsid w:val="001931AC"/>
    <w:rsid w:val="00195698"/>
    <w:rsid w:val="00196348"/>
    <w:rsid w:val="001A4389"/>
    <w:rsid w:val="001A6BF5"/>
    <w:rsid w:val="001A7EC3"/>
    <w:rsid w:val="001D1F63"/>
    <w:rsid w:val="001D3A80"/>
    <w:rsid w:val="001E2CB1"/>
    <w:rsid w:val="001F04FF"/>
    <w:rsid w:val="001F2F59"/>
    <w:rsid w:val="001F43A1"/>
    <w:rsid w:val="00205979"/>
    <w:rsid w:val="00207239"/>
    <w:rsid w:val="00213C2D"/>
    <w:rsid w:val="00214865"/>
    <w:rsid w:val="00220263"/>
    <w:rsid w:val="00234CC5"/>
    <w:rsid w:val="002357D7"/>
    <w:rsid w:val="00236D61"/>
    <w:rsid w:val="002429EC"/>
    <w:rsid w:val="002460F4"/>
    <w:rsid w:val="00251855"/>
    <w:rsid w:val="00252489"/>
    <w:rsid w:val="002605F0"/>
    <w:rsid w:val="0028587B"/>
    <w:rsid w:val="0029340C"/>
    <w:rsid w:val="002A29E2"/>
    <w:rsid w:val="002A2DF7"/>
    <w:rsid w:val="002A4230"/>
    <w:rsid w:val="002C3F2A"/>
    <w:rsid w:val="002C604C"/>
    <w:rsid w:val="002C7506"/>
    <w:rsid w:val="002D6FEF"/>
    <w:rsid w:val="002E7B1F"/>
    <w:rsid w:val="002F1DDF"/>
    <w:rsid w:val="002F2705"/>
    <w:rsid w:val="00323C24"/>
    <w:rsid w:val="00324901"/>
    <w:rsid w:val="00347F06"/>
    <w:rsid w:val="00355563"/>
    <w:rsid w:val="003561D6"/>
    <w:rsid w:val="00387B71"/>
    <w:rsid w:val="003953DD"/>
    <w:rsid w:val="00396E8E"/>
    <w:rsid w:val="003C195A"/>
    <w:rsid w:val="003C5303"/>
    <w:rsid w:val="003D05BB"/>
    <w:rsid w:val="003E04C1"/>
    <w:rsid w:val="00400328"/>
    <w:rsid w:val="004015CC"/>
    <w:rsid w:val="00404C96"/>
    <w:rsid w:val="0040762F"/>
    <w:rsid w:val="00407851"/>
    <w:rsid w:val="00415A56"/>
    <w:rsid w:val="0042144A"/>
    <w:rsid w:val="00430BE0"/>
    <w:rsid w:val="00447E1A"/>
    <w:rsid w:val="00453E87"/>
    <w:rsid w:val="004550B4"/>
    <w:rsid w:val="004700BE"/>
    <w:rsid w:val="0048304E"/>
    <w:rsid w:val="00487054"/>
    <w:rsid w:val="00495700"/>
    <w:rsid w:val="004A12E1"/>
    <w:rsid w:val="004A26FB"/>
    <w:rsid w:val="004A4887"/>
    <w:rsid w:val="004B0975"/>
    <w:rsid w:val="004C1C72"/>
    <w:rsid w:val="004E18B6"/>
    <w:rsid w:val="004F2BB8"/>
    <w:rsid w:val="00501FE7"/>
    <w:rsid w:val="00502260"/>
    <w:rsid w:val="005029CE"/>
    <w:rsid w:val="00505A64"/>
    <w:rsid w:val="0052150D"/>
    <w:rsid w:val="005242C0"/>
    <w:rsid w:val="00541F8B"/>
    <w:rsid w:val="0054512F"/>
    <w:rsid w:val="005634AD"/>
    <w:rsid w:val="00563664"/>
    <w:rsid w:val="00592158"/>
    <w:rsid w:val="00595F90"/>
    <w:rsid w:val="005A389C"/>
    <w:rsid w:val="005C1C2C"/>
    <w:rsid w:val="005D7873"/>
    <w:rsid w:val="005F57A2"/>
    <w:rsid w:val="005F7CE5"/>
    <w:rsid w:val="00603432"/>
    <w:rsid w:val="00603736"/>
    <w:rsid w:val="006170D2"/>
    <w:rsid w:val="006371C3"/>
    <w:rsid w:val="00670DE7"/>
    <w:rsid w:val="006765B4"/>
    <w:rsid w:val="00685241"/>
    <w:rsid w:val="00691AF6"/>
    <w:rsid w:val="006D1C07"/>
    <w:rsid w:val="006D54CD"/>
    <w:rsid w:val="006D624A"/>
    <w:rsid w:val="006E4042"/>
    <w:rsid w:val="006F2AFB"/>
    <w:rsid w:val="006F62EC"/>
    <w:rsid w:val="00703057"/>
    <w:rsid w:val="0070316E"/>
    <w:rsid w:val="00704CB8"/>
    <w:rsid w:val="00711C43"/>
    <w:rsid w:val="00713D90"/>
    <w:rsid w:val="00715E37"/>
    <w:rsid w:val="0072140F"/>
    <w:rsid w:val="00721BBA"/>
    <w:rsid w:val="00726FBB"/>
    <w:rsid w:val="00731FBB"/>
    <w:rsid w:val="007403DF"/>
    <w:rsid w:val="00740929"/>
    <w:rsid w:val="007608A0"/>
    <w:rsid w:val="007660AA"/>
    <w:rsid w:val="0076745A"/>
    <w:rsid w:val="00770282"/>
    <w:rsid w:val="00774DF3"/>
    <w:rsid w:val="007943F4"/>
    <w:rsid w:val="007A4F3C"/>
    <w:rsid w:val="007D385A"/>
    <w:rsid w:val="007D4805"/>
    <w:rsid w:val="007E7374"/>
    <w:rsid w:val="007E75A4"/>
    <w:rsid w:val="007F719C"/>
    <w:rsid w:val="008004F0"/>
    <w:rsid w:val="00811FB8"/>
    <w:rsid w:val="00827F8D"/>
    <w:rsid w:val="008310E8"/>
    <w:rsid w:val="0083335E"/>
    <w:rsid w:val="00842D77"/>
    <w:rsid w:val="008579A6"/>
    <w:rsid w:val="00864399"/>
    <w:rsid w:val="008652C9"/>
    <w:rsid w:val="0086749C"/>
    <w:rsid w:val="0087353D"/>
    <w:rsid w:val="00892408"/>
    <w:rsid w:val="008B0F75"/>
    <w:rsid w:val="008B3E6C"/>
    <w:rsid w:val="008D08D6"/>
    <w:rsid w:val="008F0A82"/>
    <w:rsid w:val="00902F45"/>
    <w:rsid w:val="00904786"/>
    <w:rsid w:val="0091504D"/>
    <w:rsid w:val="00915C22"/>
    <w:rsid w:val="009250B8"/>
    <w:rsid w:val="0092730F"/>
    <w:rsid w:val="00952361"/>
    <w:rsid w:val="009609B3"/>
    <w:rsid w:val="0096145E"/>
    <w:rsid w:val="00965A2C"/>
    <w:rsid w:val="009850AC"/>
    <w:rsid w:val="00991E5B"/>
    <w:rsid w:val="00994B85"/>
    <w:rsid w:val="009A1D4C"/>
    <w:rsid w:val="009A2DDA"/>
    <w:rsid w:val="009A4ABC"/>
    <w:rsid w:val="009A56DA"/>
    <w:rsid w:val="009B29C2"/>
    <w:rsid w:val="009B3CC0"/>
    <w:rsid w:val="009B3D43"/>
    <w:rsid w:val="009B57E8"/>
    <w:rsid w:val="009B6EE1"/>
    <w:rsid w:val="009E24A8"/>
    <w:rsid w:val="009E30A5"/>
    <w:rsid w:val="00A04831"/>
    <w:rsid w:val="00A15AD1"/>
    <w:rsid w:val="00A269E4"/>
    <w:rsid w:val="00A374D3"/>
    <w:rsid w:val="00A429CF"/>
    <w:rsid w:val="00A45390"/>
    <w:rsid w:val="00A64060"/>
    <w:rsid w:val="00A6688B"/>
    <w:rsid w:val="00A72C6B"/>
    <w:rsid w:val="00A73B86"/>
    <w:rsid w:val="00A82AA6"/>
    <w:rsid w:val="00A85C0C"/>
    <w:rsid w:val="00A950F7"/>
    <w:rsid w:val="00AB2D2A"/>
    <w:rsid w:val="00AC2E57"/>
    <w:rsid w:val="00AE5F50"/>
    <w:rsid w:val="00AE7B51"/>
    <w:rsid w:val="00AE7F9E"/>
    <w:rsid w:val="00AF5D51"/>
    <w:rsid w:val="00B25EC3"/>
    <w:rsid w:val="00B26F94"/>
    <w:rsid w:val="00B37582"/>
    <w:rsid w:val="00B42818"/>
    <w:rsid w:val="00B42DA7"/>
    <w:rsid w:val="00B8061C"/>
    <w:rsid w:val="00B83CD7"/>
    <w:rsid w:val="00B86954"/>
    <w:rsid w:val="00BB1259"/>
    <w:rsid w:val="00BB35F2"/>
    <w:rsid w:val="00BC355A"/>
    <w:rsid w:val="00BC4177"/>
    <w:rsid w:val="00BD6975"/>
    <w:rsid w:val="00BF367A"/>
    <w:rsid w:val="00BF7966"/>
    <w:rsid w:val="00C07250"/>
    <w:rsid w:val="00C07E86"/>
    <w:rsid w:val="00C14BB4"/>
    <w:rsid w:val="00C26FEC"/>
    <w:rsid w:val="00C401E5"/>
    <w:rsid w:val="00C469BF"/>
    <w:rsid w:val="00C5349B"/>
    <w:rsid w:val="00C57750"/>
    <w:rsid w:val="00C60278"/>
    <w:rsid w:val="00C65D16"/>
    <w:rsid w:val="00C77F9F"/>
    <w:rsid w:val="00C949EB"/>
    <w:rsid w:val="00C95C29"/>
    <w:rsid w:val="00CA0C0B"/>
    <w:rsid w:val="00CB34F3"/>
    <w:rsid w:val="00CC4E41"/>
    <w:rsid w:val="00CD74A8"/>
    <w:rsid w:val="00D1381F"/>
    <w:rsid w:val="00D1780D"/>
    <w:rsid w:val="00D2639D"/>
    <w:rsid w:val="00D263E5"/>
    <w:rsid w:val="00D56115"/>
    <w:rsid w:val="00D719BA"/>
    <w:rsid w:val="00D82CD4"/>
    <w:rsid w:val="00D86181"/>
    <w:rsid w:val="00DA1A5B"/>
    <w:rsid w:val="00DA4FF6"/>
    <w:rsid w:val="00DB1AE9"/>
    <w:rsid w:val="00DB6902"/>
    <w:rsid w:val="00DB7CBC"/>
    <w:rsid w:val="00DC6E29"/>
    <w:rsid w:val="00DD4A06"/>
    <w:rsid w:val="00DD7BEA"/>
    <w:rsid w:val="00E01589"/>
    <w:rsid w:val="00E07718"/>
    <w:rsid w:val="00E132F2"/>
    <w:rsid w:val="00E1653A"/>
    <w:rsid w:val="00E16800"/>
    <w:rsid w:val="00E22651"/>
    <w:rsid w:val="00E25972"/>
    <w:rsid w:val="00E34275"/>
    <w:rsid w:val="00E357CB"/>
    <w:rsid w:val="00E4601B"/>
    <w:rsid w:val="00E542DC"/>
    <w:rsid w:val="00E604B8"/>
    <w:rsid w:val="00E61CC0"/>
    <w:rsid w:val="00E6280F"/>
    <w:rsid w:val="00EA6F4F"/>
    <w:rsid w:val="00EE4405"/>
    <w:rsid w:val="00EF04DC"/>
    <w:rsid w:val="00EF3C87"/>
    <w:rsid w:val="00F006A4"/>
    <w:rsid w:val="00F05EFD"/>
    <w:rsid w:val="00F10201"/>
    <w:rsid w:val="00F14DAA"/>
    <w:rsid w:val="00F15137"/>
    <w:rsid w:val="00F210EB"/>
    <w:rsid w:val="00F3076F"/>
    <w:rsid w:val="00F54E76"/>
    <w:rsid w:val="00F60862"/>
    <w:rsid w:val="00FA323F"/>
    <w:rsid w:val="00FB495C"/>
    <w:rsid w:val="00FD1D5C"/>
    <w:rsid w:val="00FE1661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79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708" w:firstLine="357"/>
      <w:jc w:val="both"/>
      <w:outlineLvl w:val="0"/>
    </w:pPr>
    <w:rPr>
      <w:sz w:val="24"/>
    </w:rPr>
  </w:style>
  <w:style w:type="paragraph" w:styleId="Nadpis20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637"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pPr>
      <w:ind w:left="993" w:hanging="356"/>
    </w:pPr>
    <w:rPr>
      <w:sz w:val="24"/>
    </w:rPr>
  </w:style>
  <w:style w:type="paragraph" w:styleId="Zkladntextodsazen2">
    <w:name w:val="Body Text Indent 2"/>
    <w:basedOn w:val="Normln"/>
    <w:semiHidden/>
    <w:pPr>
      <w:ind w:left="993" w:hanging="284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1134" w:hanging="425"/>
      <w:jc w:val="both"/>
    </w:pPr>
    <w:rPr>
      <w:sz w:val="24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sz w:val="24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5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2C9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E4042"/>
    <w:rPr>
      <w:b/>
      <w:sz w:val="32"/>
    </w:rPr>
  </w:style>
  <w:style w:type="character" w:customStyle="1" w:styleId="platne1">
    <w:name w:val="platne1"/>
    <w:basedOn w:val="Standardnpsmoodstavce"/>
    <w:rsid w:val="006E4042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07E86"/>
    <w:pPr>
      <w:ind w:left="720"/>
      <w:contextualSpacing/>
    </w:pPr>
  </w:style>
  <w:style w:type="paragraph" w:customStyle="1" w:styleId="4sltext">
    <w:name w:val="4 čísl. text"/>
    <w:basedOn w:val="Normln"/>
    <w:rsid w:val="002D6FEF"/>
    <w:pPr>
      <w:spacing w:after="120"/>
      <w:ind w:left="1134" w:hanging="1134"/>
      <w:jc w:val="both"/>
    </w:pPr>
    <w:rPr>
      <w:rFonts w:ascii="Arial" w:hAnsi="Arial"/>
      <w:sz w:val="22"/>
      <w:szCs w:val="24"/>
    </w:rPr>
  </w:style>
  <w:style w:type="character" w:styleId="Odkaznakoment">
    <w:name w:val="annotation reference"/>
    <w:basedOn w:val="Standardnpsmoodstavce"/>
    <w:semiHidden/>
    <w:rsid w:val="002D6F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6FEF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2D6FEF"/>
    <w:rPr>
      <w:rFonts w:ascii="Arial" w:hAnsi="Arial"/>
    </w:rPr>
  </w:style>
  <w:style w:type="table" w:styleId="Mkatabulky">
    <w:name w:val="Table Grid"/>
    <w:basedOn w:val="Normlntabulka"/>
    <w:uiPriority w:val="59"/>
    <w:rsid w:val="002C3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2C3F2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28F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28F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0172DC"/>
  </w:style>
  <w:style w:type="character" w:customStyle="1" w:styleId="ZpatChar">
    <w:name w:val="Zápatí Char"/>
    <w:basedOn w:val="Standardnpsmoodstavce"/>
    <w:link w:val="Zpat"/>
    <w:uiPriority w:val="99"/>
    <w:rsid w:val="000172DC"/>
  </w:style>
  <w:style w:type="paragraph" w:customStyle="1" w:styleId="Normodsaz">
    <w:name w:val="Norm.odsaz."/>
    <w:basedOn w:val="Normln"/>
    <w:rsid w:val="00400328"/>
    <w:pPr>
      <w:suppressAutoHyphens/>
      <w:ind w:left="567" w:hanging="567"/>
      <w:jc w:val="both"/>
    </w:pPr>
    <w:rPr>
      <w:sz w:val="24"/>
    </w:rPr>
  </w:style>
  <w:style w:type="paragraph" w:customStyle="1" w:styleId="Default">
    <w:name w:val="Default"/>
    <w:rsid w:val="00BB35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smlouvy">
    <w:name w:val="název smlouvy"/>
    <w:basedOn w:val="Normln"/>
    <w:rsid w:val="00827F8D"/>
    <w:pPr>
      <w:overflowPunct w:val="0"/>
      <w:autoSpaceDE w:val="0"/>
      <w:autoSpaceDN w:val="0"/>
      <w:jc w:val="center"/>
    </w:pPr>
    <w:rPr>
      <w:rFonts w:eastAsiaTheme="minorHAnsi"/>
    </w:rPr>
  </w:style>
  <w:style w:type="paragraph" w:customStyle="1" w:styleId="Textodstavce">
    <w:name w:val="Text odstavce"/>
    <w:basedOn w:val="Normln"/>
    <w:rsid w:val="00E25972"/>
    <w:pPr>
      <w:numPr>
        <w:ilvl w:val="6"/>
        <w:numId w:val="31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E25972"/>
    <w:pPr>
      <w:numPr>
        <w:ilvl w:val="8"/>
        <w:numId w:val="31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rsid w:val="00E25972"/>
    <w:pPr>
      <w:numPr>
        <w:ilvl w:val="7"/>
        <w:numId w:val="31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E25972"/>
    <w:pPr>
      <w:numPr>
        <w:ilvl w:val="1"/>
        <w:numId w:val="31"/>
      </w:numPr>
      <w:spacing w:before="240" w:after="60"/>
      <w:jc w:val="left"/>
    </w:pPr>
    <w:rPr>
      <w:b w:val="0"/>
      <w:szCs w:val="24"/>
      <w:lang w:val="fr-FR" w:eastAsia="en-US"/>
    </w:rPr>
  </w:style>
  <w:style w:type="paragraph" w:styleId="Normlnweb">
    <w:name w:val="Normal (Web)"/>
    <w:basedOn w:val="Normln"/>
    <w:uiPriority w:val="99"/>
    <w:rsid w:val="00186055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685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708" w:firstLine="357"/>
      <w:jc w:val="both"/>
      <w:outlineLvl w:val="0"/>
    </w:pPr>
    <w:rPr>
      <w:sz w:val="24"/>
    </w:rPr>
  </w:style>
  <w:style w:type="paragraph" w:styleId="Nadpis20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ind w:left="637"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pPr>
      <w:ind w:left="993" w:hanging="356"/>
    </w:pPr>
    <w:rPr>
      <w:sz w:val="24"/>
    </w:rPr>
  </w:style>
  <w:style w:type="paragraph" w:styleId="Zkladntextodsazen2">
    <w:name w:val="Body Text Indent 2"/>
    <w:basedOn w:val="Normln"/>
    <w:semiHidden/>
    <w:pPr>
      <w:ind w:left="993" w:hanging="284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1134" w:hanging="425"/>
      <w:jc w:val="both"/>
    </w:pPr>
    <w:rPr>
      <w:sz w:val="24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sz w:val="24"/>
    </w:r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52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2C9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E4042"/>
    <w:rPr>
      <w:b/>
      <w:sz w:val="32"/>
    </w:rPr>
  </w:style>
  <w:style w:type="character" w:customStyle="1" w:styleId="platne1">
    <w:name w:val="platne1"/>
    <w:basedOn w:val="Standardnpsmoodstavce"/>
    <w:rsid w:val="006E4042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C07E86"/>
    <w:pPr>
      <w:ind w:left="720"/>
      <w:contextualSpacing/>
    </w:pPr>
  </w:style>
  <w:style w:type="paragraph" w:customStyle="1" w:styleId="4sltext">
    <w:name w:val="4 čísl. text"/>
    <w:basedOn w:val="Normln"/>
    <w:rsid w:val="002D6FEF"/>
    <w:pPr>
      <w:spacing w:after="120"/>
      <w:ind w:left="1134" w:hanging="1134"/>
      <w:jc w:val="both"/>
    </w:pPr>
    <w:rPr>
      <w:rFonts w:ascii="Arial" w:hAnsi="Arial"/>
      <w:sz w:val="22"/>
      <w:szCs w:val="24"/>
    </w:rPr>
  </w:style>
  <w:style w:type="character" w:styleId="Odkaznakoment">
    <w:name w:val="annotation reference"/>
    <w:basedOn w:val="Standardnpsmoodstavce"/>
    <w:semiHidden/>
    <w:rsid w:val="002D6F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D6FEF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2D6FEF"/>
    <w:rPr>
      <w:rFonts w:ascii="Arial" w:hAnsi="Arial"/>
    </w:rPr>
  </w:style>
  <w:style w:type="table" w:styleId="Mkatabulky">
    <w:name w:val="Table Grid"/>
    <w:basedOn w:val="Normlntabulka"/>
    <w:uiPriority w:val="59"/>
    <w:rsid w:val="002C3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2C3F2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28F"/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28F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0172DC"/>
  </w:style>
  <w:style w:type="character" w:customStyle="1" w:styleId="ZpatChar">
    <w:name w:val="Zápatí Char"/>
    <w:basedOn w:val="Standardnpsmoodstavce"/>
    <w:link w:val="Zpat"/>
    <w:uiPriority w:val="99"/>
    <w:rsid w:val="000172DC"/>
  </w:style>
  <w:style w:type="paragraph" w:customStyle="1" w:styleId="Normodsaz">
    <w:name w:val="Norm.odsaz."/>
    <w:basedOn w:val="Normln"/>
    <w:rsid w:val="00400328"/>
    <w:pPr>
      <w:suppressAutoHyphens/>
      <w:ind w:left="567" w:hanging="567"/>
      <w:jc w:val="both"/>
    </w:pPr>
    <w:rPr>
      <w:sz w:val="24"/>
    </w:rPr>
  </w:style>
  <w:style w:type="paragraph" w:customStyle="1" w:styleId="Default">
    <w:name w:val="Default"/>
    <w:rsid w:val="00BB35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evsmlouvy">
    <w:name w:val="název smlouvy"/>
    <w:basedOn w:val="Normln"/>
    <w:rsid w:val="00827F8D"/>
    <w:pPr>
      <w:overflowPunct w:val="0"/>
      <w:autoSpaceDE w:val="0"/>
      <w:autoSpaceDN w:val="0"/>
      <w:jc w:val="center"/>
    </w:pPr>
    <w:rPr>
      <w:rFonts w:eastAsiaTheme="minorHAnsi"/>
    </w:rPr>
  </w:style>
  <w:style w:type="paragraph" w:customStyle="1" w:styleId="Textodstavce">
    <w:name w:val="Text odstavce"/>
    <w:basedOn w:val="Normln"/>
    <w:rsid w:val="00E25972"/>
    <w:pPr>
      <w:numPr>
        <w:ilvl w:val="6"/>
        <w:numId w:val="31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E25972"/>
    <w:pPr>
      <w:numPr>
        <w:ilvl w:val="8"/>
        <w:numId w:val="31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rsid w:val="00E25972"/>
    <w:pPr>
      <w:numPr>
        <w:ilvl w:val="7"/>
        <w:numId w:val="31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E25972"/>
    <w:pPr>
      <w:numPr>
        <w:ilvl w:val="1"/>
        <w:numId w:val="31"/>
      </w:numPr>
      <w:spacing w:before="240" w:after="60"/>
      <w:jc w:val="left"/>
    </w:pPr>
    <w:rPr>
      <w:b w:val="0"/>
      <w:szCs w:val="24"/>
      <w:lang w:val="fr-FR" w:eastAsia="en-US"/>
    </w:rPr>
  </w:style>
  <w:style w:type="paragraph" w:styleId="Normlnweb">
    <w:name w:val="Normal (Web)"/>
    <w:basedOn w:val="Normln"/>
    <w:uiPriority w:val="99"/>
    <w:rsid w:val="00186055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68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bynek.sedlak@mps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everin@pxe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veronika.mesarcova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54F4-EFEF-437F-8209-CD808D86781F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8FD584-1142-4F35-A247-6CA86F7E7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ED30DC-B01C-417C-9B89-8DB7FAD7A9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F4D7D-62C6-45CD-B7D6-DF8C36905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2230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15358</CharactersWithSpaces>
  <SharedDoc>false</SharedDoc>
  <HLinks>
    <vt:vector size="18" baseType="variant">
      <vt:variant>
        <vt:i4>6160417</vt:i4>
      </vt:variant>
      <vt:variant>
        <vt:i4>6</vt:i4>
      </vt:variant>
      <vt:variant>
        <vt:i4>0</vt:i4>
      </vt:variant>
      <vt:variant>
        <vt:i4>5</vt:i4>
      </vt:variant>
      <vt:variant>
        <vt:lpwstr>mailto:zdenka.klapalova@knightfrank.com</vt:lpwstr>
      </vt:variant>
      <vt:variant>
        <vt:lpwstr/>
      </vt:variant>
      <vt:variant>
        <vt:i4>7995419</vt:i4>
      </vt:variant>
      <vt:variant>
        <vt:i4>3</vt:i4>
      </vt:variant>
      <vt:variant>
        <vt:i4>0</vt:i4>
      </vt:variant>
      <vt:variant>
        <vt:i4>5</vt:i4>
      </vt:variant>
      <vt:variant>
        <vt:lpwstr>mailto:ehrenberger@pias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mailto:foltyn@pias.cz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Schwarz Martin</dc:creator>
  <cp:lastModifiedBy>Kalášková Hana (MPSV)</cp:lastModifiedBy>
  <cp:revision>2</cp:revision>
  <cp:lastPrinted>2016-10-18T18:10:00Z</cp:lastPrinted>
  <dcterms:created xsi:type="dcterms:W3CDTF">2016-11-07T13:21:00Z</dcterms:created>
  <dcterms:modified xsi:type="dcterms:W3CDTF">2016-11-07T13:21:00Z</dcterms:modified>
</cp:coreProperties>
</file>