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0B1B4853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A92A39">
        <w:rPr>
          <w:rFonts w:asciiTheme="minorHAnsi" w:hAnsiTheme="minorHAnsi"/>
          <w:b/>
          <w:sz w:val="28"/>
          <w:szCs w:val="28"/>
        </w:rPr>
        <w:t>00122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8B4E467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4EAB456B" w14:textId="77777777" w:rsidR="00A645FA" w:rsidRPr="00BE0522" w:rsidRDefault="00A645FA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62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FC1BF82" w14:textId="61AEB1E9" w:rsidR="00A645FA" w:rsidRDefault="002568A6" w:rsidP="00A37B6D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SH ČMS – Sbor dobrovolných hasičů </w:t>
      </w:r>
      <w:proofErr w:type="spellStart"/>
      <w:r>
        <w:rPr>
          <w:rFonts w:asciiTheme="minorHAnsi" w:hAnsiTheme="minorHAnsi"/>
          <w:sz w:val="22"/>
          <w:szCs w:val="22"/>
        </w:rPr>
        <w:t>Svítkov</w:t>
      </w:r>
      <w:proofErr w:type="spellEnd"/>
      <w:r>
        <w:rPr>
          <w:rFonts w:asciiTheme="minorHAnsi" w:hAnsiTheme="minorHAnsi"/>
          <w:sz w:val="22"/>
          <w:szCs w:val="22"/>
        </w:rPr>
        <w:t xml:space="preserve"> - Popkovice</w:t>
      </w:r>
    </w:p>
    <w:p w14:paraId="792CB864" w14:textId="019B6633"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sídlo: </w:t>
      </w:r>
      <w:r w:rsidR="002568A6">
        <w:rPr>
          <w:rFonts w:asciiTheme="minorHAnsi" w:hAnsiTheme="minorHAnsi"/>
          <w:sz w:val="22"/>
          <w:szCs w:val="22"/>
        </w:rPr>
        <w:t xml:space="preserve">Přerovská 527, 530 06 Pardubice - </w:t>
      </w:r>
      <w:proofErr w:type="spellStart"/>
      <w:r w:rsidR="002568A6">
        <w:rPr>
          <w:rFonts w:asciiTheme="minorHAnsi" w:hAnsiTheme="minorHAnsi"/>
          <w:sz w:val="22"/>
          <w:szCs w:val="22"/>
        </w:rPr>
        <w:t>Svítkov</w:t>
      </w:r>
      <w:proofErr w:type="spellEnd"/>
    </w:p>
    <w:p w14:paraId="792CB865" w14:textId="38CFD0A5" w:rsidR="00EB5E74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IČ: </w:t>
      </w:r>
      <w:r w:rsidR="002568A6">
        <w:rPr>
          <w:rFonts w:asciiTheme="minorHAnsi" w:hAnsiTheme="minorHAnsi"/>
          <w:sz w:val="22"/>
          <w:szCs w:val="22"/>
        </w:rPr>
        <w:t>1465741</w:t>
      </w:r>
    </w:p>
    <w:p w14:paraId="792CB866" w14:textId="2C0C7039"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bankovní spojení: </w:t>
      </w:r>
      <w:r w:rsidR="002568A6">
        <w:rPr>
          <w:rFonts w:asciiTheme="minorHAnsi" w:hAnsiTheme="minorHAnsi"/>
          <w:sz w:val="22"/>
          <w:szCs w:val="22"/>
        </w:rPr>
        <w:t>7483969001/5500</w:t>
      </w:r>
    </w:p>
    <w:p w14:paraId="792CB867" w14:textId="78D87990"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>zastoupen</w:t>
      </w:r>
      <w:r w:rsidR="00A45D51">
        <w:rPr>
          <w:rFonts w:asciiTheme="minorHAnsi" w:hAnsiTheme="minorHAnsi"/>
          <w:sz w:val="22"/>
          <w:szCs w:val="22"/>
        </w:rPr>
        <w:t>á</w:t>
      </w:r>
      <w:r w:rsidRPr="00515D12">
        <w:rPr>
          <w:rFonts w:asciiTheme="minorHAnsi" w:hAnsiTheme="minorHAnsi"/>
          <w:sz w:val="22"/>
          <w:szCs w:val="22"/>
        </w:rPr>
        <w:t>:</w:t>
      </w:r>
      <w:r w:rsidR="00A45D51">
        <w:rPr>
          <w:rFonts w:asciiTheme="minorHAnsi" w:hAnsiTheme="minorHAnsi"/>
          <w:sz w:val="22"/>
          <w:szCs w:val="22"/>
        </w:rPr>
        <w:t xml:space="preserve"> </w:t>
      </w:r>
      <w:r w:rsidR="002568A6">
        <w:rPr>
          <w:rFonts w:asciiTheme="minorHAnsi" w:hAnsiTheme="minorHAnsi"/>
          <w:sz w:val="22"/>
          <w:szCs w:val="22"/>
        </w:rPr>
        <w:t>Jiřím Chmelíkem</w:t>
      </w:r>
      <w:r w:rsidR="00177B9D">
        <w:rPr>
          <w:rFonts w:asciiTheme="minorHAnsi" w:hAnsiTheme="minorHAnsi"/>
          <w:sz w:val="22"/>
          <w:szCs w:val="22"/>
        </w:rPr>
        <w:t xml:space="preserve">, </w:t>
      </w:r>
      <w:r w:rsidR="007947B1">
        <w:rPr>
          <w:rFonts w:asciiTheme="minorHAnsi" w:hAnsiTheme="minorHAnsi"/>
          <w:sz w:val="22"/>
          <w:szCs w:val="22"/>
        </w:rPr>
        <w:t>statutárním zástupce</w:t>
      </w:r>
      <w:r w:rsidR="00A45D51">
        <w:rPr>
          <w:rFonts w:asciiTheme="minorHAnsi" w:hAnsiTheme="minorHAnsi"/>
          <w:sz w:val="22"/>
          <w:szCs w:val="22"/>
        </w:rPr>
        <w:t>m</w:t>
      </w:r>
    </w:p>
    <w:p w14:paraId="792CB868" w14:textId="77777777"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6BD7B06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BB3E48">
        <w:rPr>
          <w:rFonts w:asciiTheme="minorHAnsi" w:hAnsiTheme="minorHAnsi"/>
          <w:sz w:val="22"/>
          <w:szCs w:val="22"/>
        </w:rPr>
        <w:t xml:space="preserve">Programu prevence kriminality a zvyšování bezpečnosti pro rok 2018 schválená Radou města Pardubice na schůzi dne </w:t>
      </w:r>
      <w:proofErr w:type="gramStart"/>
      <w:r w:rsidR="00BB3E48">
        <w:rPr>
          <w:rFonts w:asciiTheme="minorHAnsi" w:hAnsiTheme="minorHAnsi"/>
          <w:sz w:val="22"/>
          <w:szCs w:val="22"/>
        </w:rPr>
        <w:t>11.12.2017</w:t>
      </w:r>
      <w:proofErr w:type="gramEnd"/>
      <w:r w:rsidR="00BB3E48">
        <w:rPr>
          <w:rFonts w:asciiTheme="minorHAnsi" w:hAnsiTheme="minorHAnsi"/>
          <w:sz w:val="22"/>
          <w:szCs w:val="22"/>
        </w:rPr>
        <w:t xml:space="preserve"> usnesením č. R/7006/2017 (dále jen „Pravidla“)</w:t>
      </w:r>
      <w:r>
        <w:rPr>
          <w:rFonts w:asciiTheme="minorHAnsi" w:hAnsiTheme="minorHAnsi"/>
          <w:sz w:val="22"/>
          <w:szCs w:val="22"/>
        </w:rPr>
        <w:t xml:space="preserve">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2C7695AB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 xml:space="preserve"> Programu </w:t>
      </w:r>
      <w:r w:rsidR="000C2D83">
        <w:rPr>
          <w:rFonts w:asciiTheme="minorHAnsi" w:hAnsiTheme="minorHAnsi"/>
          <w:sz w:val="22"/>
          <w:szCs w:val="22"/>
        </w:rPr>
        <w:t xml:space="preserve">prevence kriminality a zvyšování bezpečnosti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2568A6">
        <w:rPr>
          <w:rFonts w:asciiTheme="minorHAnsi" w:hAnsiTheme="minorHAnsi"/>
          <w:b/>
          <w:sz w:val="22"/>
          <w:szCs w:val="22"/>
        </w:rPr>
        <w:t>55 2</w:t>
      </w:r>
      <w:r w:rsidR="00A9054C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772A39" w:rsidRPr="00BC41E3">
        <w:rPr>
          <w:rFonts w:asciiTheme="minorHAnsi" w:hAnsiTheme="minorHAnsi"/>
          <w:b/>
          <w:sz w:val="22"/>
          <w:szCs w:val="22"/>
        </w:rPr>
        <w:t>00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568A6">
        <w:rPr>
          <w:rFonts w:asciiTheme="minorHAnsi" w:hAnsiTheme="minorHAnsi"/>
          <w:b/>
          <w:sz w:val="22"/>
          <w:szCs w:val="22"/>
        </w:rPr>
        <w:t>Padesátpěttisícdvěstě</w:t>
      </w:r>
      <w:r w:rsidR="00243D9C">
        <w:rPr>
          <w:rFonts w:asciiTheme="minorHAnsi" w:hAnsiTheme="minorHAnsi"/>
          <w:b/>
          <w:sz w:val="22"/>
          <w:szCs w:val="22"/>
        </w:rPr>
        <w:t>korunčeských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2568A6">
        <w:rPr>
          <w:rFonts w:asciiTheme="minorHAnsi" w:hAnsiTheme="minorHAnsi"/>
          <w:b/>
          <w:sz w:val="22"/>
          <w:szCs w:val="22"/>
        </w:rPr>
        <w:t>Doplnění prostředků požární ochrany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62FC431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610AF989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3200B9">
        <w:rPr>
          <w:rFonts w:asciiTheme="minorHAnsi" w:hAnsiTheme="minorHAnsi"/>
          <w:sz w:val="22"/>
          <w:szCs w:val="22"/>
        </w:rPr>
        <w:t>3</w:t>
      </w:r>
      <w:r w:rsidR="004A4E20">
        <w:rPr>
          <w:rFonts w:asciiTheme="minorHAnsi" w:hAnsiTheme="minorHAnsi"/>
          <w:sz w:val="22"/>
          <w:szCs w:val="22"/>
        </w:rPr>
        <w:t>1</w:t>
      </w:r>
      <w:r w:rsidR="003200B9">
        <w:rPr>
          <w:rFonts w:asciiTheme="minorHAnsi" w:hAnsiTheme="minorHAnsi"/>
          <w:sz w:val="22"/>
          <w:szCs w:val="22"/>
        </w:rPr>
        <w:t>.</w:t>
      </w:r>
      <w:r w:rsidR="00A9054C">
        <w:rPr>
          <w:rFonts w:asciiTheme="minorHAnsi" w:hAnsiTheme="minorHAnsi"/>
          <w:sz w:val="22"/>
          <w:szCs w:val="22"/>
        </w:rPr>
        <w:t xml:space="preserve"> </w:t>
      </w:r>
      <w:r w:rsidR="004A4E20">
        <w:rPr>
          <w:rFonts w:asciiTheme="minorHAnsi" w:hAnsiTheme="minorHAnsi"/>
          <w:sz w:val="22"/>
          <w:szCs w:val="22"/>
        </w:rPr>
        <w:t>12</w:t>
      </w:r>
      <w:r w:rsidR="003200B9">
        <w:rPr>
          <w:rFonts w:asciiTheme="minorHAnsi" w:hAnsiTheme="minorHAnsi"/>
          <w:sz w:val="22"/>
          <w:szCs w:val="22"/>
        </w:rPr>
        <w:t>.</w:t>
      </w:r>
      <w:r w:rsidR="00A9054C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>201</w:t>
      </w:r>
      <w:r w:rsidR="004A4E20">
        <w:rPr>
          <w:rFonts w:asciiTheme="minorHAnsi" w:hAnsiTheme="minorHAnsi"/>
          <w:sz w:val="22"/>
          <w:szCs w:val="22"/>
        </w:rPr>
        <w:t>8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2479A00C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A9054C">
        <w:rPr>
          <w:rFonts w:asciiTheme="minorHAnsi" w:hAnsiTheme="minorHAnsi"/>
          <w:sz w:val="22"/>
          <w:szCs w:val="22"/>
        </w:rPr>
        <w:t>2</w:t>
      </w:r>
      <w:r w:rsidR="002568A6">
        <w:rPr>
          <w:rFonts w:asciiTheme="minorHAnsi" w:hAnsiTheme="minorHAnsi"/>
          <w:sz w:val="22"/>
          <w:szCs w:val="22"/>
        </w:rPr>
        <w:t>3</w:t>
      </w:r>
      <w:r w:rsidR="00A9054C">
        <w:rPr>
          <w:rFonts w:asciiTheme="minorHAnsi" w:hAnsiTheme="minorHAnsi"/>
          <w:sz w:val="22"/>
          <w:szCs w:val="22"/>
        </w:rPr>
        <w:t>.02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A37B6D">
        <w:rPr>
          <w:rFonts w:asciiTheme="minorHAnsi" w:hAnsiTheme="minorHAnsi"/>
          <w:sz w:val="22"/>
          <w:szCs w:val="22"/>
        </w:rPr>
        <w:t>14</w:t>
      </w:r>
      <w:r w:rsidR="002568A6">
        <w:rPr>
          <w:rFonts w:asciiTheme="minorHAnsi" w:hAnsiTheme="minorHAnsi"/>
          <w:sz w:val="22"/>
          <w:szCs w:val="22"/>
        </w:rPr>
        <w:t>002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3703315C" w:rsidR="000A0147" w:rsidRPr="00331DF2" w:rsidRDefault="00331DF2" w:rsidP="00331D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331DF2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odděleně, a to v souladu se zákonem č. 563/1991 Sb., o účetnictví, ve znění pozdějších předpisů (tj. zejména vést účetnictví správné, úplné, průkazné, srozumitelné, přehledné a způsobem zaručujícím trvalost účetních záznamů) a prokázat řádnými účetními doklady celkové skutečně vynaložené náklady na daný účel. </w:t>
      </w:r>
      <w:r w:rsidRPr="00331DF2">
        <w:rPr>
          <w:rFonts w:asciiTheme="minorHAnsi" w:hAnsi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331DF2">
        <w:rPr>
          <w:rFonts w:asciiTheme="minorHAnsi" w:hAnsiTheme="minorHAnsi"/>
          <w:sz w:val="22"/>
          <w:szCs w:val="22"/>
        </w:rPr>
        <w:t xml:space="preserve">, </w:t>
      </w:r>
    </w:p>
    <w:p w14:paraId="792CB88F" w14:textId="215E87C7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4A4E20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</w:t>
      </w:r>
      <w:r w:rsidR="004A4E20">
        <w:rPr>
          <w:rFonts w:ascii="Calibri" w:hAnsi="Calibri"/>
          <w:b/>
          <w:sz w:val="22"/>
          <w:szCs w:val="22"/>
        </w:rPr>
        <w:t>1</w:t>
      </w:r>
      <w:r w:rsidR="003200B9">
        <w:rPr>
          <w:rFonts w:ascii="Calibri" w:hAnsi="Calibri"/>
          <w:b/>
          <w:sz w:val="22"/>
          <w:szCs w:val="22"/>
        </w:rPr>
        <w:t>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0497418B" w:rsidR="000A0147" w:rsidRPr="00331DF2" w:rsidRDefault="00331DF2" w:rsidP="00331D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331DF2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 poskytovatele (např. uvedení nápisu: Financováno z dotace statutárního města Pardubice (</w:t>
      </w:r>
      <w:proofErr w:type="spellStart"/>
      <w:r w:rsidRPr="00331DF2">
        <w:rPr>
          <w:rFonts w:asciiTheme="minorHAnsi" w:hAnsiTheme="minorHAnsi"/>
          <w:sz w:val="22"/>
          <w:szCs w:val="22"/>
        </w:rPr>
        <w:t>SmP</w:t>
      </w:r>
      <w:proofErr w:type="spellEnd"/>
      <w:r w:rsidRPr="00331DF2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331DF2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39BA2978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3D61B4E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</w:t>
      </w:r>
      <w:r w:rsidR="004A4E20">
        <w:rPr>
          <w:rFonts w:asciiTheme="minorHAnsi" w:hAnsiTheme="minorHAnsi"/>
          <w:b/>
          <w:sz w:val="22"/>
          <w:szCs w:val="22"/>
        </w:rPr>
        <w:t>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4A4E20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4A4E20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36C4520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</w:t>
      </w:r>
      <w:r w:rsidR="004A4E20">
        <w:rPr>
          <w:rFonts w:asciiTheme="minorHAnsi" w:hAnsiTheme="minorHAnsi"/>
          <w:b/>
          <w:sz w:val="22"/>
          <w:szCs w:val="22"/>
        </w:rPr>
        <w:t>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4A4E20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4A4E20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4664AA96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</w:t>
      </w:r>
      <w:r w:rsidR="004A4E20">
        <w:rPr>
          <w:rFonts w:asciiTheme="minorHAnsi" w:hAnsiTheme="minorHAnsi"/>
          <w:b/>
          <w:sz w:val="22"/>
          <w:szCs w:val="22"/>
        </w:rPr>
        <w:t>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4A4E20">
        <w:rPr>
          <w:rFonts w:asciiTheme="minorHAnsi" w:hAnsiTheme="minorHAnsi"/>
          <w:b/>
          <w:sz w:val="22"/>
          <w:szCs w:val="22"/>
        </w:rPr>
        <w:t>12</w:t>
      </w:r>
      <w:r w:rsidR="00A37B6D">
        <w:rPr>
          <w:rFonts w:asciiTheme="minorHAnsi" w:hAnsiTheme="minorHAnsi"/>
          <w:b/>
          <w:sz w:val="22"/>
          <w:szCs w:val="22"/>
        </w:rPr>
        <w:t>.</w:t>
      </w:r>
      <w:r w:rsidR="003200B9">
        <w:rPr>
          <w:rFonts w:asciiTheme="minorHAnsi" w:hAnsiTheme="minorHAnsi"/>
          <w:b/>
          <w:sz w:val="22"/>
          <w:szCs w:val="22"/>
        </w:rPr>
        <w:t>201</w:t>
      </w:r>
      <w:r w:rsidR="004A4E20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5E62968" w14:textId="77777777" w:rsidR="008D4B97" w:rsidRPr="008D4B97" w:rsidRDefault="000A0147" w:rsidP="008D4B9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  <w:r w:rsidR="008D4B97" w:rsidRPr="008D4B97">
        <w:rPr>
          <w:rFonts w:asciiTheme="minorHAnsi" w:hAnsiTheme="minorHAnsi"/>
          <w:sz w:val="22"/>
          <w:szCs w:val="22"/>
        </w:rPr>
        <w:t xml:space="preserve"> </w:t>
      </w:r>
    </w:p>
    <w:p w14:paraId="792CB8BC" w14:textId="049DC924" w:rsidR="000A0147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E" w14:textId="15283B0D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6050AE03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7646F26" w14:textId="77777777" w:rsidR="00783D93" w:rsidRDefault="00783D93" w:rsidP="00783D93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3C9ED68" w14:textId="77777777" w:rsidR="00783D93" w:rsidRDefault="00783D93" w:rsidP="00783D9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D2D544F" w14:textId="7F156B7F" w:rsidR="00BC3DF4" w:rsidRPr="00BC3DF4" w:rsidRDefault="000A0147" w:rsidP="002E7761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182CC0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625C065A" w:rsidR="000A0147" w:rsidRPr="00FA2CBA" w:rsidRDefault="00135A6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Výjimky z ustanovení odst. 2</w:t>
      </w:r>
      <w:r w:rsidR="00783D93" w:rsidRPr="00783D93">
        <w:rPr>
          <w:rFonts w:asciiTheme="minorHAnsi" w:hAnsiTheme="minorHAnsi"/>
          <w:sz w:val="22"/>
          <w:szCs w:val="22"/>
        </w:rPr>
        <w:t xml:space="preserve">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08C051FA" w14:textId="77777777" w:rsidR="00783D93" w:rsidRPr="00783D93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783D93">
        <w:rPr>
          <w:rFonts w:ascii="Calibri" w:hAnsi="Calibri"/>
          <w:sz w:val="22"/>
          <w:szCs w:val="22"/>
        </w:rPr>
        <w:t>,</w:t>
      </w:r>
    </w:p>
    <w:p w14:paraId="702C176E" w14:textId="77777777" w:rsidR="00783D93" w:rsidRPr="00783D93" w:rsidRDefault="00783D93" w:rsidP="00783D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783D93">
        <w:rPr>
          <w:rFonts w:ascii="Calibri" w:hAnsi="Calibri"/>
          <w:sz w:val="22"/>
          <w:szCs w:val="22"/>
        </w:rPr>
        <w:t>porušení povinnosti uvedené v čl. VI. odst. 1 písm. f) této smlouvy; v tomto případě činí odvod za porušení rozpočtové kázně 10 % z poskytnuté dotace,</w:t>
      </w:r>
    </w:p>
    <w:p w14:paraId="668BC567" w14:textId="77777777" w:rsidR="00783D93" w:rsidRPr="00783D93" w:rsidRDefault="00783D93" w:rsidP="00783D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783D93">
        <w:rPr>
          <w:rFonts w:ascii="Calibri" w:hAnsi="Calibri"/>
          <w:sz w:val="22"/>
          <w:szCs w:val="22"/>
        </w:rPr>
        <w:t>porušení povinnosti uvedené v čl. VI. odst. 1 písm. l) této smlouvy; v tomto případě činí odvod za porušení rozpočtové kázně 10 % z poskytnuté dotace.</w:t>
      </w:r>
    </w:p>
    <w:p w14:paraId="792CB8C8" w14:textId="77777777" w:rsidR="000A0147" w:rsidRDefault="000A0147" w:rsidP="00783D93">
      <w:pPr>
        <w:ind w:left="717"/>
        <w:rPr>
          <w:rFonts w:asciiTheme="minorHAnsi" w:hAnsiTheme="minorHAnsi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1814F3E3" w14:textId="77777777" w:rsidR="006E5239" w:rsidRDefault="006E5239" w:rsidP="004772D9">
      <w:pPr>
        <w:keepLines/>
        <w:rPr>
          <w:rFonts w:asciiTheme="minorHAnsi" w:hAnsiTheme="minorHAnsi"/>
          <w:b/>
        </w:rPr>
      </w:pPr>
    </w:p>
    <w:p w14:paraId="0A52B98A" w14:textId="77777777" w:rsidR="005E073E" w:rsidRDefault="005E073E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CE" w14:textId="22A4A898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lastRenderedPageBreak/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1A27EDE3" w:rsidR="00AC05DE" w:rsidRPr="002F0776" w:rsidRDefault="00AC05DE" w:rsidP="002E776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berou na vědomí, že nebude-li smlouva zveřejněna ani </w:t>
      </w:r>
      <w:r w:rsidR="00146B77">
        <w:rPr>
          <w:rFonts w:ascii="Calibri" w:hAnsi="Calibri"/>
          <w:sz w:val="22"/>
          <w:szCs w:val="22"/>
        </w:rPr>
        <w:t xml:space="preserve">do tří měsíců </w:t>
      </w:r>
      <w:r w:rsidRPr="002F0776">
        <w:rPr>
          <w:rFonts w:ascii="Calibri" w:hAnsi="Calibri"/>
          <w:sz w:val="22"/>
          <w:szCs w:val="22"/>
        </w:rPr>
        <w:t>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2E776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4C565A27" w14:textId="0195F970" w:rsidR="00F63C56" w:rsidRPr="00182CC0" w:rsidRDefault="00F63C56" w:rsidP="00182CC0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82CC0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27CD6BCD" w14:textId="77777777" w:rsidR="00F63C56" w:rsidRPr="00F63C56" w:rsidRDefault="00F63C56" w:rsidP="00F63C56">
      <w:pPr>
        <w:ind w:left="360"/>
        <w:jc w:val="both"/>
        <w:rPr>
          <w:rFonts w:ascii="Calibri" w:hAnsi="Calibri"/>
          <w:sz w:val="22"/>
          <w:szCs w:val="22"/>
        </w:rPr>
      </w:pPr>
    </w:p>
    <w:p w14:paraId="26674A57" w14:textId="5E710CCF" w:rsidR="00F63C56" w:rsidRPr="00F63C56" w:rsidRDefault="00F63C56" w:rsidP="00F63C56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F63C56">
        <w:rPr>
          <w:rFonts w:ascii="Calibri" w:hAnsi="Calibri"/>
          <w:sz w:val="22"/>
          <w:szCs w:val="22"/>
        </w:rPr>
        <w:t>V souladu se zněním předchozího odstavce platí, že pro případ, kdy by smlouva obsahovala osobní údaje, které nejsou zahrnuty ve výše uvedeném výčtu</w:t>
      </w:r>
      <w:r>
        <w:rPr>
          <w:rFonts w:ascii="Calibri" w:hAnsi="Calibri"/>
          <w:sz w:val="22"/>
          <w:szCs w:val="22"/>
        </w:rPr>
        <w:t>,</w:t>
      </w:r>
      <w:r w:rsidRPr="00F63C56">
        <w:rPr>
          <w:rFonts w:ascii="Calibri" w:hAnsi="Calibri"/>
          <w:sz w:val="22"/>
          <w:szCs w:val="22"/>
        </w:rPr>
        <w:t xml:space="preserve"> a které zároveň nepodléhají uveřejnění dle příslušných právních předpisů, příjemce uděluje svůj souhlas se zpracováním těchto údajů, konkrétně s jejich zveřejněním v registru smluv ve smyslu zákona o registru smluv. Souhlas se uděluje na dobu neurčitou a je poskytnut dobrovolně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2E776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2E776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2E7761">
      <w:pPr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C7EF17E" w:rsidR="00AC05DE" w:rsidRDefault="00AC05DE" w:rsidP="002E7761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B342A5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</w:t>
      </w:r>
      <w:r w:rsidR="00B342A5">
        <w:rPr>
          <w:rFonts w:asciiTheme="minorHAnsi" w:hAnsiTheme="minorHAnsi"/>
          <w:sz w:val="22"/>
          <w:szCs w:val="22"/>
        </w:rPr>
        <w:t>každá ze smluvních stran</w:t>
      </w:r>
      <w:r w:rsidRPr="00515D12">
        <w:rPr>
          <w:rFonts w:asciiTheme="minorHAnsi" w:hAnsiTheme="minorHAnsi"/>
          <w:sz w:val="22"/>
          <w:szCs w:val="22"/>
        </w:rPr>
        <w:t xml:space="preserve"> obdrží </w:t>
      </w:r>
      <w:r w:rsidR="00B342A5">
        <w:rPr>
          <w:rFonts w:asciiTheme="minorHAnsi" w:hAnsiTheme="minorHAnsi"/>
          <w:sz w:val="22"/>
          <w:szCs w:val="22"/>
        </w:rPr>
        <w:t xml:space="preserve">po jednom </w:t>
      </w:r>
      <w:r w:rsidRPr="00515D12">
        <w:rPr>
          <w:rFonts w:asciiTheme="minorHAnsi" w:hAnsiTheme="minorHAnsi"/>
          <w:sz w:val="22"/>
          <w:szCs w:val="22"/>
        </w:rPr>
        <w:t xml:space="preserve"> v</w:t>
      </w:r>
      <w:r w:rsidR="00B342A5">
        <w:rPr>
          <w:rFonts w:asciiTheme="minorHAnsi" w:hAnsiTheme="minorHAnsi"/>
          <w:sz w:val="22"/>
          <w:szCs w:val="22"/>
        </w:rPr>
        <w:t>yhotovení</w:t>
      </w:r>
      <w:r w:rsidRPr="00515D12">
        <w:rPr>
          <w:rFonts w:asciiTheme="minorHAnsi" w:hAnsiTheme="minorHAnsi"/>
          <w:sz w:val="22"/>
          <w:szCs w:val="22"/>
        </w:rPr>
        <w:t>.</w:t>
      </w:r>
    </w:p>
    <w:p w14:paraId="79B3A852" w14:textId="77777777" w:rsidR="00A37B6D" w:rsidRDefault="00A37B6D" w:rsidP="00A37B6D">
      <w:pPr>
        <w:pStyle w:val="Odstavecseseznamem"/>
        <w:rPr>
          <w:rFonts w:asciiTheme="minorHAnsi" w:hAnsiTheme="minorHAnsi"/>
          <w:sz w:val="22"/>
          <w:szCs w:val="22"/>
        </w:rPr>
      </w:pPr>
    </w:p>
    <w:p w14:paraId="2D037BDD" w14:textId="77777777" w:rsidR="00A37B6D" w:rsidRDefault="00A37B6D" w:rsidP="00A37B6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E6" w14:textId="1B303153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088AFB02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56CC3964" w14:textId="77777777" w:rsidR="004A4E20" w:rsidRDefault="004A4E20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2DBAECE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1F5277">
        <w:rPr>
          <w:rFonts w:asciiTheme="minorHAnsi" w:hAnsiTheme="minorHAnsi"/>
          <w:sz w:val="22"/>
          <w:szCs w:val="22"/>
        </w:rPr>
        <w:t>18.05.2018</w:t>
      </w:r>
      <w:bookmarkStart w:id="0" w:name="_GoBack"/>
      <w:bookmarkEnd w:id="0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E3CE875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2568A6">
        <w:rPr>
          <w:rFonts w:asciiTheme="minorHAnsi" w:hAnsiTheme="minorHAnsi"/>
          <w:sz w:val="22"/>
          <w:szCs w:val="22"/>
        </w:rPr>
        <w:t>Jiří Chmelík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0ABC447F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AC05DE">
        <w:rPr>
          <w:rFonts w:asciiTheme="minorHAnsi" w:hAnsiTheme="minorHAnsi"/>
          <w:sz w:val="20"/>
          <w:szCs w:val="20"/>
        </w:rPr>
        <w:t>Z/</w:t>
      </w:r>
      <w:r w:rsidR="00A92A39">
        <w:rPr>
          <w:rFonts w:asciiTheme="minorHAnsi" w:hAnsiTheme="minorHAnsi"/>
          <w:sz w:val="20"/>
          <w:szCs w:val="20"/>
        </w:rPr>
        <w:t>2574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A37B6D">
        <w:rPr>
          <w:rFonts w:asciiTheme="minorHAnsi" w:hAnsiTheme="minorHAnsi"/>
          <w:sz w:val="20"/>
          <w:szCs w:val="20"/>
        </w:rPr>
        <w:t>26.04.2018</w:t>
      </w:r>
      <w:proofErr w:type="gramEnd"/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303B51C6" w:rsidR="00567AFD" w:rsidRDefault="00A37B6D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Michaela Stránská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92CB902" w14:textId="5C94719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45D68333" w14:textId="51741118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6CC0B030" w14:textId="373425E9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669F3AE0" w14:textId="05A29E69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4AA3DF5C" w14:textId="0BBCB5A0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61906F80" w14:textId="7D125A10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44160C7A" w14:textId="1CE9771E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438B88B9" w14:textId="5B08FE57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03124758" w14:textId="6F47B87B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2D7D4BC3" w14:textId="3AD032CF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603A072A" w14:textId="2D31B98A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67A7B075" w14:textId="272963BA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E3ADA2" w14:textId="2E89229A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5E01466F" w14:textId="71F7FE04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51D8DCA8" w14:textId="079606F4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21958407" w14:textId="7FF6BBA8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378A284C" w14:textId="4A38C6A6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F299C60" w14:textId="7A61196A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A18F22A" w14:textId="2A0F1C70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20C2ACD0" w14:textId="676C5CE9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43353D12" w14:textId="6C74C0FD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561CA7DD" w14:textId="2460B02A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2C52FDCC" w14:textId="06DF39FA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3CBFEE82" w14:textId="2A2DBE08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37DFF35A" w14:textId="2587913F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5CDBF7A6" w14:textId="7DB88C5E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2BEDF606" w14:textId="63041207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2E348C2F" w14:textId="30F2A14B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67229941" w14:textId="355E38BE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AB39A9A" w14:textId="573EEE05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243E1B32" w14:textId="7DA61DC9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68D192F1" w14:textId="57AD351E" w:rsidR="00BB3E48" w:rsidRDefault="00BB3E48" w:rsidP="005629B3">
      <w:pPr>
        <w:jc w:val="both"/>
        <w:rPr>
          <w:rFonts w:asciiTheme="minorHAnsi" w:hAnsiTheme="minorHAnsi"/>
          <w:sz w:val="20"/>
          <w:szCs w:val="20"/>
        </w:rPr>
      </w:pPr>
    </w:p>
    <w:p w14:paraId="2ADBA547" w14:textId="4760656A" w:rsidR="00723F06" w:rsidRDefault="00723F06" w:rsidP="005629B3">
      <w:pPr>
        <w:jc w:val="both"/>
        <w:rPr>
          <w:rFonts w:asciiTheme="minorHAnsi" w:hAnsiTheme="minorHAnsi"/>
          <w:sz w:val="20"/>
          <w:szCs w:val="20"/>
        </w:rPr>
      </w:pPr>
    </w:p>
    <w:p w14:paraId="581F7E6E" w14:textId="4B422384" w:rsidR="00723F06" w:rsidRDefault="00723F06" w:rsidP="005629B3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5"/>
        <w:gridCol w:w="2519"/>
        <w:gridCol w:w="2722"/>
      </w:tblGrid>
      <w:tr w:rsidR="00723F06" w:rsidRPr="00723F06" w14:paraId="5EEDC053" w14:textId="77777777" w:rsidTr="00723F06">
        <w:trPr>
          <w:trHeight w:val="285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70D5" w14:textId="77777777" w:rsidR="00723F06" w:rsidRPr="00723F06" w:rsidRDefault="00723F06" w:rsidP="00723F06">
            <w:pPr>
              <w:rPr>
                <w:sz w:val="20"/>
                <w:szCs w:val="2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6FD3" w14:textId="0A967C97" w:rsidR="00723F06" w:rsidRPr="00723F06" w:rsidRDefault="00723F06" w:rsidP="00723F06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723F06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                  </w:t>
            </w:r>
            <w:r w:rsidRPr="00723F06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Příloha č. 1 k žádosti - ROZPOČET </w:t>
            </w:r>
          </w:p>
        </w:tc>
      </w:tr>
      <w:tr w:rsidR="00723F06" w:rsidRPr="00723F06" w14:paraId="2D3BF6DA" w14:textId="77777777" w:rsidTr="00723F06">
        <w:trPr>
          <w:trHeight w:val="405"/>
        </w:trPr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25B7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723F06">
              <w:rPr>
                <w:rFonts w:ascii="Calibri" w:hAnsi="Calibri" w:cs="Arial"/>
                <w:b/>
                <w:bCs/>
                <w:sz w:val="28"/>
                <w:szCs w:val="28"/>
              </w:rPr>
              <w:t>Prevence kriminality a zvyšování bezpečnosti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B719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723F06" w:rsidRPr="00723F06" w14:paraId="4220FB12" w14:textId="77777777" w:rsidTr="00723F06">
        <w:trPr>
          <w:trHeight w:val="390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C895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</w:rPr>
            </w:pPr>
            <w:r w:rsidRPr="00723F06">
              <w:rPr>
                <w:rFonts w:ascii="Calibri" w:hAnsi="Calibri" w:cs="Arial"/>
                <w:b/>
                <w:bCs/>
              </w:rPr>
              <w:t>Dotační titul: Prevence požární ochrany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EF99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709D" w14:textId="77777777" w:rsidR="00723F06" w:rsidRPr="00723F06" w:rsidRDefault="00723F06" w:rsidP="00723F06">
            <w:pPr>
              <w:jc w:val="center"/>
              <w:rPr>
                <w:sz w:val="20"/>
                <w:szCs w:val="20"/>
              </w:rPr>
            </w:pPr>
          </w:p>
        </w:tc>
      </w:tr>
      <w:tr w:rsidR="00723F06" w:rsidRPr="00723F06" w14:paraId="1EE264F9" w14:textId="77777777" w:rsidTr="00723F06">
        <w:trPr>
          <w:trHeight w:val="402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B8AF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</w:rPr>
            </w:pPr>
            <w:r w:rsidRPr="00723F06">
              <w:rPr>
                <w:rFonts w:ascii="Calibri" w:hAnsi="Calibri" w:cs="Arial"/>
                <w:b/>
                <w:bCs/>
              </w:rPr>
              <w:t>Žadatel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CE91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723F0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SH ČMS – Sbor dobrovolných hasičů </w:t>
            </w:r>
            <w:proofErr w:type="spellStart"/>
            <w:r w:rsidRPr="00723F06">
              <w:rPr>
                <w:rFonts w:ascii="Calibri" w:hAnsi="Calibri" w:cs="Arial"/>
                <w:b/>
                <w:bCs/>
                <w:sz w:val="28"/>
                <w:szCs w:val="28"/>
              </w:rPr>
              <w:t>Svítkov</w:t>
            </w:r>
            <w:proofErr w:type="spellEnd"/>
            <w:r w:rsidRPr="00723F06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- Popkovice</w:t>
            </w:r>
          </w:p>
        </w:tc>
      </w:tr>
      <w:tr w:rsidR="00723F06" w:rsidRPr="00723F06" w14:paraId="5A8D413F" w14:textId="77777777" w:rsidTr="00723F06">
        <w:trPr>
          <w:trHeight w:val="402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6531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</w:rPr>
            </w:pPr>
            <w:r w:rsidRPr="00723F06">
              <w:rPr>
                <w:rFonts w:ascii="Calibri" w:hAnsi="Calibri" w:cs="Arial"/>
                <w:b/>
                <w:bCs/>
              </w:rPr>
              <w:t>Název projektu</w:t>
            </w:r>
          </w:p>
        </w:tc>
        <w:tc>
          <w:tcPr>
            <w:tcW w:w="52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F069A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723F06">
              <w:rPr>
                <w:rFonts w:ascii="Calibri" w:hAnsi="Calibri" w:cs="Arial"/>
                <w:b/>
                <w:bCs/>
                <w:sz w:val="28"/>
                <w:szCs w:val="28"/>
              </w:rPr>
              <w:t>Doplnění prostředků požární ochrany</w:t>
            </w:r>
          </w:p>
        </w:tc>
      </w:tr>
      <w:tr w:rsidR="00723F06" w:rsidRPr="00723F06" w14:paraId="1C5B73FD" w14:textId="77777777" w:rsidTr="00723F06">
        <w:trPr>
          <w:trHeight w:val="402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F06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</w:rPr>
            </w:pPr>
            <w:r w:rsidRPr="00723F06">
              <w:rPr>
                <w:rFonts w:ascii="Calibri" w:hAnsi="Calibri" w:cs="Arial"/>
                <w:b/>
                <w:bCs/>
              </w:rPr>
              <w:t>Rozpočet projektu na období</w:t>
            </w:r>
          </w:p>
        </w:tc>
        <w:tc>
          <w:tcPr>
            <w:tcW w:w="52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09406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723F06">
              <w:rPr>
                <w:rFonts w:ascii="Calibri" w:hAnsi="Calibri" w:cs="Arial"/>
                <w:b/>
                <w:bCs/>
                <w:sz w:val="28"/>
                <w:szCs w:val="28"/>
              </w:rPr>
              <w:t>2018</w:t>
            </w:r>
          </w:p>
        </w:tc>
      </w:tr>
      <w:tr w:rsidR="00723F06" w:rsidRPr="00723F06" w14:paraId="14056133" w14:textId="77777777" w:rsidTr="00723F06">
        <w:trPr>
          <w:trHeight w:val="51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6129" w14:textId="2452A66E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Věnujte,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23F06">
              <w:rPr>
                <w:rFonts w:ascii="Calibri" w:hAnsi="Calibri" w:cs="Arial"/>
                <w:sz w:val="22"/>
                <w:szCs w:val="22"/>
              </w:rPr>
              <w:t>prosím, sestavení Rozpočtu pozornost. Dle něj pak bude požadováno Vyúčtování, a to na položky uvedené ve sloupci C</w:t>
            </w:r>
          </w:p>
        </w:tc>
      </w:tr>
      <w:tr w:rsidR="00723F06" w:rsidRPr="00723F06" w14:paraId="7E93ABE1" w14:textId="77777777" w:rsidTr="00723F06">
        <w:trPr>
          <w:trHeight w:val="45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AC62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F0B0" w14:textId="77777777" w:rsidR="00723F06" w:rsidRPr="00723F06" w:rsidRDefault="00723F06" w:rsidP="00723F0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558C" w14:textId="77777777" w:rsidR="00723F06" w:rsidRPr="00723F06" w:rsidRDefault="00723F06" w:rsidP="00723F06">
            <w:pPr>
              <w:rPr>
                <w:sz w:val="20"/>
                <w:szCs w:val="20"/>
              </w:rPr>
            </w:pPr>
          </w:p>
        </w:tc>
      </w:tr>
      <w:tr w:rsidR="00723F06" w:rsidRPr="00723F06" w14:paraId="66782DD0" w14:textId="77777777" w:rsidTr="00723F06">
        <w:trPr>
          <w:trHeight w:val="51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6A5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i/>
                <w:iCs/>
                <w:color w:val="FF0000"/>
              </w:rPr>
            </w:pPr>
            <w:r w:rsidRPr="00723F06">
              <w:rPr>
                <w:rFonts w:ascii="Calibri" w:hAnsi="Calibri" w:cs="Arial"/>
                <w:b/>
                <w:bCs/>
                <w:i/>
                <w:iCs/>
                <w:color w:val="FF0000"/>
              </w:rPr>
              <w:t>U čísel vyplňujte pouze oranžová pole, ostatní se dopočítá automaticky!</w:t>
            </w:r>
          </w:p>
        </w:tc>
      </w:tr>
      <w:tr w:rsidR="00723F06" w:rsidRPr="00723F06" w14:paraId="5F53B64B" w14:textId="77777777" w:rsidTr="00723F06">
        <w:trPr>
          <w:trHeight w:val="750"/>
        </w:trPr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7569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Nákladová položka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F664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na rok 2018</w:t>
            </w:r>
          </w:p>
        </w:tc>
        <w:tc>
          <w:tcPr>
            <w:tcW w:w="2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2B79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Požadovaná dotace ze statutárního města Pardubice</w:t>
            </w:r>
          </w:p>
        </w:tc>
      </w:tr>
      <w:tr w:rsidR="00723F06" w:rsidRPr="00723F06" w14:paraId="7D8B2425" w14:textId="77777777" w:rsidTr="00723F06">
        <w:trPr>
          <w:trHeight w:val="517"/>
        </w:trPr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54678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40A8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66FC8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723F06" w:rsidRPr="00723F06" w14:paraId="7B14DFBC" w14:textId="77777777" w:rsidTr="00723F06">
        <w:trPr>
          <w:trHeight w:val="600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DF68D23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1. Provozní náklady celkem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56914E8E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61 200,00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1F7F8B6F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23F06" w:rsidRPr="00723F06" w14:paraId="7DD238CD" w14:textId="77777777" w:rsidTr="00723F06">
        <w:trPr>
          <w:trHeight w:val="495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D83B43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1.1 Materiálové náklady celkem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665EDF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61 200,00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524948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55 200,00</w:t>
            </w:r>
          </w:p>
        </w:tc>
      </w:tr>
      <w:tr w:rsidR="00723F06" w:rsidRPr="00723F06" w14:paraId="539E4CA1" w14:textId="77777777" w:rsidTr="00723F06">
        <w:trPr>
          <w:trHeight w:val="843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1506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 xml:space="preserve">        1.1.1 pořízení materiálu a </w:t>
            </w:r>
            <w:proofErr w:type="spellStart"/>
            <w:r w:rsidRPr="00723F06">
              <w:rPr>
                <w:rFonts w:ascii="Calibri" w:hAnsi="Calibri" w:cs="Arial"/>
                <w:sz w:val="22"/>
                <w:szCs w:val="22"/>
              </w:rPr>
              <w:t>tech</w:t>
            </w:r>
            <w:proofErr w:type="spellEnd"/>
            <w:r w:rsidRPr="00723F06">
              <w:rPr>
                <w:rFonts w:ascii="Calibri" w:hAnsi="Calibri" w:cs="Arial"/>
                <w:sz w:val="22"/>
                <w:szCs w:val="22"/>
              </w:rPr>
              <w:t>. zabezpečení na pořádané sportovní a kulturní akce - vypište slovně: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D654718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1653B3B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23F06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723F06" w:rsidRPr="00723F06" w14:paraId="166CEC3D" w14:textId="77777777" w:rsidTr="00723F06">
        <w:trPr>
          <w:trHeight w:val="557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A29D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 xml:space="preserve">      1.1.2 vybavení DDHM [1] do 40 000 Kč vypište slovně: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FE150FB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1EC6F0B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23F06" w:rsidRPr="00723F06" w14:paraId="5B5C1BA5" w14:textId="77777777" w:rsidTr="00723F06">
        <w:trPr>
          <w:trHeight w:val="439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1B8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Zásahové obleky vícevrstvé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BDC0D93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27 140,00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4019273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27 140,00</w:t>
            </w:r>
          </w:p>
        </w:tc>
      </w:tr>
      <w:tr w:rsidR="00723F06" w:rsidRPr="00723F06" w14:paraId="7AB61A34" w14:textId="77777777" w:rsidTr="00723F06">
        <w:trPr>
          <w:trHeight w:val="439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8EC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Zásahové rukavice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CCF19B9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2 222,00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01AAEF0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2 222,00</w:t>
            </w:r>
          </w:p>
        </w:tc>
      </w:tr>
      <w:tr w:rsidR="00723F06" w:rsidRPr="00723F06" w14:paraId="15880EA9" w14:textId="77777777" w:rsidTr="00723F06">
        <w:trPr>
          <w:trHeight w:val="540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81C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Požární hadice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9932088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16 138,00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C53CA63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15 200,00</w:t>
            </w:r>
          </w:p>
        </w:tc>
      </w:tr>
      <w:tr w:rsidR="00723F06" w:rsidRPr="00723F06" w14:paraId="4DF16461" w14:textId="77777777" w:rsidTr="00723F06">
        <w:trPr>
          <w:trHeight w:val="495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2F1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Páteřní deska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9F43E35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12 700,00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A035C1B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10 638,00</w:t>
            </w:r>
          </w:p>
        </w:tc>
      </w:tr>
      <w:tr w:rsidR="00723F06" w:rsidRPr="00723F06" w14:paraId="6B041378" w14:textId="77777777" w:rsidTr="00723F06">
        <w:trPr>
          <w:trHeight w:val="439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EA5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Zdravotnický materiál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B329EE1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3 000,00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005D689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723F06" w:rsidRPr="00723F06" w14:paraId="300D2A7D" w14:textId="77777777" w:rsidTr="00723F06">
        <w:trPr>
          <w:trHeight w:val="516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571A9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1.2 Nemateriálové náklady celkem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D62554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62E58E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23F06" w:rsidRPr="00723F06" w14:paraId="269E0D17" w14:textId="77777777" w:rsidTr="00723F06">
        <w:trPr>
          <w:trHeight w:val="510"/>
        </w:trPr>
        <w:tc>
          <w:tcPr>
            <w:tcW w:w="41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D634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 xml:space="preserve">     1.2.1 školení, semináře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DDD45BB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CC903A7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23F06" w:rsidRPr="00723F06" w14:paraId="0C12F81B" w14:textId="77777777" w:rsidTr="00723F06">
        <w:trPr>
          <w:trHeight w:val="439"/>
        </w:trPr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E2A8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 xml:space="preserve">     1.2.2 opravy a udržování: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ACBFC75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EA0DB89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23F06" w:rsidRPr="00723F06" w14:paraId="32EDA2F5" w14:textId="77777777" w:rsidTr="00723F06">
        <w:trPr>
          <w:trHeight w:val="439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D569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 xml:space="preserve">     1.2.3 pořízení DDNM [2] do 60 000 Kč vypište slovně: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03C006C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8E922EC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23F06" w:rsidRPr="00723F06" w14:paraId="0F7D7A52" w14:textId="77777777" w:rsidTr="00723F06">
        <w:trPr>
          <w:trHeight w:val="555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916812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1.2.4 jiné provozní náklady - vypište slovně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5256EE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DD9A83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23F06" w:rsidRPr="00723F06" w14:paraId="65929AF8" w14:textId="77777777" w:rsidTr="00723F06">
        <w:trPr>
          <w:trHeight w:val="300"/>
        </w:trPr>
        <w:tc>
          <w:tcPr>
            <w:tcW w:w="41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5063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B7AD36F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20E31A0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23F06" w:rsidRPr="00723F06" w14:paraId="3BE9CBD5" w14:textId="77777777" w:rsidTr="00723F06">
        <w:trPr>
          <w:trHeight w:val="315"/>
        </w:trPr>
        <w:tc>
          <w:tcPr>
            <w:tcW w:w="4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FFC0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13328E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7874835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23F06" w:rsidRPr="00723F06" w14:paraId="48E997F0" w14:textId="77777777" w:rsidTr="00723F06">
        <w:trPr>
          <w:trHeight w:val="315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33D7529" w14:textId="77777777" w:rsidR="00723F06" w:rsidRPr="00723F06" w:rsidRDefault="00723F06" w:rsidP="00723F0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NA REALIZACI PROJEKTU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37C46403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61 200,00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043D90D3" w14:textId="77777777" w:rsidR="00723F06" w:rsidRPr="00723F06" w:rsidRDefault="00723F06" w:rsidP="00723F0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3F06">
              <w:rPr>
                <w:rFonts w:ascii="Calibri" w:hAnsi="Calibri" w:cs="Arial"/>
                <w:b/>
                <w:bCs/>
                <w:sz w:val="22"/>
                <w:szCs w:val="22"/>
              </w:rPr>
              <w:t>55 200,00</w:t>
            </w:r>
          </w:p>
        </w:tc>
      </w:tr>
      <w:tr w:rsidR="00723F06" w:rsidRPr="00723F06" w14:paraId="0E7A8876" w14:textId="77777777" w:rsidTr="00723F06">
        <w:trPr>
          <w:trHeight w:val="300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AF40" w14:textId="3BB51460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 xml:space="preserve">[1] DDHM - drobný dlouhodobý hmotný </w:t>
            </w: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Pr="00723F06">
              <w:rPr>
                <w:rFonts w:ascii="Calibri" w:hAnsi="Calibri" w:cs="Arial"/>
                <w:sz w:val="22"/>
                <w:szCs w:val="22"/>
              </w:rPr>
              <w:t>ajetek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4A8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92AB" w14:textId="77777777" w:rsidR="00723F06" w:rsidRPr="00723F06" w:rsidRDefault="00723F06" w:rsidP="00723F06">
            <w:pPr>
              <w:jc w:val="center"/>
              <w:rPr>
                <w:sz w:val="20"/>
                <w:szCs w:val="20"/>
              </w:rPr>
            </w:pPr>
          </w:p>
        </w:tc>
      </w:tr>
      <w:tr w:rsidR="00723F06" w:rsidRPr="00723F06" w14:paraId="54E47EAC" w14:textId="77777777" w:rsidTr="00723F06">
        <w:trPr>
          <w:trHeight w:val="300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BE48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  <w:r w:rsidRPr="00723F06">
              <w:rPr>
                <w:rFonts w:ascii="Calibri" w:hAnsi="Calibri" w:cs="Arial"/>
                <w:sz w:val="22"/>
                <w:szCs w:val="22"/>
              </w:rPr>
              <w:t>[2] DDNM - drobný nehmotný majetek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9876" w14:textId="77777777" w:rsidR="00723F06" w:rsidRPr="00723F06" w:rsidRDefault="00723F06" w:rsidP="00723F0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CB92" w14:textId="77777777" w:rsidR="00723F06" w:rsidRPr="00723F06" w:rsidRDefault="00723F06" w:rsidP="00723F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596BD3" w14:textId="77777777" w:rsidR="00723F06" w:rsidRDefault="00723F06" w:rsidP="005629B3">
      <w:pPr>
        <w:jc w:val="both"/>
        <w:rPr>
          <w:rFonts w:asciiTheme="minorHAnsi" w:hAnsiTheme="minorHAnsi"/>
          <w:sz w:val="20"/>
          <w:szCs w:val="20"/>
        </w:rPr>
      </w:pPr>
    </w:p>
    <w:sectPr w:rsidR="00723F06" w:rsidSect="00A645FA">
      <w:footerReference w:type="even" r:id="rId13"/>
      <w:footerReference w:type="default" r:id="rId14"/>
      <w:pgSz w:w="11907" w:h="16840" w:code="9"/>
      <w:pgMar w:top="964" w:right="1304" w:bottom="851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02FA" w14:textId="77777777" w:rsidR="00745BE4" w:rsidRDefault="00745BE4">
      <w:r>
        <w:separator/>
      </w:r>
    </w:p>
  </w:endnote>
  <w:endnote w:type="continuationSeparator" w:id="0">
    <w:p w14:paraId="3D825D50" w14:textId="77777777" w:rsidR="00745BE4" w:rsidRDefault="0074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1F52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1F527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8E27" w14:textId="77777777" w:rsidR="00745BE4" w:rsidRDefault="00745BE4">
      <w:r>
        <w:separator/>
      </w:r>
    </w:p>
  </w:footnote>
  <w:footnote w:type="continuationSeparator" w:id="0">
    <w:p w14:paraId="389A6570" w14:textId="77777777" w:rsidR="00745BE4" w:rsidRDefault="0074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37322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3610"/>
    <w:multiLevelType w:val="multilevel"/>
    <w:tmpl w:val="50CAE066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B154860"/>
    <w:multiLevelType w:val="hybridMultilevel"/>
    <w:tmpl w:val="4B9E65AC"/>
    <w:lvl w:ilvl="0" w:tplc="E6CA96E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177B2"/>
    <w:rsid w:val="00043842"/>
    <w:rsid w:val="00050899"/>
    <w:rsid w:val="000A0147"/>
    <w:rsid w:val="000A607E"/>
    <w:rsid w:val="000A79C9"/>
    <w:rsid w:val="000B63EB"/>
    <w:rsid w:val="000C2D83"/>
    <w:rsid w:val="000C5054"/>
    <w:rsid w:val="000E391C"/>
    <w:rsid w:val="00124A15"/>
    <w:rsid w:val="0013560F"/>
    <w:rsid w:val="00135A63"/>
    <w:rsid w:val="00146B77"/>
    <w:rsid w:val="00156F3F"/>
    <w:rsid w:val="00177B9D"/>
    <w:rsid w:val="00182CC0"/>
    <w:rsid w:val="00196C43"/>
    <w:rsid w:val="001A7479"/>
    <w:rsid w:val="001F5277"/>
    <w:rsid w:val="00231482"/>
    <w:rsid w:val="00243D9C"/>
    <w:rsid w:val="0024468F"/>
    <w:rsid w:val="002568A6"/>
    <w:rsid w:val="00271822"/>
    <w:rsid w:val="00274B67"/>
    <w:rsid w:val="0027527A"/>
    <w:rsid w:val="002A083E"/>
    <w:rsid w:val="002A7779"/>
    <w:rsid w:val="002B3740"/>
    <w:rsid w:val="002B7F0B"/>
    <w:rsid w:val="002E6D8D"/>
    <w:rsid w:val="002E7761"/>
    <w:rsid w:val="002F00F9"/>
    <w:rsid w:val="00310AE0"/>
    <w:rsid w:val="00310AEF"/>
    <w:rsid w:val="003200B9"/>
    <w:rsid w:val="00331DF2"/>
    <w:rsid w:val="00346869"/>
    <w:rsid w:val="00392309"/>
    <w:rsid w:val="003936DD"/>
    <w:rsid w:val="003B43AC"/>
    <w:rsid w:val="003E499A"/>
    <w:rsid w:val="003F37F8"/>
    <w:rsid w:val="00402340"/>
    <w:rsid w:val="004772D9"/>
    <w:rsid w:val="004A4E20"/>
    <w:rsid w:val="004F064E"/>
    <w:rsid w:val="00537483"/>
    <w:rsid w:val="00560E90"/>
    <w:rsid w:val="005629B3"/>
    <w:rsid w:val="00567AFD"/>
    <w:rsid w:val="00571C32"/>
    <w:rsid w:val="005E073E"/>
    <w:rsid w:val="00621543"/>
    <w:rsid w:val="00696A0E"/>
    <w:rsid w:val="00697DCB"/>
    <w:rsid w:val="006E5239"/>
    <w:rsid w:val="00723F06"/>
    <w:rsid w:val="00733480"/>
    <w:rsid w:val="00745BE4"/>
    <w:rsid w:val="00771467"/>
    <w:rsid w:val="00772A39"/>
    <w:rsid w:val="00783D93"/>
    <w:rsid w:val="007933FA"/>
    <w:rsid w:val="007947B1"/>
    <w:rsid w:val="007973D9"/>
    <w:rsid w:val="007A01F4"/>
    <w:rsid w:val="007C648F"/>
    <w:rsid w:val="007F765A"/>
    <w:rsid w:val="00844BB2"/>
    <w:rsid w:val="008764D9"/>
    <w:rsid w:val="00877910"/>
    <w:rsid w:val="008C22A2"/>
    <w:rsid w:val="008D4B97"/>
    <w:rsid w:val="008D53F1"/>
    <w:rsid w:val="008D7FF1"/>
    <w:rsid w:val="008E7E19"/>
    <w:rsid w:val="00932B78"/>
    <w:rsid w:val="009363E3"/>
    <w:rsid w:val="00974CFB"/>
    <w:rsid w:val="009810E7"/>
    <w:rsid w:val="00990FF5"/>
    <w:rsid w:val="00994D3D"/>
    <w:rsid w:val="009D60BC"/>
    <w:rsid w:val="00A06864"/>
    <w:rsid w:val="00A16F26"/>
    <w:rsid w:val="00A2236F"/>
    <w:rsid w:val="00A24FD7"/>
    <w:rsid w:val="00A37B6D"/>
    <w:rsid w:val="00A45D51"/>
    <w:rsid w:val="00A505FC"/>
    <w:rsid w:val="00A60F23"/>
    <w:rsid w:val="00A645FA"/>
    <w:rsid w:val="00A85899"/>
    <w:rsid w:val="00A9054C"/>
    <w:rsid w:val="00A92A39"/>
    <w:rsid w:val="00AC05DE"/>
    <w:rsid w:val="00B17FC0"/>
    <w:rsid w:val="00B25A6A"/>
    <w:rsid w:val="00B342A5"/>
    <w:rsid w:val="00B46E3A"/>
    <w:rsid w:val="00B600D3"/>
    <w:rsid w:val="00B9295E"/>
    <w:rsid w:val="00BA144A"/>
    <w:rsid w:val="00BA1637"/>
    <w:rsid w:val="00BB297F"/>
    <w:rsid w:val="00BB3E48"/>
    <w:rsid w:val="00BC00B1"/>
    <w:rsid w:val="00BC3DF4"/>
    <w:rsid w:val="00BC41E3"/>
    <w:rsid w:val="00BC5983"/>
    <w:rsid w:val="00C00D1C"/>
    <w:rsid w:val="00C0252D"/>
    <w:rsid w:val="00C8265D"/>
    <w:rsid w:val="00C94C43"/>
    <w:rsid w:val="00CE67B1"/>
    <w:rsid w:val="00CF2BB9"/>
    <w:rsid w:val="00D06A91"/>
    <w:rsid w:val="00D33593"/>
    <w:rsid w:val="00D527C2"/>
    <w:rsid w:val="00D75A40"/>
    <w:rsid w:val="00DA3B85"/>
    <w:rsid w:val="00DB16DF"/>
    <w:rsid w:val="00DE17B7"/>
    <w:rsid w:val="00DE410E"/>
    <w:rsid w:val="00DE74F5"/>
    <w:rsid w:val="00DE7A35"/>
    <w:rsid w:val="00E01234"/>
    <w:rsid w:val="00E10816"/>
    <w:rsid w:val="00E205A8"/>
    <w:rsid w:val="00E21A6E"/>
    <w:rsid w:val="00E51775"/>
    <w:rsid w:val="00E77A44"/>
    <w:rsid w:val="00E85EBF"/>
    <w:rsid w:val="00E919C9"/>
    <w:rsid w:val="00EB381F"/>
    <w:rsid w:val="00EB5E74"/>
    <w:rsid w:val="00ED2D4B"/>
    <w:rsid w:val="00F21AF3"/>
    <w:rsid w:val="00F63730"/>
    <w:rsid w:val="00F63C56"/>
    <w:rsid w:val="00FA1FBC"/>
    <w:rsid w:val="00FA2CBA"/>
    <w:rsid w:val="00FC469E"/>
    <w:rsid w:val="00FE2E04"/>
    <w:rsid w:val="00FF6873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9E0C8E-0FB8-430E-AFEC-ECD56AAD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2525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Ožďanová Marcela</cp:lastModifiedBy>
  <cp:revision>9</cp:revision>
  <cp:lastPrinted>2018-04-11T12:01:00Z</cp:lastPrinted>
  <dcterms:created xsi:type="dcterms:W3CDTF">2018-04-05T09:42:00Z</dcterms:created>
  <dcterms:modified xsi:type="dcterms:W3CDTF">2018-05-18T11:15:00Z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