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3B" w:rsidRDefault="008F583B" w:rsidP="006E6B71">
      <w:pPr>
        <w:spacing w:after="0"/>
        <w:jc w:val="center"/>
        <w:rPr>
          <w:b/>
          <w:sz w:val="32"/>
          <w:szCs w:val="32"/>
          <w:u w:val="single"/>
        </w:rPr>
      </w:pPr>
      <w:r w:rsidRPr="006E6B71">
        <w:rPr>
          <w:b/>
          <w:sz w:val="32"/>
          <w:szCs w:val="32"/>
          <w:u w:val="single"/>
        </w:rPr>
        <w:t xml:space="preserve">Dodatek č. 1/2018 ke Smlouvě o řešení části projektu MPO TRIO </w:t>
      </w:r>
      <w:proofErr w:type="spellStart"/>
      <w:r w:rsidRPr="006E6B71">
        <w:rPr>
          <w:b/>
          <w:sz w:val="32"/>
          <w:szCs w:val="32"/>
          <w:u w:val="single"/>
        </w:rPr>
        <w:t>ev.č</w:t>
      </w:r>
      <w:proofErr w:type="spellEnd"/>
      <w:r w:rsidRPr="006E6B71">
        <w:rPr>
          <w:b/>
          <w:sz w:val="32"/>
          <w:szCs w:val="32"/>
          <w:u w:val="single"/>
        </w:rPr>
        <w:t>. FV10149</w:t>
      </w:r>
    </w:p>
    <w:p w:rsidR="006E6B71" w:rsidRPr="006E6B71" w:rsidRDefault="006E6B71" w:rsidP="006E6B71">
      <w:pPr>
        <w:spacing w:after="0"/>
        <w:jc w:val="center"/>
        <w:rPr>
          <w:b/>
          <w:sz w:val="32"/>
          <w:szCs w:val="32"/>
          <w:u w:val="single"/>
        </w:rPr>
      </w:pPr>
    </w:p>
    <w:p w:rsidR="008F583B" w:rsidRDefault="008F583B" w:rsidP="008F583B">
      <w:pPr>
        <w:spacing w:after="0"/>
        <w:jc w:val="center"/>
        <w:rPr>
          <w:b/>
          <w:sz w:val="28"/>
          <w:szCs w:val="28"/>
          <w:u w:val="single"/>
        </w:rPr>
      </w:pPr>
      <w:r>
        <w:rPr>
          <w:b/>
          <w:sz w:val="28"/>
          <w:szCs w:val="28"/>
          <w:u w:val="single"/>
        </w:rPr>
        <w:t xml:space="preserve">(dále </w:t>
      </w:r>
      <w:proofErr w:type="gramStart"/>
      <w:r>
        <w:rPr>
          <w:b/>
          <w:sz w:val="28"/>
          <w:szCs w:val="28"/>
          <w:u w:val="single"/>
        </w:rPr>
        <w:t>jen ,,dodatek</w:t>
      </w:r>
      <w:proofErr w:type="gramEnd"/>
      <w:r>
        <w:rPr>
          <w:b/>
          <w:sz w:val="28"/>
          <w:szCs w:val="28"/>
          <w:u w:val="single"/>
        </w:rPr>
        <w:t>“)</w:t>
      </w:r>
    </w:p>
    <w:p w:rsidR="008F583B" w:rsidRDefault="008F583B" w:rsidP="008F583B">
      <w:pPr>
        <w:jc w:val="center"/>
        <w:rPr>
          <w:b/>
          <w:u w:val="single"/>
        </w:rPr>
      </w:pPr>
    </w:p>
    <w:p w:rsidR="008F583B" w:rsidRDefault="008F583B" w:rsidP="008F583B">
      <w:pPr>
        <w:spacing w:after="0"/>
        <w:jc w:val="both"/>
        <w:rPr>
          <w:b/>
        </w:rPr>
      </w:pPr>
      <w:r>
        <w:rPr>
          <w:b/>
        </w:rPr>
        <w:t>VH Pharma a.s.</w:t>
      </w:r>
    </w:p>
    <w:p w:rsidR="008F583B" w:rsidRDefault="008F583B" w:rsidP="008F583B">
      <w:pPr>
        <w:tabs>
          <w:tab w:val="left" w:pos="1985"/>
        </w:tabs>
        <w:spacing w:after="0"/>
        <w:jc w:val="both"/>
      </w:pPr>
      <w:r>
        <w:t xml:space="preserve">se sídlem: </w:t>
      </w:r>
      <w:r>
        <w:tab/>
        <w:t>Jakubská 647/2, 110 00 Praha 1</w:t>
      </w:r>
      <w:r>
        <w:tab/>
      </w:r>
    </w:p>
    <w:p w:rsidR="008F583B" w:rsidRDefault="008F583B" w:rsidP="008F583B">
      <w:pPr>
        <w:tabs>
          <w:tab w:val="left" w:pos="1985"/>
        </w:tabs>
        <w:spacing w:after="0"/>
        <w:jc w:val="both"/>
      </w:pPr>
      <w:r>
        <w:t xml:space="preserve">zastoupená: </w:t>
      </w:r>
      <w:r>
        <w:tab/>
        <w:t>Ing. Michalem Hrubým, předsedou představenstva</w:t>
      </w:r>
      <w:r>
        <w:tab/>
      </w:r>
    </w:p>
    <w:p w:rsidR="008F583B" w:rsidRDefault="008F583B" w:rsidP="008F583B">
      <w:pPr>
        <w:tabs>
          <w:tab w:val="left" w:pos="1985"/>
        </w:tabs>
        <w:spacing w:after="0"/>
        <w:jc w:val="both"/>
      </w:pPr>
      <w:r>
        <w:t xml:space="preserve">IČ: </w:t>
      </w:r>
      <w:r>
        <w:tab/>
        <w:t>280 89 529</w:t>
      </w:r>
    </w:p>
    <w:p w:rsidR="008F583B" w:rsidRDefault="008F583B" w:rsidP="008F583B">
      <w:pPr>
        <w:tabs>
          <w:tab w:val="left" w:pos="1985"/>
        </w:tabs>
        <w:spacing w:after="0"/>
        <w:jc w:val="both"/>
      </w:pPr>
      <w:r>
        <w:t xml:space="preserve">bankovní spojení: </w:t>
      </w:r>
      <w:r>
        <w:tab/>
        <w:t>ČSOB</w:t>
      </w:r>
      <w:r>
        <w:tab/>
      </w:r>
    </w:p>
    <w:p w:rsidR="008F583B" w:rsidRDefault="008F583B" w:rsidP="008F583B">
      <w:pPr>
        <w:tabs>
          <w:tab w:val="left" w:pos="1985"/>
        </w:tabs>
        <w:spacing w:after="0"/>
        <w:jc w:val="both"/>
      </w:pPr>
      <w:r>
        <w:t xml:space="preserve">číslo účtu: </w:t>
      </w:r>
      <w:r>
        <w:tab/>
        <w:t>276544404/0300</w:t>
      </w:r>
    </w:p>
    <w:p w:rsidR="008F583B" w:rsidRDefault="008F583B" w:rsidP="008F583B">
      <w:pPr>
        <w:tabs>
          <w:tab w:val="left" w:pos="1985"/>
        </w:tabs>
        <w:spacing w:after="0"/>
        <w:jc w:val="both"/>
      </w:pPr>
      <w:r>
        <w:t>ID datové schránky:</w:t>
      </w:r>
      <w:r>
        <w:tab/>
        <w:t>j8qgxpt</w:t>
      </w:r>
    </w:p>
    <w:p w:rsidR="008F583B" w:rsidRDefault="008F583B" w:rsidP="008F583B">
      <w:pPr>
        <w:tabs>
          <w:tab w:val="left" w:pos="1985"/>
        </w:tabs>
        <w:spacing w:after="0"/>
        <w:jc w:val="both"/>
      </w:pPr>
      <w:r>
        <w:t>zápis v OR:</w:t>
      </w:r>
      <w:r>
        <w:tab/>
        <w:t>Městský soud v Praze, oddíl B, vložka 17224</w:t>
      </w:r>
    </w:p>
    <w:p w:rsidR="008F583B" w:rsidRDefault="008F583B" w:rsidP="008F583B">
      <w:pPr>
        <w:tabs>
          <w:tab w:val="left" w:pos="1985"/>
        </w:tabs>
        <w:spacing w:after="0"/>
        <w:jc w:val="both"/>
      </w:pPr>
      <w:r>
        <w:t xml:space="preserve">(dále </w:t>
      </w:r>
      <w:proofErr w:type="gramStart"/>
      <w:r>
        <w:t>jen ,,</w:t>
      </w:r>
      <w:r>
        <w:rPr>
          <w:b/>
        </w:rPr>
        <w:t>příjemce</w:t>
      </w:r>
      <w:proofErr w:type="gramEnd"/>
      <w:r>
        <w:rPr>
          <w:b/>
        </w:rPr>
        <w:t>“</w:t>
      </w:r>
      <w:r>
        <w:t>)</w:t>
      </w:r>
    </w:p>
    <w:p w:rsidR="008F583B" w:rsidRDefault="008F583B" w:rsidP="008F583B">
      <w:pPr>
        <w:tabs>
          <w:tab w:val="left" w:pos="1985"/>
        </w:tabs>
        <w:spacing w:after="0"/>
        <w:jc w:val="both"/>
      </w:pPr>
      <w:r>
        <w:t>na straně jedné</w:t>
      </w:r>
    </w:p>
    <w:p w:rsidR="008F583B" w:rsidRDefault="008F583B" w:rsidP="008F583B">
      <w:pPr>
        <w:tabs>
          <w:tab w:val="left" w:pos="1985"/>
        </w:tabs>
        <w:spacing w:after="0"/>
        <w:jc w:val="both"/>
      </w:pPr>
    </w:p>
    <w:p w:rsidR="008F583B" w:rsidRDefault="008F583B" w:rsidP="008F583B">
      <w:pPr>
        <w:tabs>
          <w:tab w:val="left" w:pos="1985"/>
        </w:tabs>
        <w:spacing w:after="0"/>
        <w:jc w:val="both"/>
      </w:pPr>
      <w:r>
        <w:t>a</w:t>
      </w:r>
    </w:p>
    <w:p w:rsidR="008F583B" w:rsidRDefault="008F583B" w:rsidP="008F583B">
      <w:pPr>
        <w:tabs>
          <w:tab w:val="left" w:pos="1985"/>
        </w:tabs>
        <w:spacing w:after="0"/>
        <w:jc w:val="both"/>
      </w:pPr>
    </w:p>
    <w:p w:rsidR="008F583B" w:rsidRDefault="008F583B" w:rsidP="008F583B">
      <w:pPr>
        <w:tabs>
          <w:tab w:val="left" w:pos="1985"/>
        </w:tabs>
        <w:spacing w:after="0" w:line="240" w:lineRule="auto"/>
        <w:jc w:val="both"/>
        <w:rPr>
          <w:b/>
        </w:rPr>
      </w:pPr>
      <w:r>
        <w:rPr>
          <w:b/>
        </w:rPr>
        <w:t xml:space="preserve">Ústav makromolekulární chemie AV ČR, </w:t>
      </w:r>
      <w:proofErr w:type="spellStart"/>
      <w:proofErr w:type="gramStart"/>
      <w:r>
        <w:rPr>
          <w:b/>
        </w:rPr>
        <w:t>v.v.</w:t>
      </w:r>
      <w:proofErr w:type="gramEnd"/>
      <w:r>
        <w:rPr>
          <w:b/>
        </w:rPr>
        <w:t>i</w:t>
      </w:r>
      <w:proofErr w:type="spellEnd"/>
      <w:r>
        <w:rPr>
          <w:b/>
        </w:rPr>
        <w:t>.</w:t>
      </w:r>
    </w:p>
    <w:p w:rsidR="008F583B" w:rsidRDefault="008F583B" w:rsidP="008F583B">
      <w:pPr>
        <w:tabs>
          <w:tab w:val="left" w:pos="1985"/>
        </w:tabs>
        <w:spacing w:after="0" w:line="240" w:lineRule="auto"/>
        <w:jc w:val="both"/>
      </w:pPr>
      <w:r>
        <w:t>se sídlem:</w:t>
      </w:r>
      <w:r>
        <w:tab/>
        <w:t>Heyrovského nám. 1888/2, 162 06 Praha 6</w:t>
      </w:r>
    </w:p>
    <w:p w:rsidR="008F583B" w:rsidRDefault="008F583B" w:rsidP="008F583B">
      <w:pPr>
        <w:tabs>
          <w:tab w:val="left" w:pos="1985"/>
        </w:tabs>
        <w:spacing w:after="0" w:line="240" w:lineRule="auto"/>
        <w:jc w:val="both"/>
      </w:pPr>
      <w:r>
        <w:t>zastoupený:</w:t>
      </w:r>
      <w:r>
        <w:tab/>
        <w:t>Ing. Jiřím Kotkem, Dr., ředitelem</w:t>
      </w:r>
    </w:p>
    <w:p w:rsidR="008F583B" w:rsidRDefault="008F583B" w:rsidP="008F583B">
      <w:pPr>
        <w:tabs>
          <w:tab w:val="left" w:pos="1985"/>
        </w:tabs>
        <w:spacing w:after="0" w:line="240" w:lineRule="auto"/>
        <w:jc w:val="both"/>
      </w:pPr>
      <w:r>
        <w:t>IČ:</w:t>
      </w:r>
      <w:r>
        <w:tab/>
        <w:t>61389013</w:t>
      </w:r>
    </w:p>
    <w:p w:rsidR="008F583B" w:rsidRDefault="008F583B" w:rsidP="008F583B">
      <w:pPr>
        <w:tabs>
          <w:tab w:val="left" w:pos="1985"/>
        </w:tabs>
        <w:spacing w:after="0" w:line="240" w:lineRule="auto"/>
        <w:jc w:val="both"/>
      </w:pPr>
      <w:r>
        <w:t>bankovní spojení:</w:t>
      </w:r>
      <w:r>
        <w:tab/>
        <w:t>ČSOB Praha 1</w:t>
      </w:r>
    </w:p>
    <w:p w:rsidR="008F583B" w:rsidRDefault="008F583B" w:rsidP="008F583B">
      <w:pPr>
        <w:tabs>
          <w:tab w:val="left" w:pos="1985"/>
        </w:tabs>
        <w:spacing w:after="0"/>
        <w:jc w:val="both"/>
      </w:pPr>
      <w:r>
        <w:t xml:space="preserve">číslo účtu: </w:t>
      </w:r>
    </w:p>
    <w:p w:rsidR="008F583B" w:rsidRDefault="008F583B" w:rsidP="008F583B">
      <w:pPr>
        <w:tabs>
          <w:tab w:val="left" w:pos="1985"/>
        </w:tabs>
        <w:spacing w:after="0"/>
        <w:jc w:val="both"/>
      </w:pPr>
      <w:r>
        <w:t xml:space="preserve">(dále </w:t>
      </w:r>
      <w:proofErr w:type="gramStart"/>
      <w:r>
        <w:t>jen ,,</w:t>
      </w:r>
      <w:r>
        <w:rPr>
          <w:b/>
        </w:rPr>
        <w:t>další</w:t>
      </w:r>
      <w:proofErr w:type="gramEnd"/>
      <w:r>
        <w:rPr>
          <w:b/>
        </w:rPr>
        <w:t xml:space="preserve"> účastník projektu“</w:t>
      </w:r>
      <w:r>
        <w:t>)</w:t>
      </w:r>
    </w:p>
    <w:p w:rsidR="008F583B" w:rsidRDefault="008F583B" w:rsidP="008F583B">
      <w:pPr>
        <w:tabs>
          <w:tab w:val="left" w:pos="1985"/>
        </w:tabs>
        <w:spacing w:after="0"/>
        <w:jc w:val="both"/>
      </w:pPr>
      <w:r>
        <w:t>na straně druhé</w:t>
      </w:r>
    </w:p>
    <w:p w:rsidR="008F583B" w:rsidRDefault="008F583B" w:rsidP="008F583B">
      <w:pPr>
        <w:tabs>
          <w:tab w:val="left" w:pos="1985"/>
        </w:tabs>
        <w:spacing w:after="0"/>
        <w:jc w:val="both"/>
      </w:pPr>
    </w:p>
    <w:p w:rsidR="008F583B" w:rsidRDefault="008F583B" w:rsidP="008F583B">
      <w:pPr>
        <w:pStyle w:val="Zkladntext"/>
        <w:spacing w:line="276" w:lineRule="auto"/>
        <w:rPr>
          <w:rFonts w:asciiTheme="minorHAnsi" w:hAnsiTheme="minorHAnsi"/>
          <w:sz w:val="22"/>
          <w:szCs w:val="22"/>
        </w:rPr>
      </w:pPr>
    </w:p>
    <w:p w:rsidR="008F583B" w:rsidRDefault="008F583B" w:rsidP="008F583B">
      <w:pPr>
        <w:tabs>
          <w:tab w:val="left" w:pos="1985"/>
        </w:tabs>
        <w:spacing w:after="0" w:line="240" w:lineRule="auto"/>
        <w:jc w:val="both"/>
      </w:pPr>
      <w:r>
        <w:t>uzavírají tento Dodatek č. 1/2018 ke Smlouvě o účasti na řešení projektu č. FV10149 (dále jen Dodatek) s názvem „Vývoj nových aplikačních forem přípravku pro urychlení hojení ran“, kterým se doplňuje:</w:t>
      </w:r>
    </w:p>
    <w:p w:rsidR="008F583B" w:rsidRDefault="008F583B" w:rsidP="008F583B">
      <w:pPr>
        <w:pStyle w:val="Zkladntext"/>
        <w:tabs>
          <w:tab w:val="left" w:pos="5245"/>
        </w:tabs>
        <w:ind w:right="-227"/>
        <w:rPr>
          <w:rFonts w:asciiTheme="minorHAnsi" w:hAnsiTheme="minorHAnsi"/>
          <w:b/>
          <w:szCs w:val="24"/>
        </w:rPr>
      </w:pPr>
      <w:r>
        <w:rPr>
          <w:b/>
          <w:szCs w:val="24"/>
        </w:rPr>
        <w:t xml:space="preserve">                                                                         </w:t>
      </w:r>
      <w:r>
        <w:rPr>
          <w:rFonts w:asciiTheme="minorHAnsi" w:hAnsiTheme="minorHAnsi"/>
          <w:b/>
          <w:szCs w:val="24"/>
        </w:rPr>
        <w:t>I.</w:t>
      </w:r>
    </w:p>
    <w:p w:rsidR="008F583B" w:rsidRDefault="008F583B" w:rsidP="008F583B">
      <w:pPr>
        <w:pStyle w:val="Zkladntext"/>
        <w:tabs>
          <w:tab w:val="left" w:pos="5245"/>
        </w:tabs>
        <w:ind w:right="-227"/>
        <w:rPr>
          <w:rFonts w:asciiTheme="minorHAnsi" w:hAnsiTheme="minorHAnsi"/>
          <w:b/>
          <w:szCs w:val="24"/>
        </w:rPr>
      </w:pPr>
    </w:p>
    <w:p w:rsidR="008F583B" w:rsidRDefault="008F583B" w:rsidP="008F583B">
      <w:pPr>
        <w:jc w:val="both"/>
        <w:rPr>
          <w:b/>
          <w:bCs/>
        </w:rPr>
      </w:pPr>
      <w:r>
        <w:rPr>
          <w:b/>
          <w:bCs/>
        </w:rPr>
        <w:t>Smluvní strany se dohodly, že níže označená ustanovení Smlouvy se na základě tohoto dodatku upravují následujícím způsobem, a to tak, že:</w:t>
      </w:r>
    </w:p>
    <w:p w:rsidR="008F583B" w:rsidRDefault="008F583B" w:rsidP="004F2558">
      <w:pPr>
        <w:jc w:val="both"/>
        <w:rPr>
          <w:b/>
          <w:bCs/>
        </w:rPr>
      </w:pPr>
    </w:p>
    <w:p w:rsidR="008F583B" w:rsidRDefault="008F583B" w:rsidP="004F2558">
      <w:pPr>
        <w:jc w:val="both"/>
        <w:rPr>
          <w:b/>
          <w:bCs/>
        </w:rPr>
      </w:pPr>
    </w:p>
    <w:p w:rsidR="00053A02" w:rsidRDefault="00053A02" w:rsidP="004F2558">
      <w:pPr>
        <w:jc w:val="both"/>
        <w:rPr>
          <w:b/>
          <w:bCs/>
        </w:rPr>
      </w:pPr>
      <w:r>
        <w:rPr>
          <w:b/>
          <w:bCs/>
        </w:rPr>
        <w:t>ruší se:</w:t>
      </w:r>
    </w:p>
    <w:p w:rsidR="00053A02" w:rsidRDefault="00053A02" w:rsidP="004F2558">
      <w:pPr>
        <w:jc w:val="both"/>
        <w:rPr>
          <w:bCs/>
        </w:rPr>
      </w:pPr>
      <w:r>
        <w:rPr>
          <w:b/>
          <w:bCs/>
        </w:rPr>
        <w:t xml:space="preserve">1. Článek IV. odst. </w:t>
      </w:r>
      <w:r w:rsidR="0086329C">
        <w:rPr>
          <w:b/>
          <w:bCs/>
        </w:rPr>
        <w:t>2</w:t>
      </w:r>
      <w:r>
        <w:rPr>
          <w:b/>
          <w:bCs/>
        </w:rPr>
        <w:t xml:space="preserve">., </w:t>
      </w:r>
      <w:r w:rsidRPr="00053A02">
        <w:rPr>
          <w:bCs/>
        </w:rPr>
        <w:t>který zněl</w:t>
      </w:r>
      <w:r>
        <w:rPr>
          <w:bCs/>
        </w:rPr>
        <w:t>:</w:t>
      </w:r>
    </w:p>
    <w:p w:rsidR="00053A02" w:rsidRDefault="00053A02" w:rsidP="004F2558">
      <w:pPr>
        <w:jc w:val="both"/>
        <w:rPr>
          <w:bCs/>
          <w:i/>
        </w:rPr>
      </w:pPr>
      <w:r w:rsidRPr="00053A02">
        <w:rPr>
          <w:bCs/>
          <w:i/>
        </w:rPr>
        <w:t xml:space="preserve">3. </w:t>
      </w:r>
      <w:r w:rsidR="0086329C">
        <w:rPr>
          <w:bCs/>
          <w:i/>
        </w:rPr>
        <w:t>V</w:t>
      </w:r>
      <w:r w:rsidRPr="00053A02">
        <w:rPr>
          <w:bCs/>
          <w:i/>
        </w:rPr>
        <w:t>e druhém a dalších letech řešení bude částka poskytované účelové podpory vždy upřesněna v písemných dodatcích k této smlouvě, kterými bude upravena příloha č. 1 této smlouvy</w:t>
      </w:r>
      <w:r w:rsidR="0086329C">
        <w:rPr>
          <w:bCs/>
          <w:i/>
        </w:rPr>
        <w:t>.</w:t>
      </w:r>
    </w:p>
    <w:p w:rsidR="00053A02" w:rsidRDefault="00053A02" w:rsidP="004F2558">
      <w:pPr>
        <w:jc w:val="both"/>
        <w:rPr>
          <w:bCs/>
        </w:rPr>
      </w:pPr>
      <w:r>
        <w:rPr>
          <w:b/>
          <w:bCs/>
        </w:rPr>
        <w:t>2. Článek V. odst. 4.</w:t>
      </w:r>
      <w:r>
        <w:rPr>
          <w:bCs/>
        </w:rPr>
        <w:t>, který zněl:</w:t>
      </w:r>
    </w:p>
    <w:p w:rsidR="00053A02" w:rsidRDefault="00053A02" w:rsidP="004F2558">
      <w:pPr>
        <w:jc w:val="both"/>
        <w:rPr>
          <w:bCs/>
          <w:i/>
        </w:rPr>
      </w:pPr>
      <w:r w:rsidRPr="0086329C">
        <w:rPr>
          <w:bCs/>
          <w:i/>
        </w:rPr>
        <w:t>4. Nastane-li podstatná změna okolností týkajících se řešení projektu, kterou příjemce nemohl předvídat, ani ji nezpůsobil, požádá písemně o změnu výše uznaných nákladů nejpozději do 7 kalendářních dnů ode dne, kdy se o takové skutečnosti dozvěděl.</w:t>
      </w:r>
    </w:p>
    <w:p w:rsidR="0086329C" w:rsidRDefault="0086329C" w:rsidP="004F2558">
      <w:pPr>
        <w:jc w:val="both"/>
        <w:rPr>
          <w:bCs/>
          <w:i/>
        </w:rPr>
      </w:pPr>
    </w:p>
    <w:p w:rsidR="0086329C" w:rsidRDefault="0086329C" w:rsidP="0086329C">
      <w:pPr>
        <w:jc w:val="both"/>
        <w:rPr>
          <w:b/>
          <w:bCs/>
        </w:rPr>
      </w:pPr>
      <w:r>
        <w:rPr>
          <w:b/>
          <w:bCs/>
        </w:rPr>
        <w:t>m</w:t>
      </w:r>
      <w:r w:rsidRPr="0086329C">
        <w:rPr>
          <w:b/>
          <w:bCs/>
        </w:rPr>
        <w:t>ění se</w:t>
      </w:r>
      <w:r>
        <w:rPr>
          <w:b/>
          <w:bCs/>
        </w:rPr>
        <w:t>:</w:t>
      </w:r>
    </w:p>
    <w:p w:rsidR="00F64527" w:rsidRDefault="00CF7929" w:rsidP="0086329C">
      <w:pPr>
        <w:jc w:val="both"/>
      </w:pPr>
      <w:r>
        <w:rPr>
          <w:b/>
        </w:rPr>
        <w:t xml:space="preserve">1. </w:t>
      </w:r>
      <w:r w:rsidR="00F64527" w:rsidRPr="00733562">
        <w:rPr>
          <w:b/>
        </w:rPr>
        <w:t xml:space="preserve">Článek </w:t>
      </w:r>
      <w:r>
        <w:rPr>
          <w:b/>
        </w:rPr>
        <w:t>III</w:t>
      </w:r>
      <w:r w:rsidR="004F2558">
        <w:rPr>
          <w:b/>
        </w:rPr>
        <w:t xml:space="preserve">. </w:t>
      </w:r>
      <w:r>
        <w:rPr>
          <w:b/>
        </w:rPr>
        <w:t xml:space="preserve">se mění v </w:t>
      </w:r>
      <w:r w:rsidR="00BC72F3">
        <w:rPr>
          <w:b/>
        </w:rPr>
        <w:t xml:space="preserve">odst. </w:t>
      </w:r>
      <w:r>
        <w:rPr>
          <w:b/>
        </w:rPr>
        <w:t xml:space="preserve">2, </w:t>
      </w:r>
      <w:r>
        <w:t>který nyní zní</w:t>
      </w:r>
      <w:r w:rsidR="00700621" w:rsidRPr="00733562">
        <w:t>:</w:t>
      </w:r>
    </w:p>
    <w:p w:rsidR="00CF7929" w:rsidRDefault="00CF7929" w:rsidP="0086329C">
      <w:pPr>
        <w:jc w:val="both"/>
        <w:rPr>
          <w:i/>
        </w:rPr>
      </w:pPr>
      <w:r w:rsidRPr="00CF7929">
        <w:rPr>
          <w:i/>
        </w:rPr>
        <w:t>2. Smlouva nabývá platnosti dnem jejího podpisu oběma smluvními stranami a účinnosti dnem uveřejnění v registru smluv.</w:t>
      </w:r>
    </w:p>
    <w:p w:rsidR="00CF7929" w:rsidRDefault="00CF7929" w:rsidP="0086329C">
      <w:pPr>
        <w:jc w:val="both"/>
      </w:pPr>
      <w:r>
        <w:rPr>
          <w:b/>
        </w:rPr>
        <w:t>2. Článek V. se mění v odst. 2.,</w:t>
      </w:r>
      <w:r>
        <w:t xml:space="preserve"> který nyní zní:</w:t>
      </w:r>
    </w:p>
    <w:p w:rsidR="00CF7929" w:rsidRDefault="0031043D" w:rsidP="0086329C">
      <w:pPr>
        <w:jc w:val="both"/>
        <w:rPr>
          <w:i/>
        </w:rPr>
      </w:pPr>
      <w:r w:rsidRPr="0031043D">
        <w:rPr>
          <w:i/>
        </w:rPr>
        <w:t>2. Do uznaných nákladů se zahrnují způsobilé náklady</w:t>
      </w:r>
      <w:r w:rsidRPr="0031043D">
        <w:rPr>
          <w:i/>
          <w:spacing w:val="-4"/>
        </w:rPr>
        <w:t xml:space="preserve"> vymezené </w:t>
      </w:r>
      <w:r w:rsidRPr="0031043D">
        <w:rPr>
          <w:i/>
        </w:rPr>
        <w:t>v souladu se zákonem č. 130/2002 Sb. v příloze č. 4 této smlouvy, vzniklé a zaúčtované</w:t>
      </w:r>
      <w:r>
        <w:rPr>
          <w:i/>
        </w:rPr>
        <w:t xml:space="preserve"> do </w:t>
      </w:r>
      <w:r w:rsidRPr="0031043D">
        <w:rPr>
          <w:i/>
        </w:rPr>
        <w:t> dané</w:t>
      </w:r>
      <w:r>
        <w:rPr>
          <w:i/>
        </w:rPr>
        <w:t>ho kalendářního roku</w:t>
      </w:r>
      <w:r w:rsidRPr="0031043D">
        <w:rPr>
          <w:i/>
        </w:rPr>
        <w:t xml:space="preserve"> řešení projektu a uhrazené nejpozději v termínech stanovených v Článku VI. odst. 1 </w:t>
      </w:r>
      <w:r>
        <w:rPr>
          <w:i/>
        </w:rPr>
        <w:t>S</w:t>
      </w:r>
      <w:r w:rsidRPr="0031043D">
        <w:rPr>
          <w:i/>
        </w:rPr>
        <w:t xml:space="preserve">mlouvy, přičemž tyto náklady / výdaje musí být skutečné, nezbytně nutné a přímo související s plněním cílů a parametrů projektu stanovených pro daný kalendářní rok v příloze č. 2 této smlouvy. Uznány mohou být náklady / výdaje vzniklé ode dne, který byl stanoven jako začátek řešení projektu. Pokud dojde k nabytí účinnosti </w:t>
      </w:r>
      <w:r>
        <w:rPr>
          <w:i/>
        </w:rPr>
        <w:t>S</w:t>
      </w:r>
      <w:r w:rsidRPr="0031043D">
        <w:rPr>
          <w:i/>
        </w:rPr>
        <w:t xml:space="preserve">mlouvy ke dni pozdějšímu, bude na náklady / výdaje spotřebované na řešení projektu mezi těmito dny pohlíženo, jako by se jednalo o náklady / výdaje spotřebované po nabytí účinnosti </w:t>
      </w:r>
      <w:r>
        <w:rPr>
          <w:i/>
        </w:rPr>
        <w:t>S</w:t>
      </w:r>
      <w:r w:rsidRPr="0031043D">
        <w:rPr>
          <w:i/>
        </w:rPr>
        <w:t>mlouvy.</w:t>
      </w:r>
    </w:p>
    <w:p w:rsidR="0031043D" w:rsidRDefault="0031043D" w:rsidP="0086329C">
      <w:pPr>
        <w:jc w:val="both"/>
      </w:pPr>
      <w:r>
        <w:rPr>
          <w:b/>
        </w:rPr>
        <w:t xml:space="preserve">3. Článek V se mění v odst. 3., </w:t>
      </w:r>
      <w:r>
        <w:t>který nyní zní:</w:t>
      </w:r>
    </w:p>
    <w:p w:rsidR="0031043D" w:rsidRDefault="0031043D" w:rsidP="0086329C">
      <w:pPr>
        <w:jc w:val="both"/>
        <w:rPr>
          <w:i/>
          <w:spacing w:val="4"/>
        </w:rPr>
      </w:pPr>
      <w:r w:rsidRPr="0031043D">
        <w:rPr>
          <w:i/>
        </w:rPr>
        <w:t xml:space="preserve">3. </w:t>
      </w:r>
      <w:r w:rsidRPr="0031043D">
        <w:rPr>
          <w:i/>
          <w:spacing w:val="-8"/>
        </w:rPr>
        <w:t xml:space="preserve">O případnou změnu </w:t>
      </w:r>
      <w:r>
        <w:rPr>
          <w:i/>
          <w:spacing w:val="-8"/>
        </w:rPr>
        <w:t xml:space="preserve">uznaných nákladů uvedených v příloze č. 1 Smlouvy a změnu věcné náplně uvedenou v příloze </w:t>
      </w:r>
      <w:proofErr w:type="gramStart"/>
      <w:r>
        <w:rPr>
          <w:i/>
          <w:spacing w:val="-8"/>
        </w:rPr>
        <w:t>č.2 Smlouvy</w:t>
      </w:r>
      <w:proofErr w:type="gramEnd"/>
      <w:r>
        <w:rPr>
          <w:i/>
          <w:spacing w:val="-8"/>
        </w:rPr>
        <w:t xml:space="preserve"> musí příjemce ve smyslu </w:t>
      </w:r>
      <w:r w:rsidRPr="0031043D">
        <w:rPr>
          <w:i/>
          <w:spacing w:val="-8"/>
        </w:rPr>
        <w:t>Čl</w:t>
      </w:r>
      <w:r>
        <w:rPr>
          <w:i/>
          <w:spacing w:val="-8"/>
        </w:rPr>
        <w:t>.</w:t>
      </w:r>
      <w:r w:rsidRPr="0031043D">
        <w:rPr>
          <w:i/>
          <w:spacing w:val="-8"/>
        </w:rPr>
        <w:t xml:space="preserve"> VI. odst. </w:t>
      </w:r>
      <w:r>
        <w:rPr>
          <w:i/>
          <w:spacing w:val="-8"/>
        </w:rPr>
        <w:t>9</w:t>
      </w:r>
      <w:r w:rsidRPr="0031043D">
        <w:rPr>
          <w:i/>
          <w:spacing w:val="-8"/>
        </w:rPr>
        <w:t xml:space="preserve"> požádat písemně příjemce</w:t>
      </w:r>
      <w:r>
        <w:rPr>
          <w:i/>
          <w:spacing w:val="-8"/>
        </w:rPr>
        <w:t xml:space="preserve"> (poskytovatele)</w:t>
      </w:r>
      <w:r w:rsidRPr="0031043D">
        <w:rPr>
          <w:i/>
          <w:spacing w:val="-8"/>
        </w:rPr>
        <w:t xml:space="preserve">. </w:t>
      </w:r>
      <w:r w:rsidRPr="0031043D">
        <w:rPr>
          <w:i/>
          <w:spacing w:val="4"/>
        </w:rPr>
        <w:t xml:space="preserve">Výše uznaných nákladů, a s tím související výše účelové podpory stanovené </w:t>
      </w:r>
      <w:r>
        <w:rPr>
          <w:i/>
          <w:spacing w:val="4"/>
        </w:rPr>
        <w:t>S</w:t>
      </w:r>
      <w:r w:rsidRPr="0031043D">
        <w:rPr>
          <w:i/>
          <w:spacing w:val="4"/>
        </w:rPr>
        <w:t>mlouvou</w:t>
      </w:r>
      <w:r w:rsidRPr="0031043D">
        <w:rPr>
          <w:i/>
          <w:color w:val="0070C0"/>
          <w:spacing w:val="4"/>
        </w:rPr>
        <w:t xml:space="preserve"> </w:t>
      </w:r>
      <w:r w:rsidRPr="0031043D">
        <w:rPr>
          <w:i/>
          <w:spacing w:val="4"/>
        </w:rPr>
        <w:t>na celou dobu řešení projektu, nemohou být v průběhu řešení projektu změněny o více než 50 %.</w:t>
      </w:r>
    </w:p>
    <w:p w:rsidR="00AE219B" w:rsidRDefault="00AE219B" w:rsidP="0086329C">
      <w:pPr>
        <w:jc w:val="both"/>
        <w:rPr>
          <w:b/>
          <w:spacing w:val="4"/>
        </w:rPr>
      </w:pPr>
      <w:r w:rsidRPr="00AE219B">
        <w:rPr>
          <w:b/>
          <w:spacing w:val="4"/>
        </w:rPr>
        <w:t>4.</w:t>
      </w:r>
      <w:r>
        <w:rPr>
          <w:b/>
          <w:spacing w:val="4"/>
        </w:rPr>
        <w:t xml:space="preserve"> </w:t>
      </w:r>
      <w:r w:rsidRPr="00AE219B">
        <w:rPr>
          <w:b/>
          <w:spacing w:val="4"/>
        </w:rPr>
        <w:t xml:space="preserve">Článek VI. </w:t>
      </w:r>
      <w:r>
        <w:rPr>
          <w:b/>
          <w:spacing w:val="4"/>
        </w:rPr>
        <w:t>s</w:t>
      </w:r>
      <w:r w:rsidRPr="00AE219B">
        <w:rPr>
          <w:b/>
          <w:spacing w:val="4"/>
        </w:rPr>
        <w:t>e mění v</w:t>
      </w:r>
      <w:r w:rsidR="00604297">
        <w:rPr>
          <w:b/>
          <w:spacing w:val="4"/>
        </w:rPr>
        <w:t xml:space="preserve"> celém rozsahu </w:t>
      </w:r>
      <w:r w:rsidR="00604297" w:rsidRPr="00603CF6">
        <w:rPr>
          <w:spacing w:val="4"/>
        </w:rPr>
        <w:t>a nyní zní</w:t>
      </w:r>
      <w:r w:rsidR="00604297">
        <w:rPr>
          <w:b/>
          <w:spacing w:val="4"/>
        </w:rPr>
        <w:t>:</w:t>
      </w:r>
    </w:p>
    <w:p w:rsidR="00604297" w:rsidRDefault="00604297" w:rsidP="0086329C">
      <w:pPr>
        <w:jc w:val="both"/>
        <w:rPr>
          <w:i/>
          <w:spacing w:val="4"/>
        </w:rPr>
      </w:pPr>
      <w:r>
        <w:rPr>
          <w:i/>
          <w:spacing w:val="4"/>
        </w:rPr>
        <w:t xml:space="preserve">1. Další účastník projektu je povinen čerpat a použít účelovou podporu dle této smlouvy výhradně k úhradě uznaných nákladů projektu uvedených v Článku V. </w:t>
      </w:r>
      <w:proofErr w:type="gramStart"/>
      <w:r>
        <w:rPr>
          <w:i/>
          <w:spacing w:val="4"/>
        </w:rPr>
        <w:t>odst.2 Smlouvy</w:t>
      </w:r>
      <w:proofErr w:type="gramEnd"/>
      <w:r>
        <w:rPr>
          <w:i/>
          <w:spacing w:val="4"/>
        </w:rPr>
        <w:t>, a to nejpozději do 15. ledna následujícího kalendářního roku, přičemž další účastník projektu je povinen postupovat v souladu se zákonem č. 130/2002 Sb., zákonem č. 218/2000 Sb., zákon o rozpočtových pravidlech a o změně některých souvisejících zákonů, ve znění pozdějších předpisů (dále jen „zákon č. 218/2000 Sb.“) a se zákonem č. 563/1991 Sb., o účetnictví, ve znění pozdějších předpisů (dále jen „zákon č. 563/1991Sb.“).</w:t>
      </w:r>
    </w:p>
    <w:p w:rsidR="00604297" w:rsidRPr="00604297" w:rsidRDefault="00604297" w:rsidP="0086329C">
      <w:pPr>
        <w:jc w:val="both"/>
        <w:rPr>
          <w:i/>
        </w:rPr>
      </w:pPr>
      <w:r>
        <w:rPr>
          <w:i/>
          <w:spacing w:val="4"/>
        </w:rPr>
        <w:t>Vzhledem k tomu, že projekt končí v průběhu kalendářního roku, je další účastník projektu zároveň povinen čerpat a použít účelovou podporu pro kalendářní rok 2020 do konce termínu ukončení řešení projektu uvedeného v Článku III. odst. 3. této smlouvy.</w:t>
      </w:r>
    </w:p>
    <w:p w:rsidR="00AE219B" w:rsidRDefault="00AE219B" w:rsidP="00AE219B">
      <w:pPr>
        <w:jc w:val="both"/>
        <w:rPr>
          <w:i/>
          <w:color w:val="000000"/>
        </w:rPr>
      </w:pPr>
      <w:r w:rsidRPr="00AE219B">
        <w:rPr>
          <w:i/>
          <w:spacing w:val="-4"/>
        </w:rPr>
        <w:t xml:space="preserve">2. Čerpáním a použitím účelové podpory se rozumí převod finančních prostředků z bankovního účtu zřízeného podle Článku IV. odst. 1. </w:t>
      </w:r>
      <w:r>
        <w:rPr>
          <w:i/>
          <w:spacing w:val="-4"/>
        </w:rPr>
        <w:t>S</w:t>
      </w:r>
      <w:r w:rsidRPr="00AE219B">
        <w:rPr>
          <w:i/>
          <w:spacing w:val="-4"/>
        </w:rPr>
        <w:t xml:space="preserve">mlouvy, a to buď formou přímé platby dodavatelům (v případě plátců daně z přidané hodnoty bez DPH) nebo převodem na jiný vlastní bankovní účet (nebo do vlastní pokladny) v případech, kdy uznané náklady byly již uhrazeny z vlastních, příp. jiných finančních prostředků (neveřejných zdrojů). </w:t>
      </w:r>
      <w:r w:rsidRPr="00AE219B">
        <w:rPr>
          <w:i/>
        </w:rPr>
        <w:t>V případě převodu na jiný vlastní bankovní účet (nebo do vlastní pokladny) je </w:t>
      </w:r>
      <w:r w:rsidRPr="00AE219B">
        <w:rPr>
          <w:i/>
          <w:spacing w:val="-4"/>
        </w:rPr>
        <w:t>další účastník</w:t>
      </w:r>
      <w:r w:rsidRPr="00AE219B">
        <w:rPr>
          <w:i/>
        </w:rPr>
        <w:t xml:space="preserve"> projektu povinen tento převod doložit soupisem nákladů, které byly </w:t>
      </w:r>
      <w:r w:rsidRPr="00AE219B">
        <w:rPr>
          <w:i/>
          <w:color w:val="000000"/>
        </w:rPr>
        <w:t xml:space="preserve">již uhrazeny z neveřejných zdrojů. </w:t>
      </w:r>
    </w:p>
    <w:p w:rsidR="00AE219B" w:rsidRDefault="00604297" w:rsidP="00AE219B">
      <w:pPr>
        <w:jc w:val="both"/>
        <w:rPr>
          <w:i/>
          <w:color w:val="000000"/>
        </w:rPr>
      </w:pPr>
      <w:r>
        <w:rPr>
          <w:i/>
          <w:color w:val="000000"/>
        </w:rPr>
        <w:t>3</w:t>
      </w:r>
      <w:r w:rsidR="00AE219B" w:rsidRPr="00AE219B">
        <w:rPr>
          <w:i/>
          <w:color w:val="000000"/>
        </w:rPr>
        <w:t>. Příjemce (další účastník) bude po celou dobu realizace projektu používat metod</w:t>
      </w:r>
      <w:r w:rsidR="00A76CE8">
        <w:rPr>
          <w:i/>
          <w:color w:val="000000"/>
        </w:rPr>
        <w:t>u</w:t>
      </w:r>
      <w:r w:rsidR="00AE219B" w:rsidRPr="00AE219B">
        <w:rPr>
          <w:i/>
          <w:color w:val="000000"/>
        </w:rPr>
        <w:t xml:space="preserve"> „</w:t>
      </w:r>
      <w:proofErr w:type="spellStart"/>
      <w:r w:rsidR="00603CF6">
        <w:rPr>
          <w:i/>
          <w:color w:val="000000"/>
        </w:rPr>
        <w:t>flat</w:t>
      </w:r>
      <w:proofErr w:type="spellEnd"/>
      <w:r w:rsidR="00603CF6">
        <w:rPr>
          <w:i/>
          <w:color w:val="000000"/>
        </w:rPr>
        <w:t xml:space="preserve"> </w:t>
      </w:r>
      <w:proofErr w:type="spellStart"/>
      <w:r w:rsidR="00603CF6">
        <w:rPr>
          <w:i/>
          <w:color w:val="000000"/>
        </w:rPr>
        <w:t>rate</w:t>
      </w:r>
      <w:proofErr w:type="spellEnd"/>
      <w:r w:rsidR="00AE219B" w:rsidRPr="00AE219B">
        <w:rPr>
          <w:i/>
          <w:color w:val="000000"/>
        </w:rPr>
        <w:t>“ uplatňování (účtování) doplňkových režijních nákladů.</w:t>
      </w:r>
    </w:p>
    <w:p w:rsidR="00603CF6" w:rsidRDefault="00603CF6" w:rsidP="00AE219B">
      <w:pPr>
        <w:jc w:val="both"/>
        <w:rPr>
          <w:i/>
          <w:color w:val="000000"/>
        </w:rPr>
      </w:pPr>
      <w:r>
        <w:rPr>
          <w:i/>
          <w:color w:val="000000"/>
        </w:rPr>
        <w:t>4. Jestliže další účastník projektu uplatňuje nárok na odpočet DPH, nelze úhradu DPH považovat za uznaný náklad.</w:t>
      </w:r>
    </w:p>
    <w:p w:rsidR="00603CF6" w:rsidRDefault="00603CF6" w:rsidP="00AE219B">
      <w:pPr>
        <w:jc w:val="both"/>
        <w:rPr>
          <w:i/>
          <w:color w:val="000000"/>
        </w:rPr>
      </w:pPr>
      <w:r>
        <w:rPr>
          <w:i/>
          <w:color w:val="000000"/>
        </w:rPr>
        <w:t>5. Další účastník projektu je povinen vést o uznaných nákladech samostatnou účetní evidenci podle zákona č. 563/1991 Sb., a v rámci této evidence sledovat výdaje nebo náklady hrazené z poskytnuté účelové podpory. Tuto evidenci uchovávat nejméně po dobu deseti let ode dne ukončení řešení projektu.</w:t>
      </w:r>
    </w:p>
    <w:p w:rsidR="00603CF6" w:rsidRDefault="00603CF6" w:rsidP="00AE219B">
      <w:pPr>
        <w:jc w:val="both"/>
        <w:rPr>
          <w:i/>
          <w:color w:val="000000"/>
        </w:rPr>
      </w:pPr>
      <w:r>
        <w:rPr>
          <w:i/>
          <w:color w:val="000000"/>
        </w:rPr>
        <w:t>6. Další účastník projektu je povinen vést vlastní samostatný bankovní účet určený výlučně pro financování předmětného projektu z účelové podpory. Jakékoliv</w:t>
      </w:r>
      <w:r w:rsidR="00970251">
        <w:rPr>
          <w:i/>
          <w:color w:val="000000"/>
        </w:rPr>
        <w:t xml:space="preserve"> změny týkající se samostatného bankovního účtu uvedeného v článku IV. odst. 1 této smlouvy je další účastník projektu povinen neprodleně oznámit příjemci. Změna tohoto bankovního účtu může být provedena pouze na základě předem uzavřeného písemného dodatku k této smlouvě. Po obdržení účelové podpory je další účastník povinen zaslat neprodleně příjemci kopii z příslušného bankovního účtu.</w:t>
      </w:r>
    </w:p>
    <w:p w:rsidR="00970251" w:rsidRDefault="00970251" w:rsidP="00AE219B">
      <w:pPr>
        <w:jc w:val="both"/>
        <w:rPr>
          <w:i/>
          <w:color w:val="000000"/>
        </w:rPr>
      </w:pPr>
      <w:r>
        <w:rPr>
          <w:i/>
          <w:color w:val="000000"/>
        </w:rPr>
        <w:t>7. Další účastník projektu je povinen zpracovat vlastní závazný účetní předpis upravující v souladu s touto smlouvou a obecně závaznými právními předpisy použití a účtování finančních prostředků na řešení projektu v členění na neveřejné zdroje a poskytnutou účelovou podporu a dále upravující postup při plnění dalších povinností vyplývajících z této smlouvy.</w:t>
      </w:r>
    </w:p>
    <w:p w:rsidR="001E0E9D" w:rsidRPr="001E0E9D" w:rsidRDefault="001E0E9D" w:rsidP="001E0E9D">
      <w:pPr>
        <w:jc w:val="both"/>
        <w:rPr>
          <w:i/>
        </w:rPr>
      </w:pPr>
      <w:r w:rsidRPr="001E0E9D">
        <w:rPr>
          <w:i/>
        </w:rPr>
        <w:t xml:space="preserve">8. V rámci celkových uznaných nákladů skutečně vynaložených na řešení projektu je další účastník projektu povinen nepřekročit míru účelové podpory stanovenou pro každý jednotlivý kalendářní rok ani maximální míru podpory stanovenou pro celou dobu realizace projektu v příloze č. 1 </w:t>
      </w:r>
      <w:r>
        <w:rPr>
          <w:i/>
        </w:rPr>
        <w:t>S</w:t>
      </w:r>
      <w:r w:rsidRPr="001E0E9D">
        <w:rPr>
          <w:i/>
        </w:rPr>
        <w:t xml:space="preserve">mlouvy. </w:t>
      </w:r>
      <w:r>
        <w:rPr>
          <w:i/>
          <w:spacing w:val="-2"/>
        </w:rPr>
        <w:t>V případě, že další účastník překročí stanovenou míru účelové podpory dle přílohy č. 1 Smlouvy, je další účastník prostřednictvím příjemce povinen vráti</w:t>
      </w:r>
      <w:r w:rsidR="00E7746D">
        <w:rPr>
          <w:i/>
          <w:spacing w:val="-2"/>
        </w:rPr>
        <w:t>t na bankovní účet</w:t>
      </w:r>
      <w:r>
        <w:rPr>
          <w:i/>
          <w:spacing w:val="-2"/>
        </w:rPr>
        <w:t xml:space="preserve"> poskytovatele do 15. února následujícího kalendářního roku tu část poskytnuté účelové podpory, o kterou byl překročen stanovený poměr financování.</w:t>
      </w:r>
      <w:r w:rsidR="007467AF">
        <w:rPr>
          <w:i/>
          <w:spacing w:val="-2"/>
        </w:rPr>
        <w:t xml:space="preserve"> </w:t>
      </w:r>
    </w:p>
    <w:p w:rsidR="00A55D1F" w:rsidRDefault="00E7746D" w:rsidP="00E7746D">
      <w:pPr>
        <w:jc w:val="both"/>
        <w:rPr>
          <w:i/>
          <w:color w:val="000000"/>
        </w:rPr>
      </w:pPr>
      <w:r w:rsidRPr="0094711D">
        <w:rPr>
          <w:i/>
          <w:color w:val="000000"/>
        </w:rPr>
        <w:t>9. Nastane-li podstatná změna okolností týkajících se řešení projektu, včetně dopadu na jeho financování, kterou příjemce nemohl předvídat, ani ji nezpůsobil, požádá písemně o změnu výše uznaných nákladů a věcně náplně jednotlivých etap řešení projektu nejpozději do 7 kalendářních dnů ode dne, kdy se o takové skutečnosti dozvěděl. Za podstatnou změnu je považována změn a v nákladové položce o více jak 20% (pokud současně změna v nákladové položce přesahuje 50 000 Kč) v daném roce, změna v časovém nebo obsahovém rozvržení jednotlivých etap řešení projektu a dále jakákoli změna, která má vliv na spln</w:t>
      </w:r>
      <w:r w:rsidR="00A55D1F">
        <w:rPr>
          <w:i/>
          <w:color w:val="000000"/>
        </w:rPr>
        <w:t xml:space="preserve">ění cílů projektu a jeho očekávaných výsledků. O jakoukoliv plánovanou změnu financování stanoveného přílohou č. 1 Smlouvy musí příjemce poskytovatele předem písemně požádat, a to s uvedením důvodu požadované změny. Stejně musí příjemce postupovat i v případě změny věcné náplně uvedené v příloze </w:t>
      </w:r>
      <w:proofErr w:type="gramStart"/>
      <w:r w:rsidR="00A55D1F">
        <w:rPr>
          <w:i/>
          <w:color w:val="000000"/>
        </w:rPr>
        <w:t>č.2 Smlouvy</w:t>
      </w:r>
      <w:proofErr w:type="gramEnd"/>
      <w:r w:rsidR="00A55D1F">
        <w:rPr>
          <w:i/>
          <w:color w:val="000000"/>
        </w:rPr>
        <w:t>.</w:t>
      </w:r>
    </w:p>
    <w:p w:rsidR="00970251" w:rsidRDefault="00970251" w:rsidP="00E7746D">
      <w:pPr>
        <w:jc w:val="both"/>
        <w:rPr>
          <w:i/>
          <w:color w:val="000000"/>
        </w:rPr>
      </w:pPr>
      <w:r>
        <w:rPr>
          <w:i/>
          <w:color w:val="000000"/>
        </w:rPr>
        <w:t>10. Další účastník projektu je dále povinen předložit příjemci podklady pro vypracování roční zprávy o realizaci a výsledcích projektu v průběhu každého kalendářního roku řešení vypracované vždy nejpozději do 15. prosince příslušného kalendářního roku.</w:t>
      </w:r>
    </w:p>
    <w:p w:rsidR="00970251" w:rsidRDefault="00970251" w:rsidP="00E7746D">
      <w:pPr>
        <w:jc w:val="both"/>
        <w:rPr>
          <w:i/>
          <w:color w:val="000000"/>
        </w:rPr>
      </w:pPr>
      <w:r>
        <w:rPr>
          <w:i/>
          <w:color w:val="000000"/>
        </w:rPr>
        <w:t>11. Další účastník projektu je dále povinen předložit příjemci po ukončení řešení projektu podklady pro vypracování závěrečné zprávy za celé období řešení projektu, a to minimálně 40 dní před závěrečným oponentním řízením.</w:t>
      </w:r>
    </w:p>
    <w:p w:rsidR="00E7746D" w:rsidRDefault="00A55D1F" w:rsidP="00E7746D">
      <w:pPr>
        <w:jc w:val="both"/>
        <w:rPr>
          <w:i/>
          <w:color w:val="000000"/>
        </w:rPr>
      </w:pPr>
      <w:r>
        <w:rPr>
          <w:i/>
          <w:color w:val="000000"/>
        </w:rPr>
        <w:t>12. Příjemce (další účastní</w:t>
      </w:r>
      <w:r w:rsidR="002F6AF2">
        <w:rPr>
          <w:i/>
          <w:color w:val="000000"/>
        </w:rPr>
        <w:t>k)</w:t>
      </w:r>
      <w:r>
        <w:rPr>
          <w:i/>
          <w:color w:val="000000"/>
        </w:rPr>
        <w:t xml:space="preserve"> je povinen odeslat poskytovateli přehled o dosavadním čerpání poskytnuté účelové podpory v daném roce a výhled čerpání účelové podpory do konce roku nejpozději do 31. října daného roku. Pokud z přehledů vyplývá, že účelová podpora na daný rok nebude zcela vyčerpána, příjemce (další účastník) vrátí část účelové podpory, která nebude čerpána, n</w:t>
      </w:r>
      <w:r w:rsidR="002F6AF2">
        <w:rPr>
          <w:i/>
          <w:color w:val="000000"/>
        </w:rPr>
        <w:t xml:space="preserve">a účet poskytovatele dotace do </w:t>
      </w:r>
      <w:r>
        <w:rPr>
          <w:i/>
          <w:color w:val="000000"/>
        </w:rPr>
        <w:t>10. prosince daného roku.</w:t>
      </w:r>
    </w:p>
    <w:p w:rsidR="00AD0308" w:rsidRDefault="00491A94" w:rsidP="00E7746D">
      <w:pPr>
        <w:jc w:val="both"/>
        <w:rPr>
          <w:i/>
          <w:color w:val="000000"/>
        </w:rPr>
      </w:pPr>
      <w:r>
        <w:rPr>
          <w:i/>
          <w:color w:val="000000"/>
        </w:rPr>
        <w:t xml:space="preserve">13. </w:t>
      </w:r>
      <w:r w:rsidR="001C559B">
        <w:rPr>
          <w:i/>
          <w:color w:val="000000"/>
        </w:rPr>
        <w:t>Další účastník je povinen odeslat poskytovateli prostřednictvím příjemce Přehled o financování projektu v průběhu každého kalendářního roku řešení nejpozději do 31. ledna následujícího roku. Příjemce je dále povinen předložit poskytovateli ověření vynaložených nákladů na realizaci projektu zpracované nezávislým auditorem nejpozději do 31. března následujícího roku po uplynutí příslušného kalendářního roku řešení projektu.</w:t>
      </w:r>
      <w:r w:rsidR="00AD0308">
        <w:rPr>
          <w:i/>
          <w:color w:val="000000"/>
        </w:rPr>
        <w:t xml:space="preserve"> Po ukončení projektu je další účastník prostřednictvím příjemce povinen odeslat poskytovateli Přehled o finančním vypořádání do jednoho měsíce po ukončení řešení projektu a ověření vynaložených nákladů na realizaci projektu za celou dobu řešení projektu zpracované nezávislým auditorem nejpozději do tří měsíců po ukončení řešení projektu.</w:t>
      </w:r>
    </w:p>
    <w:p w:rsidR="00AD0308" w:rsidRDefault="00491A94" w:rsidP="00E7746D">
      <w:pPr>
        <w:jc w:val="both"/>
        <w:rPr>
          <w:color w:val="000000"/>
        </w:rPr>
      </w:pPr>
      <w:r>
        <w:rPr>
          <w:i/>
          <w:color w:val="000000"/>
        </w:rPr>
        <w:t xml:space="preserve">14. </w:t>
      </w:r>
      <w:r w:rsidR="00AD0308" w:rsidRPr="00491A94">
        <w:rPr>
          <w:i/>
          <w:color w:val="000000"/>
        </w:rPr>
        <w:t>Příjemce je povinen vrátit na bankovní účet poskytovatele účelovou podporu, která nebyl</w:t>
      </w:r>
      <w:r w:rsidRPr="00491A94">
        <w:rPr>
          <w:i/>
          <w:color w:val="000000"/>
        </w:rPr>
        <w:t>a</w:t>
      </w:r>
      <w:r w:rsidR="00AD0308" w:rsidRPr="00491A94">
        <w:rPr>
          <w:i/>
          <w:color w:val="000000"/>
        </w:rPr>
        <w:t xml:space="preserve"> čerpána příjemcem (dalšími účastníky) v termínu dle Článku VI. </w:t>
      </w:r>
      <w:proofErr w:type="spellStart"/>
      <w:r w:rsidR="00AD0308" w:rsidRPr="00491A94">
        <w:rPr>
          <w:i/>
          <w:color w:val="000000"/>
        </w:rPr>
        <w:t>odst</w:t>
      </w:r>
      <w:proofErr w:type="spellEnd"/>
      <w:r w:rsidR="00AD0308" w:rsidRPr="00491A94">
        <w:rPr>
          <w:i/>
          <w:color w:val="000000"/>
        </w:rPr>
        <w:t xml:space="preserve"> 1. Smlouvy</w:t>
      </w:r>
      <w:r w:rsidRPr="00491A94">
        <w:rPr>
          <w:i/>
          <w:color w:val="000000"/>
        </w:rPr>
        <w:t xml:space="preserve"> ze samostatného bankovního účtu určeného výlučně pro financování projektu z účelové podpory poskytované na jeho řešení nejpozději do 15. února následujícího kalendářního roku. Vrácení účelové podpory bude příjemce poskytovateli avizovat předem. V případě, že vznikne povinnost k vrácení účelové podpory z jiných důvodů, než na podkladě přehledu o financování projektu nebo finančního vypořádání, je příjemce povinen neprodleně písemně požádat poskytovatel</w:t>
      </w:r>
      <w:r>
        <w:rPr>
          <w:i/>
          <w:color w:val="000000"/>
        </w:rPr>
        <w:t>e</w:t>
      </w:r>
      <w:r w:rsidRPr="00491A94">
        <w:rPr>
          <w:i/>
          <w:color w:val="000000"/>
        </w:rPr>
        <w:t xml:space="preserve"> o sdělení podmínek a způsobu vypořádání účelové podpory</w:t>
      </w:r>
      <w:r>
        <w:rPr>
          <w:color w:val="000000"/>
        </w:rPr>
        <w:t>.</w:t>
      </w:r>
    </w:p>
    <w:p w:rsidR="00491A94" w:rsidRDefault="00491A94" w:rsidP="00E7746D">
      <w:pPr>
        <w:jc w:val="both"/>
        <w:rPr>
          <w:color w:val="000000"/>
        </w:rPr>
      </w:pPr>
    </w:p>
    <w:p w:rsidR="00491A94" w:rsidRDefault="00491A94" w:rsidP="00E7746D">
      <w:pPr>
        <w:jc w:val="both"/>
        <w:rPr>
          <w:i/>
          <w:color w:val="000000"/>
        </w:rPr>
      </w:pPr>
      <w:r>
        <w:rPr>
          <w:i/>
          <w:color w:val="000000"/>
        </w:rPr>
        <w:t>15. U projektů končících v průběhu daného roku je příjemce (další účastník) povinen vrátit poskytovateli do tří měsíců od ukončení řešení projektu (nejpozději však do 15. února následujícího roku) účelovou podporu, která v tomto termínu nebyl vyčerpána příjemcem (dalšími účastníky), a to ze samostatného bankovního účtu určeného výlučně pro financování projektu z účelové podpory poskytované na jeho řešení.</w:t>
      </w:r>
      <w:r w:rsidR="00125EEA">
        <w:rPr>
          <w:i/>
          <w:color w:val="000000"/>
        </w:rPr>
        <w:t xml:space="preserve"> </w:t>
      </w:r>
    </w:p>
    <w:p w:rsidR="004D4C49" w:rsidRPr="004D4C49" w:rsidRDefault="00C57C1E" w:rsidP="00E7746D">
      <w:pPr>
        <w:jc w:val="both"/>
        <w:rPr>
          <w:i/>
          <w:color w:val="000000"/>
        </w:rPr>
      </w:pPr>
      <w:r>
        <w:rPr>
          <w:i/>
          <w:color w:val="000000"/>
        </w:rPr>
        <w:t xml:space="preserve">16. </w:t>
      </w:r>
      <w:r w:rsidR="004D4C49">
        <w:rPr>
          <w:i/>
          <w:color w:val="000000"/>
        </w:rPr>
        <w:t xml:space="preserve">Vyhodnocení výsledků řešení projektu včetně vypořádání poskytnuté podpory bude ověřeno na závěrečném oponentním řízení projektu. Příjemce je povinen navrhnout poskytovateli nejdéle do 2 měsíců po ukončení řešení projektu termín závěrečného oponentního řízení a toto řízení zorganizovat za účasti zástupce poskytovatele nejpozději do 180 kalendářních dní po ukončení řešení projektu. Příjemce je dále povinen předat poskytovateli originál zápisu ze závěrečného oponentního řízení včetně originálu prezenční listiny, originálu oponentních posudků, celkového závěrečného finančního vypořádání finančních prostředků vynaložených na řešení projektu spolu s ověřením vynaložených nákladů na realizaci projektu za dobu jeho řešení zpracované nezávislým auditorem. </w:t>
      </w:r>
    </w:p>
    <w:p w:rsidR="00125EEA" w:rsidRDefault="004D4C49" w:rsidP="00E7746D">
      <w:pPr>
        <w:jc w:val="both"/>
        <w:rPr>
          <w:i/>
          <w:color w:val="000000"/>
        </w:rPr>
      </w:pPr>
      <w:r>
        <w:rPr>
          <w:i/>
          <w:color w:val="000000"/>
        </w:rPr>
        <w:t>17</w:t>
      </w:r>
      <w:r w:rsidR="00125EEA" w:rsidRPr="00125EEA">
        <w:rPr>
          <w:i/>
          <w:color w:val="000000"/>
        </w:rPr>
        <w:t>. V případech, kdy je</w:t>
      </w:r>
      <w:r w:rsidR="00125EEA">
        <w:rPr>
          <w:i/>
          <w:color w:val="000000"/>
        </w:rPr>
        <w:t xml:space="preserve"> příjemcem nebo dalším účastníkem projektu účelové podpory veřejná vysoká škola dle zákone č. 111/1998 Sb., o vysokých školách a o změně a doplnění dalších zákonů (zákon o vysokých školách), ve znění pozdějších předpisů, nebo veřejná výzkumná instituce dle zákona č. 341/2005 Sb., o veřejných výzkumných institucích, ve znění pozdějších předpisů, může takový příjemce (další účastník) převést část poskytnuté účelové podpory z bankovního účtu</w:t>
      </w:r>
      <w:r w:rsidR="00610EE1">
        <w:rPr>
          <w:i/>
          <w:color w:val="000000"/>
        </w:rPr>
        <w:t xml:space="preserve"> určeného výlučně pro financování projektu z účelové podpory do svého fondu účelově určených prostředků (dále jen „FÚUP“), a to až do výše 5% z celkové účelové podpory poskytnuté mu v daném kalendářním roce. Ustanovení tohoto odstavce nelze použít v posledním roce řešení projektu. Účelovou podporu převedenou do FÚUP je příjemce (další účastníci projektu) povinen použít pouze v době řešení projektu a na úhradu uznaných nákladů projektu. Pro použití této účelové podpory je příjemce (další účastníci) povinen převést účelovou podporu z FÚUP na samostatný bankovní účet určený výlučně k financování projektu z účelové podpory.</w:t>
      </w:r>
    </w:p>
    <w:p w:rsidR="00610EE1" w:rsidRDefault="004D4C49" w:rsidP="00E7746D">
      <w:pPr>
        <w:jc w:val="both"/>
        <w:rPr>
          <w:i/>
          <w:color w:val="000000"/>
        </w:rPr>
      </w:pPr>
      <w:r>
        <w:rPr>
          <w:i/>
          <w:color w:val="000000"/>
        </w:rPr>
        <w:t>18</w:t>
      </w:r>
      <w:r w:rsidR="00610EE1" w:rsidRPr="00610EE1">
        <w:rPr>
          <w:i/>
          <w:color w:val="000000"/>
        </w:rPr>
        <w:t>. Nepřevedení</w:t>
      </w:r>
      <w:r w:rsidR="00610EE1">
        <w:rPr>
          <w:i/>
          <w:color w:val="000000"/>
        </w:rPr>
        <w:t xml:space="preserve"> části nečerpané účelové podpory do FÚUP a její ponechání na samostatném bankovním účtu, určeném výlučně pro financování projektu z účelové podpory v termínu dle Článku VI. odst. 1. Smlouvy, je považováno za nečerpanou účelovou podporu, kterou je příjemce (i za další účastníky projektu</w:t>
      </w:r>
      <w:r w:rsidR="0044451C">
        <w:rPr>
          <w:i/>
          <w:color w:val="000000"/>
        </w:rPr>
        <w:t>) povinen vrátit poskytovateli nejpozději do 15. února následujícího kalendářního roku. Nevyužité prostředky převedené do FÚUP vrací příjemce do státního rozpočtu v rámci vypořádání účelové podpory nejpozději za poslední rok řešení projektu. Podmínky tvorby a užití fondu účelově určených prostředků musí být stanoveny ve vlastním závazném interním předpisu příjemce (dalšího účastníka).</w:t>
      </w:r>
    </w:p>
    <w:p w:rsidR="00FE6FE2" w:rsidRDefault="002A2776" w:rsidP="00E7746D">
      <w:pPr>
        <w:jc w:val="both"/>
        <w:rPr>
          <w:i/>
          <w:color w:val="000000"/>
        </w:rPr>
      </w:pPr>
      <w:r>
        <w:rPr>
          <w:i/>
          <w:color w:val="000000"/>
        </w:rPr>
        <w:t xml:space="preserve">19. </w:t>
      </w:r>
      <w:r w:rsidR="00FE6FE2">
        <w:rPr>
          <w:i/>
          <w:color w:val="000000"/>
        </w:rPr>
        <w:t xml:space="preserve">Umožnit poskytovateli či jím pověřeným osobám provádět komplexní kontrolu plnění cílů projektu, využití výsledků řešení projektu a účetní evidence o uznaných nákladech a čerpání a užití poskytnuté účelové podpory, a to kdykoli v průběhu řešení projektu nebo </w:t>
      </w:r>
      <w:proofErr w:type="gramStart"/>
      <w:r w:rsidR="00FE6FE2">
        <w:rPr>
          <w:i/>
          <w:color w:val="000000"/>
        </w:rPr>
        <w:t>do  pěti</w:t>
      </w:r>
      <w:proofErr w:type="gramEnd"/>
      <w:r w:rsidR="00FE6FE2">
        <w:rPr>
          <w:i/>
          <w:color w:val="000000"/>
        </w:rPr>
        <w:t xml:space="preserve"> let od ukončení projektu. Tímto ujednáním nejsou dotčena ani omezena práva kontrolních a finančních orgánů státní správy České republiky.</w:t>
      </w:r>
    </w:p>
    <w:p w:rsidR="002A2776" w:rsidRPr="00C57C1E" w:rsidRDefault="002A2776" w:rsidP="00E7746D">
      <w:pPr>
        <w:jc w:val="both"/>
        <w:rPr>
          <w:i/>
          <w:color w:val="000000"/>
        </w:rPr>
      </w:pPr>
      <w:r w:rsidRPr="00C57C1E">
        <w:rPr>
          <w:i/>
          <w:color w:val="000000"/>
        </w:rPr>
        <w:t xml:space="preserve">20. Po ukončení řešení projektu pro potřeby Rejstříku informací o výsledcích (RIV) zpracovat a předat poskytovateli údaje o dosažených výsledcích projektu, a to pro výzkumné organizace v termínu do </w:t>
      </w:r>
      <w:proofErr w:type="gramStart"/>
      <w:r w:rsidRPr="00C57C1E">
        <w:rPr>
          <w:i/>
          <w:color w:val="000000"/>
        </w:rPr>
        <w:t>20.4. a pro</w:t>
      </w:r>
      <w:proofErr w:type="gramEnd"/>
      <w:r w:rsidRPr="00C57C1E">
        <w:rPr>
          <w:i/>
          <w:color w:val="000000"/>
        </w:rPr>
        <w:t xml:space="preserve"> ostatní příjemce v termínu do 20.6. Příjemce</w:t>
      </w:r>
      <w:r w:rsidR="00A1666B" w:rsidRPr="00C57C1E">
        <w:rPr>
          <w:i/>
          <w:color w:val="000000"/>
        </w:rPr>
        <w:t xml:space="preserve"> (další účastník) je povinen předat tyto údaje poskytovateli v rozsahu vymezeném v ustanovení § 31 zákona č. 130/2002 Sb., a to ve formě stanovené poskytovatelem.</w:t>
      </w:r>
    </w:p>
    <w:p w:rsidR="00A1666B" w:rsidRPr="00C57C1E" w:rsidRDefault="00A1666B" w:rsidP="00A1666B">
      <w:pPr>
        <w:pStyle w:val="Zkladntext"/>
        <w:rPr>
          <w:rFonts w:asciiTheme="minorHAnsi" w:hAnsiTheme="minorHAnsi"/>
          <w:i/>
          <w:spacing w:val="4"/>
          <w:sz w:val="22"/>
          <w:szCs w:val="22"/>
        </w:rPr>
      </w:pPr>
      <w:r w:rsidRPr="00C57C1E">
        <w:rPr>
          <w:rFonts w:asciiTheme="minorHAnsi" w:hAnsiTheme="minorHAnsi"/>
          <w:i/>
          <w:color w:val="000000"/>
          <w:sz w:val="22"/>
          <w:szCs w:val="22"/>
        </w:rPr>
        <w:t xml:space="preserve">21. </w:t>
      </w:r>
      <w:r w:rsidRPr="00C57C1E">
        <w:rPr>
          <w:rFonts w:asciiTheme="minorHAnsi" w:hAnsiTheme="minorHAnsi"/>
          <w:i/>
          <w:spacing w:val="4"/>
          <w:sz w:val="22"/>
          <w:szCs w:val="22"/>
        </w:rPr>
        <w:t xml:space="preserve">Po ukončení řešení projektu předkládat poskytovateli (příjemci) informaci o skutečně dosažených přínosech projektu na formuláři uvedeném v příloze č. 3 Smlouvy – Tabulka skutečně dosažených přínosů projektu, a to 1 x ročně za uplynulý kalendářní rok po dobu 3 let, počínaje prvním rokem po ukončení řešení projektu, vždy nejpozději do 31. ledna následujícího kalendářního </w:t>
      </w:r>
      <w:proofErr w:type="gramStart"/>
      <w:r w:rsidRPr="00C57C1E">
        <w:rPr>
          <w:rFonts w:asciiTheme="minorHAnsi" w:hAnsiTheme="minorHAnsi"/>
          <w:i/>
          <w:spacing w:val="4"/>
          <w:sz w:val="22"/>
          <w:szCs w:val="22"/>
        </w:rPr>
        <w:t>roku,</w:t>
      </w:r>
      <w:r w:rsidR="002F6AF2">
        <w:rPr>
          <w:rFonts w:asciiTheme="minorHAnsi" w:hAnsiTheme="minorHAnsi"/>
          <w:i/>
          <w:spacing w:val="4"/>
          <w:sz w:val="22"/>
          <w:szCs w:val="22"/>
        </w:rPr>
        <w:t xml:space="preserve"> </w:t>
      </w:r>
      <w:r w:rsidRPr="00C57C1E">
        <w:rPr>
          <w:rFonts w:asciiTheme="minorHAnsi" w:hAnsiTheme="minorHAnsi"/>
          <w:i/>
          <w:spacing w:val="4"/>
          <w:sz w:val="22"/>
          <w:szCs w:val="22"/>
        </w:rPr>
        <w:t>a  to</w:t>
      </w:r>
      <w:proofErr w:type="gramEnd"/>
      <w:r w:rsidRPr="00C57C1E">
        <w:rPr>
          <w:rFonts w:asciiTheme="minorHAnsi" w:hAnsiTheme="minorHAnsi"/>
          <w:i/>
          <w:spacing w:val="4"/>
          <w:sz w:val="22"/>
          <w:szCs w:val="22"/>
        </w:rPr>
        <w:t xml:space="preserve"> písemně i elektronicky v editovatelném formátu.</w:t>
      </w:r>
    </w:p>
    <w:p w:rsidR="00A1666B" w:rsidRPr="00C57C1E" w:rsidRDefault="00A1666B" w:rsidP="00A1666B">
      <w:pPr>
        <w:pStyle w:val="Zkladntext"/>
        <w:rPr>
          <w:i/>
          <w:spacing w:val="4"/>
          <w:sz w:val="22"/>
          <w:szCs w:val="22"/>
        </w:rPr>
      </w:pPr>
    </w:p>
    <w:p w:rsidR="00A1666B" w:rsidRPr="00C57C1E" w:rsidRDefault="00A1666B" w:rsidP="00A1666B">
      <w:pPr>
        <w:pStyle w:val="Zkladntext"/>
        <w:rPr>
          <w:b/>
          <w:spacing w:val="4"/>
          <w:sz w:val="22"/>
          <w:szCs w:val="22"/>
        </w:rPr>
      </w:pPr>
    </w:p>
    <w:p w:rsidR="00A1666B" w:rsidRPr="00C57C1E" w:rsidRDefault="00A1666B" w:rsidP="00A1666B">
      <w:pPr>
        <w:jc w:val="both"/>
        <w:rPr>
          <w:i/>
          <w:spacing w:val="-6"/>
        </w:rPr>
      </w:pPr>
      <w:r w:rsidRPr="00C57C1E">
        <w:rPr>
          <w:i/>
          <w:color w:val="000000"/>
        </w:rPr>
        <w:t xml:space="preserve">22. </w:t>
      </w:r>
      <w:r w:rsidRPr="00C57C1E">
        <w:rPr>
          <w:i/>
          <w:spacing w:val="-6"/>
        </w:rPr>
        <w:t xml:space="preserve">Předkládat příjemci veškeré doklady dle této smlouvy a zasílat mu příslušnou korespondenci (např. žádosti, změny, zprávy, atd.). </w:t>
      </w:r>
      <w:proofErr w:type="gramStart"/>
      <w:r w:rsidRPr="00C57C1E">
        <w:rPr>
          <w:i/>
          <w:spacing w:val="-6"/>
        </w:rPr>
        <w:t>výlučně</w:t>
      </w:r>
      <w:proofErr w:type="gramEnd"/>
      <w:r w:rsidRPr="00C57C1E">
        <w:rPr>
          <w:i/>
          <w:spacing w:val="-6"/>
        </w:rPr>
        <w:t xml:space="preserve"> prostřednictvím příslušného odboru Ministerstva průmyslu a obchodu.</w:t>
      </w:r>
    </w:p>
    <w:p w:rsidR="00A1666B" w:rsidRPr="00C57C1E" w:rsidRDefault="00A1666B" w:rsidP="00A1666B">
      <w:pPr>
        <w:jc w:val="both"/>
        <w:rPr>
          <w:i/>
          <w:spacing w:val="-6"/>
        </w:rPr>
      </w:pPr>
      <w:r w:rsidRPr="00C57C1E">
        <w:rPr>
          <w:i/>
          <w:color w:val="000000"/>
        </w:rPr>
        <w:t xml:space="preserve">23. </w:t>
      </w:r>
      <w:r w:rsidRPr="00C57C1E">
        <w:rPr>
          <w:i/>
          <w:spacing w:val="-6"/>
        </w:rPr>
        <w:t>Postupovat při nakládání s účelovou podporou poskytnutou na základě této smlouvy a s majetkem a právy za ně pořízenými v souladu s obecně závaznými právními předpisy, týkajícími se hospodaření s prostředky státního rozpočtu a s majetkem státu (zejména zákonem č. 218/2000 Sb. a zákonem č. 219/2000 Sb., o majetku České republiky a jejím vystupování v právních vztazích</w:t>
      </w:r>
      <w:r w:rsidRPr="00C57C1E">
        <w:rPr>
          <w:rFonts w:eastAsia="SimSun"/>
          <w:i/>
          <w:spacing w:val="-6"/>
        </w:rPr>
        <w:t>, ve znění pozdějších předpisů</w:t>
      </w:r>
      <w:r w:rsidRPr="00C57C1E">
        <w:rPr>
          <w:i/>
          <w:spacing w:val="-6"/>
        </w:rPr>
        <w:t>).</w:t>
      </w:r>
    </w:p>
    <w:p w:rsidR="00A1666B" w:rsidRPr="00C57C1E" w:rsidRDefault="00A1666B" w:rsidP="00A1666B">
      <w:pPr>
        <w:jc w:val="both"/>
        <w:rPr>
          <w:i/>
        </w:rPr>
      </w:pPr>
      <w:r w:rsidRPr="00C57C1E">
        <w:rPr>
          <w:i/>
          <w:color w:val="000000"/>
        </w:rPr>
        <w:t xml:space="preserve">24. </w:t>
      </w:r>
      <w:r w:rsidRPr="00C57C1E">
        <w:rPr>
          <w:i/>
        </w:rPr>
        <w:t>Zajistit, aby v  informacích zveřejňovaných v souvislosti s projektem bylo vždy uvedeno: „Tento projekt byl realizován za finanční podpory z prostředků státního rozpočtu prostřednictvím Ministerstva průmyslu a obchodu</w:t>
      </w:r>
      <w:r w:rsidR="00712F92" w:rsidRPr="00C57C1E">
        <w:rPr>
          <w:i/>
        </w:rPr>
        <w:t xml:space="preserve"> v programu TRIO</w:t>
      </w:r>
      <w:r w:rsidRPr="00C57C1E">
        <w:rPr>
          <w:i/>
        </w:rPr>
        <w:t>“.</w:t>
      </w:r>
    </w:p>
    <w:p w:rsidR="00712F92" w:rsidRPr="00C57C1E" w:rsidRDefault="00712F92" w:rsidP="00A1666B">
      <w:pPr>
        <w:jc w:val="both"/>
        <w:rPr>
          <w:i/>
          <w:color w:val="000000"/>
        </w:rPr>
      </w:pPr>
      <w:r w:rsidRPr="00C57C1E">
        <w:rPr>
          <w:i/>
          <w:color w:val="000000"/>
        </w:rPr>
        <w:t xml:space="preserve">25. </w:t>
      </w:r>
      <w:r w:rsidRPr="00C57C1E">
        <w:rPr>
          <w:i/>
        </w:rPr>
        <w:t>Na požádání poskytnout příjemci i poskytovateli bezplatné, nevýlučné a neodvolatelné právo reprodukovat a rozšiřovat, a to jak v písemné, tak i elektronické podobě na jakémkoliv nosiči informací, jakékoliv odborné texty týkající se řešení a výsledků projektu publikované příjemcem (dalším účastníkem projektu), nebo publikované s jeho souhlasem, k nimž má příjemce (další účastník projektu) autorská práva nebo je jejich oprávněným uživatelem.</w:t>
      </w:r>
    </w:p>
    <w:p w:rsidR="00712F92" w:rsidRPr="00C57C1E" w:rsidRDefault="00712F92" w:rsidP="00712F92">
      <w:pPr>
        <w:jc w:val="both"/>
        <w:rPr>
          <w:i/>
        </w:rPr>
      </w:pPr>
      <w:r w:rsidRPr="00C57C1E">
        <w:rPr>
          <w:i/>
          <w:color w:val="000000"/>
        </w:rPr>
        <w:t xml:space="preserve">26. </w:t>
      </w:r>
      <w:r w:rsidRPr="00C57C1E">
        <w:rPr>
          <w:i/>
        </w:rPr>
        <w:t>Informovat poskytovatele prostřednictvím příjemce o  případné neschopnosti plnit řádně a včas povinné zákonné odvody, povinnosti vyplývající pro něj z této smlouvy a o všech významných změnách svého majetkoprávního postavení či údajů a skutečností požadovaných pro prokázání způsobilosti, jakými jsou zejména vznik, spojení či rozdělení instituce, apod., a to nejpozději do 7 kalendářních dnů ode dne, kdy se o takové skutečnosti dozví. Další účastník projektu je dále povinen kdykoliv  na základě žádosti příjemce i poskytovatele prokázat, že je stále způsobilý k řešení projektu ve smyslu ustanovení § 18 zákona č. 130/2002 Sb.</w:t>
      </w:r>
    </w:p>
    <w:p w:rsidR="00DD6A1B" w:rsidRPr="00C57C1E" w:rsidRDefault="00712F92" w:rsidP="00DD6A1B">
      <w:pPr>
        <w:jc w:val="both"/>
        <w:rPr>
          <w:i/>
          <w:color w:val="000000"/>
        </w:rPr>
      </w:pPr>
      <w:r w:rsidRPr="00C57C1E">
        <w:rPr>
          <w:i/>
          <w:color w:val="000000"/>
        </w:rPr>
        <w:t xml:space="preserve">27. </w:t>
      </w:r>
      <w:r w:rsidRPr="00C57C1E">
        <w:rPr>
          <w:i/>
        </w:rPr>
        <w:t xml:space="preserve">Vrátit na účet poskytovatele prostřednictvím příjemce dle pokynu poskytovatele účelovou podporu poskytnutou v daném kalendářním roce, včetně majetkového prospěchu získaného v souvislosti s použitím účelové podpory, a to do 20 dnů ode dne, kdy oznámí, nebo kdy měl oznámit poskytovateli ve smyslu Článku VI. odst. 26 </w:t>
      </w:r>
      <w:r w:rsidR="00DD6A1B" w:rsidRPr="00C57C1E">
        <w:rPr>
          <w:i/>
        </w:rPr>
        <w:t>S</w:t>
      </w:r>
      <w:r w:rsidRPr="00C57C1E">
        <w:rPr>
          <w:i/>
        </w:rPr>
        <w:t>mlouvy, že nastaly skutečnosti, na jejichž základě nebude moci nadále plnit své povinnosti vyplývající pro něj z této smlouvy.</w:t>
      </w:r>
    </w:p>
    <w:p w:rsidR="00712F92" w:rsidRDefault="00DD6A1B" w:rsidP="00712F92">
      <w:pPr>
        <w:jc w:val="both"/>
        <w:rPr>
          <w:i/>
        </w:rPr>
      </w:pPr>
      <w:r w:rsidRPr="00C57C1E">
        <w:rPr>
          <w:i/>
        </w:rPr>
        <w:t>2</w:t>
      </w:r>
      <w:r w:rsidR="00C57C1E" w:rsidRPr="00C57C1E">
        <w:rPr>
          <w:i/>
        </w:rPr>
        <w:t>8</w:t>
      </w:r>
      <w:r w:rsidRPr="00C57C1E">
        <w:rPr>
          <w:i/>
        </w:rPr>
        <w:t>. Pokud v některém kalendářním roce probíhá řešení projektu bez poskytnutí účelové podpory, tj. pouze z neveřejných zdrojů, je příjemce přesto povinen překládat roční zprávu, roční přehled o financování projektu a auditorské ověření finančních nákladů projektu, případně finanční vypořádání a auditorské ověření finančních nákladů projektu a plnit další podmínky uložené Smlouvou.</w:t>
      </w:r>
    </w:p>
    <w:p w:rsidR="00DD6A1B" w:rsidRDefault="00DD6A1B" w:rsidP="00712F92">
      <w:pPr>
        <w:jc w:val="both"/>
      </w:pPr>
      <w:r w:rsidRPr="00DD6A1B">
        <w:rPr>
          <w:b/>
        </w:rPr>
        <w:t>25. Článek IX. se mění v odst. 1.,</w:t>
      </w:r>
      <w:r w:rsidRPr="00DD6A1B">
        <w:t xml:space="preserve"> který nyní zní:</w:t>
      </w:r>
    </w:p>
    <w:p w:rsidR="00DD6A1B" w:rsidRDefault="00DD6A1B" w:rsidP="00712F92">
      <w:pPr>
        <w:jc w:val="both"/>
        <w:rPr>
          <w:i/>
        </w:rPr>
      </w:pPr>
      <w:r>
        <w:rPr>
          <w:i/>
        </w:rPr>
        <w:t>1. Údaje o projektu musí být označené kódem důvěrnosti:</w:t>
      </w:r>
    </w:p>
    <w:p w:rsidR="00DD6A1B" w:rsidRDefault="00DD6A1B" w:rsidP="00712F92">
      <w:pPr>
        <w:jc w:val="both"/>
        <w:rPr>
          <w:i/>
        </w:rPr>
      </w:pPr>
      <w:r>
        <w:rPr>
          <w:i/>
        </w:rPr>
        <w:t>Buď S – nepodléhají ochraně podle zvláštních právních předpisů,</w:t>
      </w:r>
    </w:p>
    <w:p w:rsidR="00DD6A1B" w:rsidRDefault="00DD6A1B" w:rsidP="00712F92">
      <w:pPr>
        <w:jc w:val="both"/>
        <w:rPr>
          <w:i/>
        </w:rPr>
      </w:pPr>
      <w:r>
        <w:rPr>
          <w:i/>
        </w:rPr>
        <w:t>Nebo C – předmět řešení projektu podléhá obchodnímu tajemství.</w:t>
      </w:r>
    </w:p>
    <w:p w:rsidR="00DD6A1B" w:rsidRDefault="00DD6A1B" w:rsidP="00712F92">
      <w:pPr>
        <w:jc w:val="both"/>
        <w:rPr>
          <w:i/>
        </w:rPr>
      </w:pPr>
      <w:r>
        <w:rPr>
          <w:i/>
        </w:rPr>
        <w:t>V případě označení kódem C se příjemce zavazuje uvádět název projektu, cíle projektu a zhodnocení výsledků řešení projektu tak, aby mohly být takto zveřejněny.</w:t>
      </w:r>
    </w:p>
    <w:p w:rsidR="001E0E9D" w:rsidRPr="001E0E9D" w:rsidRDefault="001E0E9D" w:rsidP="00AE219B">
      <w:pPr>
        <w:jc w:val="both"/>
        <w:rPr>
          <w:color w:val="000000"/>
        </w:rPr>
      </w:pPr>
    </w:p>
    <w:p w:rsidR="00AE219B" w:rsidRPr="00733562" w:rsidRDefault="00AE219B" w:rsidP="00D701B4">
      <w:pPr>
        <w:spacing w:after="0"/>
        <w:jc w:val="both"/>
      </w:pPr>
    </w:p>
    <w:p w:rsidR="00503607" w:rsidRDefault="00503607" w:rsidP="00D701B4">
      <w:pPr>
        <w:tabs>
          <w:tab w:val="left" w:pos="1985"/>
        </w:tabs>
        <w:spacing w:after="0"/>
        <w:jc w:val="center"/>
      </w:pPr>
      <w:r>
        <w:t>II.</w:t>
      </w:r>
    </w:p>
    <w:p w:rsidR="00503607" w:rsidRDefault="00503607" w:rsidP="00D701B4">
      <w:pPr>
        <w:tabs>
          <w:tab w:val="left" w:pos="1985"/>
        </w:tabs>
        <w:spacing w:after="0"/>
        <w:jc w:val="center"/>
      </w:pPr>
    </w:p>
    <w:p w:rsidR="00DD6A1B" w:rsidRPr="00DD6A1B" w:rsidRDefault="00DD6A1B" w:rsidP="00DD6A1B">
      <w:pPr>
        <w:jc w:val="both"/>
        <w:rPr>
          <w:b/>
        </w:rPr>
      </w:pPr>
      <w:r w:rsidRPr="00DD6A1B">
        <w:rPr>
          <w:b/>
        </w:rPr>
        <w:t>Upřesňuje se:</w:t>
      </w:r>
    </w:p>
    <w:p w:rsidR="00DD6A1B" w:rsidRPr="00DD6A1B" w:rsidRDefault="00DD6A1B" w:rsidP="00DD6A1B">
      <w:pPr>
        <w:jc w:val="both"/>
        <w:rPr>
          <w:b/>
        </w:rPr>
      </w:pPr>
      <w:r w:rsidRPr="00DD6A1B">
        <w:rPr>
          <w:b/>
        </w:rPr>
        <w:t>1. Příloha č. 4 – Vymezení způsobilých nákladů projektu</w:t>
      </w:r>
      <w:r>
        <w:rPr>
          <w:b/>
        </w:rPr>
        <w:t xml:space="preserve"> (uvedena v dodatku mezi MPO a VH Pharma jako dodatek č. 7)</w:t>
      </w:r>
    </w:p>
    <w:p w:rsidR="00EA1A2E" w:rsidRPr="00733562" w:rsidRDefault="00EA1A2E" w:rsidP="00D701B4">
      <w:pPr>
        <w:tabs>
          <w:tab w:val="left" w:pos="1985"/>
        </w:tabs>
        <w:spacing w:after="0"/>
        <w:jc w:val="both"/>
      </w:pPr>
    </w:p>
    <w:p w:rsidR="008026B9" w:rsidRPr="00733562" w:rsidRDefault="008026B9" w:rsidP="00D701B4">
      <w:pPr>
        <w:pStyle w:val="Odstavecseseznamem"/>
        <w:tabs>
          <w:tab w:val="left" w:pos="1985"/>
        </w:tabs>
        <w:spacing w:after="0"/>
        <w:ind w:left="426"/>
        <w:jc w:val="center"/>
        <w:rPr>
          <w:b/>
        </w:rPr>
      </w:pPr>
      <w:r w:rsidRPr="00733562">
        <w:rPr>
          <w:b/>
        </w:rPr>
        <w:t>Závěrečná ustanovení</w:t>
      </w:r>
    </w:p>
    <w:p w:rsidR="008026B9" w:rsidRPr="00733562" w:rsidRDefault="008026B9" w:rsidP="00D701B4">
      <w:pPr>
        <w:pStyle w:val="Odstavecseseznamem"/>
        <w:tabs>
          <w:tab w:val="left" w:pos="1985"/>
        </w:tabs>
        <w:spacing w:after="0"/>
        <w:ind w:left="426"/>
        <w:jc w:val="center"/>
        <w:rPr>
          <w:b/>
        </w:rPr>
      </w:pPr>
    </w:p>
    <w:p w:rsidR="00817F40" w:rsidRPr="00733562" w:rsidRDefault="00817F40" w:rsidP="00D701B4">
      <w:pPr>
        <w:pStyle w:val="Odstavecseseznamem"/>
        <w:numPr>
          <w:ilvl w:val="0"/>
          <w:numId w:val="6"/>
        </w:numPr>
        <w:tabs>
          <w:tab w:val="left" w:pos="1985"/>
        </w:tabs>
        <w:spacing w:after="0"/>
        <w:ind w:left="426"/>
        <w:jc w:val="both"/>
      </w:pPr>
      <w:r w:rsidRPr="00733562">
        <w:t xml:space="preserve">Ostatní ustanovení výše uvedené </w:t>
      </w:r>
      <w:r w:rsidR="00503607">
        <w:t>S</w:t>
      </w:r>
      <w:r w:rsidR="00503607" w:rsidRPr="00733562">
        <w:t xml:space="preserve">mlouvy </w:t>
      </w:r>
      <w:r w:rsidRPr="00733562">
        <w:t>zůstávají beze změny.</w:t>
      </w:r>
    </w:p>
    <w:p w:rsidR="00817F40" w:rsidRPr="00733562" w:rsidRDefault="00817F40" w:rsidP="00D701B4">
      <w:pPr>
        <w:tabs>
          <w:tab w:val="left" w:pos="1985"/>
        </w:tabs>
        <w:spacing w:after="0"/>
        <w:jc w:val="both"/>
      </w:pPr>
    </w:p>
    <w:p w:rsidR="007B63AC" w:rsidRPr="00733562" w:rsidRDefault="007B63AC" w:rsidP="00D701B4">
      <w:pPr>
        <w:pStyle w:val="Odstavecseseznamem"/>
        <w:numPr>
          <w:ilvl w:val="0"/>
          <w:numId w:val="6"/>
        </w:numPr>
        <w:tabs>
          <w:tab w:val="left" w:pos="1985"/>
        </w:tabs>
        <w:spacing w:after="0"/>
        <w:ind w:left="426" w:hanging="426"/>
        <w:jc w:val="both"/>
      </w:pPr>
      <w:r w:rsidRPr="00733562">
        <w:t>Smluvní strany souhlasí s uveřejněním plného znění tohoto Dodatku v registru smluv podle zákona č. 340/2015 Sb., o zvláštních podmínkách účinnosti některých smluv, uveřejňování těchto smluv a o registru smluv (zákon o registru smluv). Uveřejnění Dodatku prostřednictvím registru smluv zajistí další účastník</w:t>
      </w:r>
      <w:r w:rsidR="00503607">
        <w:t xml:space="preserve"> projektu</w:t>
      </w:r>
      <w:r w:rsidRPr="00733562">
        <w:t>.</w:t>
      </w:r>
    </w:p>
    <w:p w:rsidR="007B63AC" w:rsidRPr="00733562" w:rsidRDefault="007B63AC" w:rsidP="00733562">
      <w:pPr>
        <w:pStyle w:val="Odstavecseseznamem"/>
      </w:pPr>
    </w:p>
    <w:p w:rsidR="008A5DC7" w:rsidRPr="00733562" w:rsidRDefault="009F39C8" w:rsidP="00D701B4">
      <w:pPr>
        <w:pStyle w:val="Odstavecseseznamem"/>
        <w:numPr>
          <w:ilvl w:val="0"/>
          <w:numId w:val="6"/>
        </w:numPr>
        <w:tabs>
          <w:tab w:val="left" w:pos="1985"/>
        </w:tabs>
        <w:spacing w:after="0"/>
        <w:ind w:left="426"/>
        <w:jc w:val="both"/>
      </w:pPr>
      <w:r w:rsidRPr="00733562">
        <w:t>Dodatek</w:t>
      </w:r>
      <w:r w:rsidR="008A5DC7" w:rsidRPr="00733562">
        <w:t xml:space="preserve"> nabývá platnosti </w:t>
      </w:r>
      <w:r w:rsidR="00503607">
        <w:t xml:space="preserve">dnem jeho podpisu oběma smluvními stranami </w:t>
      </w:r>
      <w:r w:rsidR="008A5DC7" w:rsidRPr="00733562">
        <w:t xml:space="preserve">a účinnosti </w:t>
      </w:r>
      <w:r w:rsidR="00503607">
        <w:t xml:space="preserve">dnem jeho </w:t>
      </w:r>
      <w:r w:rsidR="00B638A7" w:rsidRPr="00733562">
        <w:t>uveřejnění v registru smluv.</w:t>
      </w:r>
    </w:p>
    <w:p w:rsidR="007B63AC" w:rsidRPr="00733562" w:rsidRDefault="007B63AC" w:rsidP="00733562">
      <w:pPr>
        <w:pStyle w:val="Odstavecseseznamem"/>
      </w:pPr>
    </w:p>
    <w:p w:rsidR="007B63AC" w:rsidRPr="00733562" w:rsidRDefault="007B63AC" w:rsidP="00D701B4">
      <w:pPr>
        <w:pStyle w:val="Odstavecseseznamem"/>
        <w:numPr>
          <w:ilvl w:val="0"/>
          <w:numId w:val="6"/>
        </w:numPr>
        <w:tabs>
          <w:tab w:val="left" w:pos="1985"/>
        </w:tabs>
        <w:spacing w:after="0"/>
        <w:ind w:left="426"/>
        <w:jc w:val="both"/>
      </w:pPr>
      <w:r w:rsidRPr="00733562">
        <w:t>Tento Dodatek je sepsán ve třech vyhotoveních majících stejnou platnost, z nichž každá smluvní strana obdrží 1 vyhotovení a 1 vyhotovení bude předáno poskytovateli dotace (MPO).</w:t>
      </w:r>
    </w:p>
    <w:p w:rsidR="003C1B58" w:rsidRPr="00733562" w:rsidRDefault="003C1B58" w:rsidP="00733562">
      <w:pPr>
        <w:pStyle w:val="Odstavecseseznamem"/>
      </w:pPr>
    </w:p>
    <w:p w:rsidR="003C1B58" w:rsidRPr="00733562" w:rsidRDefault="003C1B58" w:rsidP="00D701B4">
      <w:pPr>
        <w:pStyle w:val="Odstavecseseznamem"/>
        <w:numPr>
          <w:ilvl w:val="0"/>
          <w:numId w:val="6"/>
        </w:numPr>
        <w:tabs>
          <w:tab w:val="left" w:pos="1985"/>
        </w:tabs>
        <w:spacing w:after="0"/>
        <w:ind w:left="426"/>
        <w:jc w:val="both"/>
      </w:pPr>
      <w:r w:rsidRPr="00733562">
        <w:t>Smluvní strany shodně prohlašují, že t</w:t>
      </w:r>
      <w:r w:rsidR="009F39C8" w:rsidRPr="00733562">
        <w:t xml:space="preserve">ento Dodatek </w:t>
      </w:r>
      <w:r w:rsidRPr="00733562">
        <w:t>je projevem jejich pravé a svobodné vůle a na důkaz souhlasu s jejím obsahem připojují své podpisy.</w:t>
      </w:r>
    </w:p>
    <w:p w:rsidR="007B63AC" w:rsidRDefault="007B63AC" w:rsidP="00733562">
      <w:pPr>
        <w:pStyle w:val="Odstavecseseznamem"/>
      </w:pPr>
    </w:p>
    <w:p w:rsidR="00C57C1E" w:rsidRDefault="00C57C1E" w:rsidP="00733562">
      <w:pPr>
        <w:pStyle w:val="Odstavecseseznamem"/>
      </w:pPr>
    </w:p>
    <w:p w:rsidR="00C57C1E" w:rsidRPr="00733562" w:rsidRDefault="00C57C1E" w:rsidP="00733562">
      <w:pPr>
        <w:pStyle w:val="Odstavecseseznamem"/>
      </w:pPr>
    </w:p>
    <w:p w:rsidR="007B63AC" w:rsidRPr="00733562" w:rsidRDefault="007B63AC" w:rsidP="00D701B4">
      <w:pPr>
        <w:pStyle w:val="Odstavecseseznamem"/>
        <w:numPr>
          <w:ilvl w:val="0"/>
          <w:numId w:val="6"/>
        </w:numPr>
        <w:tabs>
          <w:tab w:val="left" w:pos="1985"/>
        </w:tabs>
        <w:spacing w:after="0"/>
        <w:ind w:left="426" w:hanging="426"/>
        <w:jc w:val="both"/>
      </w:pPr>
      <w:r w:rsidRPr="00733562">
        <w:t xml:space="preserve">Součástí Dodatku </w:t>
      </w:r>
      <w:r w:rsidR="00503607" w:rsidRPr="00733562">
        <w:t>j</w:t>
      </w:r>
      <w:r w:rsidR="00503607">
        <w:t>e</w:t>
      </w:r>
      <w:r w:rsidR="00503607" w:rsidRPr="00733562">
        <w:t xml:space="preserve"> t</w:t>
      </w:r>
      <w:r w:rsidR="00503607">
        <w:t>a</w:t>
      </w:r>
      <w:r w:rsidR="00503607" w:rsidRPr="00733562">
        <w:t>to příloh</w:t>
      </w:r>
      <w:r w:rsidR="00503607">
        <w:t>a</w:t>
      </w:r>
      <w:r w:rsidRPr="00733562">
        <w:t>:</w:t>
      </w:r>
    </w:p>
    <w:p w:rsidR="00DD6A1B" w:rsidRPr="00DD6A1B" w:rsidRDefault="007B63AC" w:rsidP="00DD6A1B">
      <w:pPr>
        <w:jc w:val="both"/>
        <w:rPr>
          <w:b/>
        </w:rPr>
      </w:pPr>
      <w:r w:rsidRPr="00733562">
        <w:t xml:space="preserve">Příloha č. </w:t>
      </w:r>
      <w:r w:rsidR="00DD6A1B">
        <w:t>4</w:t>
      </w:r>
      <w:r w:rsidRPr="00733562">
        <w:t xml:space="preserve"> – </w:t>
      </w:r>
      <w:r w:rsidR="00DD6A1B">
        <w:t>Vymezení způsobilých nákladů projektu</w:t>
      </w:r>
      <w:r w:rsidR="00503607" w:rsidRPr="00733562">
        <w:t xml:space="preserve"> </w:t>
      </w:r>
      <w:r w:rsidR="00DD6A1B" w:rsidRPr="00DD6A1B">
        <w:t>(uvedena v dodatku mezi MPO a VH Pharma jako dodatek č. 7)</w:t>
      </w:r>
    </w:p>
    <w:p w:rsidR="008A5DC7" w:rsidRPr="00733562" w:rsidRDefault="008A5DC7" w:rsidP="00D701B4">
      <w:pPr>
        <w:tabs>
          <w:tab w:val="left" w:pos="1985"/>
        </w:tabs>
        <w:spacing w:after="0"/>
        <w:jc w:val="both"/>
      </w:pPr>
    </w:p>
    <w:p w:rsidR="008A5DC7" w:rsidRPr="00733562" w:rsidRDefault="008A5DC7" w:rsidP="00D701B4">
      <w:pPr>
        <w:tabs>
          <w:tab w:val="left" w:pos="1985"/>
        </w:tabs>
        <w:spacing w:after="0"/>
        <w:jc w:val="both"/>
      </w:pPr>
    </w:p>
    <w:p w:rsidR="008A5DC7" w:rsidRPr="00733562" w:rsidRDefault="00204B79" w:rsidP="00D701B4">
      <w:pPr>
        <w:tabs>
          <w:tab w:val="left" w:pos="1985"/>
        </w:tabs>
        <w:spacing w:after="0"/>
        <w:jc w:val="both"/>
      </w:pPr>
      <w:r w:rsidRPr="00733562">
        <w:t>Datum:</w:t>
      </w:r>
      <w:r w:rsidRPr="00733562">
        <w:tab/>
      </w:r>
      <w:r w:rsidRPr="00733562">
        <w:tab/>
      </w:r>
      <w:r w:rsidRPr="00733562">
        <w:tab/>
      </w:r>
      <w:r w:rsidRPr="00733562">
        <w:tab/>
      </w:r>
      <w:r w:rsidRPr="00733562">
        <w:tab/>
      </w:r>
      <w:r w:rsidRPr="00733562">
        <w:tab/>
      </w:r>
      <w:r w:rsidR="008A5DC7" w:rsidRPr="00733562">
        <w:t>Datum:</w:t>
      </w:r>
    </w:p>
    <w:p w:rsidR="008A5DC7" w:rsidRPr="00733562" w:rsidRDefault="008A5DC7" w:rsidP="00D701B4">
      <w:pPr>
        <w:tabs>
          <w:tab w:val="left" w:pos="1985"/>
        </w:tabs>
        <w:spacing w:after="0"/>
        <w:jc w:val="both"/>
      </w:pPr>
    </w:p>
    <w:p w:rsidR="008A5DC7" w:rsidRPr="00733562" w:rsidRDefault="00204B79" w:rsidP="00D701B4">
      <w:pPr>
        <w:tabs>
          <w:tab w:val="left" w:pos="1985"/>
        </w:tabs>
        <w:spacing w:after="0"/>
        <w:jc w:val="both"/>
      </w:pPr>
      <w:r w:rsidRPr="00733562">
        <w:t>Příjemce:</w:t>
      </w:r>
      <w:r w:rsidRPr="00733562">
        <w:tab/>
      </w:r>
      <w:r w:rsidRPr="00733562">
        <w:tab/>
      </w:r>
      <w:r w:rsidRPr="00733562">
        <w:tab/>
      </w:r>
      <w:r w:rsidRPr="00733562">
        <w:tab/>
      </w:r>
      <w:r w:rsidRPr="00733562">
        <w:tab/>
      </w:r>
      <w:r w:rsidRPr="00733562">
        <w:tab/>
      </w:r>
      <w:r w:rsidR="008A5DC7" w:rsidRPr="00733562">
        <w:t>Další účastník projektu:</w:t>
      </w:r>
    </w:p>
    <w:p w:rsidR="008A5DC7" w:rsidRPr="00733562" w:rsidRDefault="008A5DC7" w:rsidP="00D701B4">
      <w:pPr>
        <w:tabs>
          <w:tab w:val="left" w:pos="1985"/>
        </w:tabs>
        <w:spacing w:after="0"/>
        <w:jc w:val="both"/>
      </w:pPr>
    </w:p>
    <w:p w:rsidR="008A5DC7" w:rsidRPr="00733562" w:rsidRDefault="008A5DC7" w:rsidP="00D701B4">
      <w:pPr>
        <w:tabs>
          <w:tab w:val="left" w:pos="1985"/>
        </w:tabs>
        <w:spacing w:after="0"/>
        <w:jc w:val="both"/>
      </w:pPr>
    </w:p>
    <w:p w:rsidR="008A5DC7" w:rsidRPr="00733562" w:rsidRDefault="008A5DC7" w:rsidP="00D701B4">
      <w:pPr>
        <w:tabs>
          <w:tab w:val="left" w:pos="1985"/>
        </w:tabs>
        <w:spacing w:after="0"/>
        <w:jc w:val="both"/>
      </w:pPr>
    </w:p>
    <w:p w:rsidR="008A5DC7" w:rsidRPr="00733562" w:rsidRDefault="008A5DC7" w:rsidP="00D701B4">
      <w:pPr>
        <w:tabs>
          <w:tab w:val="left" w:pos="1985"/>
        </w:tabs>
        <w:spacing w:after="0"/>
        <w:jc w:val="both"/>
      </w:pPr>
    </w:p>
    <w:p w:rsidR="008A5DC7" w:rsidRPr="00733562" w:rsidRDefault="008A5DC7" w:rsidP="00D701B4">
      <w:pPr>
        <w:tabs>
          <w:tab w:val="left" w:pos="1985"/>
        </w:tabs>
        <w:spacing w:after="0"/>
        <w:jc w:val="both"/>
      </w:pPr>
      <w:r w:rsidRPr="00733562">
        <w:t>______</w:t>
      </w:r>
      <w:r w:rsidR="00204B79" w:rsidRPr="00733562">
        <w:t>____________</w:t>
      </w:r>
      <w:r w:rsidR="00204B79" w:rsidRPr="00733562">
        <w:tab/>
        <w:t>_____</w:t>
      </w:r>
      <w:r w:rsidR="00204B79" w:rsidRPr="00733562">
        <w:tab/>
      </w:r>
      <w:r w:rsidR="00204B79" w:rsidRPr="00733562">
        <w:tab/>
      </w:r>
      <w:r w:rsidR="00204B79" w:rsidRPr="00733562">
        <w:tab/>
      </w:r>
      <w:r w:rsidR="00204B79" w:rsidRPr="00733562">
        <w:tab/>
      </w:r>
      <w:r w:rsidRPr="00733562">
        <w:t>________________</w:t>
      </w:r>
      <w:r w:rsidR="004B3DC6" w:rsidRPr="00733562">
        <w:t>____</w:t>
      </w:r>
      <w:r w:rsidRPr="00733562">
        <w:t>_____</w:t>
      </w:r>
    </w:p>
    <w:p w:rsidR="00EF3F88" w:rsidRPr="00733562" w:rsidRDefault="005B558A" w:rsidP="00D701B4">
      <w:pPr>
        <w:tabs>
          <w:tab w:val="left" w:pos="1985"/>
        </w:tabs>
        <w:spacing w:after="0"/>
        <w:jc w:val="both"/>
      </w:pPr>
      <w:r w:rsidRPr="00733562">
        <w:t xml:space="preserve">Ing. Michal Hrubý     </w:t>
      </w:r>
      <w:r w:rsidRPr="00733562">
        <w:tab/>
      </w:r>
      <w:r w:rsidRPr="00733562">
        <w:tab/>
      </w:r>
      <w:r w:rsidR="003B3ECC" w:rsidRPr="00733562">
        <w:tab/>
      </w:r>
      <w:r w:rsidR="003B3ECC" w:rsidRPr="00733562">
        <w:tab/>
      </w:r>
      <w:r w:rsidR="00EF3F88" w:rsidRPr="00733562">
        <w:tab/>
      </w:r>
      <w:r w:rsidR="00EF3F88" w:rsidRPr="00733562">
        <w:tab/>
      </w:r>
      <w:r w:rsidR="007E64D6">
        <w:t>Ing. Jiří Kotek, Dr.</w:t>
      </w:r>
    </w:p>
    <w:p w:rsidR="00EF3F88" w:rsidRPr="00733562" w:rsidRDefault="005B558A" w:rsidP="00D701B4">
      <w:pPr>
        <w:tabs>
          <w:tab w:val="left" w:pos="1985"/>
        </w:tabs>
        <w:spacing w:after="0"/>
        <w:jc w:val="both"/>
      </w:pPr>
      <w:r w:rsidRPr="00733562">
        <w:t>předseda představenstva</w:t>
      </w:r>
      <w:r w:rsidR="00EF3F88" w:rsidRPr="00733562">
        <w:tab/>
      </w:r>
      <w:r w:rsidR="00EF3F88" w:rsidRPr="00733562">
        <w:tab/>
      </w:r>
      <w:r w:rsidR="00EF3F88" w:rsidRPr="00733562">
        <w:tab/>
      </w:r>
      <w:r w:rsidR="00EF3F88" w:rsidRPr="00733562">
        <w:tab/>
      </w:r>
      <w:r w:rsidR="009C0F8A">
        <w:t>ředitel</w:t>
      </w:r>
      <w:r w:rsidR="00EF3F88" w:rsidRPr="00733562">
        <w:tab/>
      </w:r>
    </w:p>
    <w:p w:rsidR="008A5DC7" w:rsidRPr="00733562" w:rsidRDefault="008A5DC7" w:rsidP="00D701B4">
      <w:pPr>
        <w:tabs>
          <w:tab w:val="left" w:pos="1985"/>
        </w:tabs>
        <w:spacing w:after="0"/>
        <w:ind w:left="4950" w:hanging="4950"/>
        <w:jc w:val="both"/>
      </w:pPr>
    </w:p>
    <w:sectPr w:rsidR="008A5DC7" w:rsidRPr="00733562" w:rsidSect="00CB7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57B9"/>
    <w:multiLevelType w:val="hybridMultilevel"/>
    <w:tmpl w:val="5538C5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CE7B42"/>
    <w:multiLevelType w:val="hybridMultilevel"/>
    <w:tmpl w:val="925AF5C0"/>
    <w:lvl w:ilvl="0" w:tplc="533217D8">
      <w:start w:val="1"/>
      <w:numFmt w:val="decimal"/>
      <w:lvlText w:val="%1."/>
      <w:lvlJc w:val="left"/>
      <w:pPr>
        <w:ind w:left="654" w:hanging="360"/>
      </w:pPr>
      <w:rPr>
        <w:b w:val="0"/>
        <w:color w:val="000000" w:themeColor="text1"/>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2">
    <w:nsid w:val="199F1CFE"/>
    <w:multiLevelType w:val="hybridMultilevel"/>
    <w:tmpl w:val="18C495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BA2E2A"/>
    <w:multiLevelType w:val="hybridMultilevel"/>
    <w:tmpl w:val="62140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E022EA"/>
    <w:multiLevelType w:val="hybridMultilevel"/>
    <w:tmpl w:val="947E33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5C127C"/>
    <w:multiLevelType w:val="hybridMultilevel"/>
    <w:tmpl w:val="3D6A7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8F6113A"/>
    <w:multiLevelType w:val="hybridMultilevel"/>
    <w:tmpl w:val="3D6A7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22730C9"/>
    <w:multiLevelType w:val="hybridMultilevel"/>
    <w:tmpl w:val="351E2836"/>
    <w:lvl w:ilvl="0" w:tplc="2D42936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422448A"/>
    <w:multiLevelType w:val="hybridMultilevel"/>
    <w:tmpl w:val="2D4ADD0A"/>
    <w:lvl w:ilvl="0" w:tplc="B5CCEAD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7AB4E19"/>
    <w:multiLevelType w:val="hybridMultilevel"/>
    <w:tmpl w:val="8FD6778C"/>
    <w:lvl w:ilvl="0" w:tplc="2D42936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C7D1E7A"/>
    <w:multiLevelType w:val="hybridMultilevel"/>
    <w:tmpl w:val="3416A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9"/>
  </w:num>
  <w:num w:numId="5">
    <w:abstractNumId w:val="1"/>
  </w:num>
  <w:num w:numId="6">
    <w:abstractNumId w:val="4"/>
  </w:num>
  <w:num w:numId="7">
    <w:abstractNumId w:val="6"/>
  </w:num>
  <w:num w:numId="8">
    <w:abstractNumId w:val="8"/>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56"/>
    <w:rsid w:val="00004966"/>
    <w:rsid w:val="000256A1"/>
    <w:rsid w:val="0003497E"/>
    <w:rsid w:val="00047C52"/>
    <w:rsid w:val="00053A02"/>
    <w:rsid w:val="000C73E6"/>
    <w:rsid w:val="000D4DB0"/>
    <w:rsid w:val="000F1A19"/>
    <w:rsid w:val="00110F01"/>
    <w:rsid w:val="0011208C"/>
    <w:rsid w:val="00114683"/>
    <w:rsid w:val="00124344"/>
    <w:rsid w:val="00125EEA"/>
    <w:rsid w:val="00156303"/>
    <w:rsid w:val="00195E67"/>
    <w:rsid w:val="00196A0E"/>
    <w:rsid w:val="001A296B"/>
    <w:rsid w:val="001A64E3"/>
    <w:rsid w:val="001C4FFF"/>
    <w:rsid w:val="001C559B"/>
    <w:rsid w:val="001D2A56"/>
    <w:rsid w:val="001E0E9D"/>
    <w:rsid w:val="00204B79"/>
    <w:rsid w:val="0024192D"/>
    <w:rsid w:val="00252416"/>
    <w:rsid w:val="00283462"/>
    <w:rsid w:val="002A2776"/>
    <w:rsid w:val="002A63C3"/>
    <w:rsid w:val="002B0D5F"/>
    <w:rsid w:val="002D359D"/>
    <w:rsid w:val="002D7E76"/>
    <w:rsid w:val="002F358C"/>
    <w:rsid w:val="002F6AF2"/>
    <w:rsid w:val="0031043D"/>
    <w:rsid w:val="00316C2F"/>
    <w:rsid w:val="00320E76"/>
    <w:rsid w:val="003246AD"/>
    <w:rsid w:val="00331F79"/>
    <w:rsid w:val="0035255C"/>
    <w:rsid w:val="00373B9D"/>
    <w:rsid w:val="003A4653"/>
    <w:rsid w:val="003B3ECC"/>
    <w:rsid w:val="003B73C2"/>
    <w:rsid w:val="003C1B58"/>
    <w:rsid w:val="003C63A3"/>
    <w:rsid w:val="003D195A"/>
    <w:rsid w:val="0042069F"/>
    <w:rsid w:val="0044451C"/>
    <w:rsid w:val="00476751"/>
    <w:rsid w:val="00477086"/>
    <w:rsid w:val="004811B2"/>
    <w:rsid w:val="00491A94"/>
    <w:rsid w:val="00491FB6"/>
    <w:rsid w:val="004A586D"/>
    <w:rsid w:val="004B324E"/>
    <w:rsid w:val="004B3DC6"/>
    <w:rsid w:val="004B5A94"/>
    <w:rsid w:val="004D4C49"/>
    <w:rsid w:val="004D6EC2"/>
    <w:rsid w:val="004F2558"/>
    <w:rsid w:val="00503607"/>
    <w:rsid w:val="00510B67"/>
    <w:rsid w:val="005274F8"/>
    <w:rsid w:val="00527B95"/>
    <w:rsid w:val="005722CD"/>
    <w:rsid w:val="00573F29"/>
    <w:rsid w:val="005B558A"/>
    <w:rsid w:val="005B6481"/>
    <w:rsid w:val="005E4C70"/>
    <w:rsid w:val="00603CF6"/>
    <w:rsid w:val="00604297"/>
    <w:rsid w:val="00607253"/>
    <w:rsid w:val="00610EE1"/>
    <w:rsid w:val="00620DAB"/>
    <w:rsid w:val="006440EC"/>
    <w:rsid w:val="006943C9"/>
    <w:rsid w:val="006A6311"/>
    <w:rsid w:val="006B4159"/>
    <w:rsid w:val="006B6D4F"/>
    <w:rsid w:val="006E6B71"/>
    <w:rsid w:val="006F35FD"/>
    <w:rsid w:val="006F77A7"/>
    <w:rsid w:val="00700621"/>
    <w:rsid w:val="00704758"/>
    <w:rsid w:val="00712F92"/>
    <w:rsid w:val="00726AB9"/>
    <w:rsid w:val="00733562"/>
    <w:rsid w:val="00744B10"/>
    <w:rsid w:val="007467AF"/>
    <w:rsid w:val="0074727D"/>
    <w:rsid w:val="00747845"/>
    <w:rsid w:val="00761BBA"/>
    <w:rsid w:val="007B63AC"/>
    <w:rsid w:val="007C3255"/>
    <w:rsid w:val="007C6685"/>
    <w:rsid w:val="007D30D5"/>
    <w:rsid w:val="007D5B89"/>
    <w:rsid w:val="007E4819"/>
    <w:rsid w:val="007E64D6"/>
    <w:rsid w:val="007F1760"/>
    <w:rsid w:val="007F1D67"/>
    <w:rsid w:val="007F63A3"/>
    <w:rsid w:val="008026B9"/>
    <w:rsid w:val="00817F40"/>
    <w:rsid w:val="00854E7C"/>
    <w:rsid w:val="00863077"/>
    <w:rsid w:val="0086329C"/>
    <w:rsid w:val="00873ED7"/>
    <w:rsid w:val="00885465"/>
    <w:rsid w:val="00897BE7"/>
    <w:rsid w:val="008A170F"/>
    <w:rsid w:val="008A5DC7"/>
    <w:rsid w:val="008B0CC4"/>
    <w:rsid w:val="008D2CEB"/>
    <w:rsid w:val="008F583B"/>
    <w:rsid w:val="009149D0"/>
    <w:rsid w:val="00934752"/>
    <w:rsid w:val="009369BA"/>
    <w:rsid w:val="0094711D"/>
    <w:rsid w:val="009508DA"/>
    <w:rsid w:val="00964AEA"/>
    <w:rsid w:val="00970251"/>
    <w:rsid w:val="00980919"/>
    <w:rsid w:val="009816EA"/>
    <w:rsid w:val="009A2EB8"/>
    <w:rsid w:val="009C0F8A"/>
    <w:rsid w:val="009F39C8"/>
    <w:rsid w:val="009F4950"/>
    <w:rsid w:val="00A1666B"/>
    <w:rsid w:val="00A23BF9"/>
    <w:rsid w:val="00A37BEB"/>
    <w:rsid w:val="00A41450"/>
    <w:rsid w:val="00A55D1F"/>
    <w:rsid w:val="00A64933"/>
    <w:rsid w:val="00A76CE8"/>
    <w:rsid w:val="00AB5ED2"/>
    <w:rsid w:val="00AD0308"/>
    <w:rsid w:val="00AE219B"/>
    <w:rsid w:val="00AF46A0"/>
    <w:rsid w:val="00AF46A3"/>
    <w:rsid w:val="00B12AE1"/>
    <w:rsid w:val="00B527CE"/>
    <w:rsid w:val="00B560F1"/>
    <w:rsid w:val="00B638A7"/>
    <w:rsid w:val="00BA6B6C"/>
    <w:rsid w:val="00BA72CB"/>
    <w:rsid w:val="00BC72F3"/>
    <w:rsid w:val="00BC7D40"/>
    <w:rsid w:val="00BD1F32"/>
    <w:rsid w:val="00C14921"/>
    <w:rsid w:val="00C36BED"/>
    <w:rsid w:val="00C36EA1"/>
    <w:rsid w:val="00C537FA"/>
    <w:rsid w:val="00C57C1E"/>
    <w:rsid w:val="00C67241"/>
    <w:rsid w:val="00CB1D08"/>
    <w:rsid w:val="00CB403B"/>
    <w:rsid w:val="00CB77AF"/>
    <w:rsid w:val="00CC4C53"/>
    <w:rsid w:val="00CC5A5D"/>
    <w:rsid w:val="00CD69A1"/>
    <w:rsid w:val="00CE1E11"/>
    <w:rsid w:val="00CF26B5"/>
    <w:rsid w:val="00CF7929"/>
    <w:rsid w:val="00D07229"/>
    <w:rsid w:val="00D178E7"/>
    <w:rsid w:val="00D61449"/>
    <w:rsid w:val="00D701B4"/>
    <w:rsid w:val="00D83D4F"/>
    <w:rsid w:val="00DD6A1B"/>
    <w:rsid w:val="00DE02D9"/>
    <w:rsid w:val="00E0316C"/>
    <w:rsid w:val="00E07374"/>
    <w:rsid w:val="00E07BF8"/>
    <w:rsid w:val="00E12DA1"/>
    <w:rsid w:val="00E215D6"/>
    <w:rsid w:val="00E2656F"/>
    <w:rsid w:val="00E31531"/>
    <w:rsid w:val="00E5540A"/>
    <w:rsid w:val="00E7746D"/>
    <w:rsid w:val="00EA1A2E"/>
    <w:rsid w:val="00EA7BF6"/>
    <w:rsid w:val="00EF3F88"/>
    <w:rsid w:val="00F04030"/>
    <w:rsid w:val="00F17249"/>
    <w:rsid w:val="00F44038"/>
    <w:rsid w:val="00F47E7A"/>
    <w:rsid w:val="00F64527"/>
    <w:rsid w:val="00F714F5"/>
    <w:rsid w:val="00F91607"/>
    <w:rsid w:val="00F9708E"/>
    <w:rsid w:val="00FB1104"/>
    <w:rsid w:val="00FB3202"/>
    <w:rsid w:val="00FB47BD"/>
    <w:rsid w:val="00FD0188"/>
    <w:rsid w:val="00FE6F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1760"/>
    <w:pPr>
      <w:ind w:left="720"/>
      <w:contextualSpacing/>
    </w:pPr>
  </w:style>
  <w:style w:type="character" w:styleId="Hypertextovodkaz">
    <w:name w:val="Hyperlink"/>
    <w:basedOn w:val="Standardnpsmoodstavce"/>
    <w:uiPriority w:val="99"/>
    <w:unhideWhenUsed/>
    <w:rsid w:val="00BD1F32"/>
    <w:rPr>
      <w:color w:val="0000FF" w:themeColor="hyperlink"/>
      <w:u w:val="single"/>
    </w:rPr>
  </w:style>
  <w:style w:type="character" w:styleId="Odkaznakoment">
    <w:name w:val="annotation reference"/>
    <w:basedOn w:val="Standardnpsmoodstavce"/>
    <w:uiPriority w:val="99"/>
    <w:semiHidden/>
    <w:unhideWhenUsed/>
    <w:rsid w:val="009508DA"/>
    <w:rPr>
      <w:sz w:val="16"/>
      <w:szCs w:val="16"/>
    </w:rPr>
  </w:style>
  <w:style w:type="paragraph" w:styleId="Textkomente">
    <w:name w:val="annotation text"/>
    <w:basedOn w:val="Normln"/>
    <w:link w:val="TextkomenteChar"/>
    <w:uiPriority w:val="99"/>
    <w:semiHidden/>
    <w:unhideWhenUsed/>
    <w:rsid w:val="009508DA"/>
    <w:pPr>
      <w:spacing w:line="240" w:lineRule="auto"/>
    </w:pPr>
    <w:rPr>
      <w:sz w:val="20"/>
      <w:szCs w:val="20"/>
    </w:rPr>
  </w:style>
  <w:style w:type="character" w:customStyle="1" w:styleId="TextkomenteChar">
    <w:name w:val="Text komentáře Char"/>
    <w:basedOn w:val="Standardnpsmoodstavce"/>
    <w:link w:val="Textkomente"/>
    <w:uiPriority w:val="99"/>
    <w:semiHidden/>
    <w:rsid w:val="009508DA"/>
    <w:rPr>
      <w:sz w:val="20"/>
      <w:szCs w:val="20"/>
    </w:rPr>
  </w:style>
  <w:style w:type="paragraph" w:styleId="Pedmtkomente">
    <w:name w:val="annotation subject"/>
    <w:basedOn w:val="Textkomente"/>
    <w:next w:val="Textkomente"/>
    <w:link w:val="PedmtkomenteChar"/>
    <w:uiPriority w:val="99"/>
    <w:semiHidden/>
    <w:unhideWhenUsed/>
    <w:rsid w:val="009508DA"/>
    <w:rPr>
      <w:b/>
      <w:bCs/>
    </w:rPr>
  </w:style>
  <w:style w:type="character" w:customStyle="1" w:styleId="PedmtkomenteChar">
    <w:name w:val="Předmět komentáře Char"/>
    <w:basedOn w:val="TextkomenteChar"/>
    <w:link w:val="Pedmtkomente"/>
    <w:uiPriority w:val="99"/>
    <w:semiHidden/>
    <w:rsid w:val="009508DA"/>
    <w:rPr>
      <w:b/>
      <w:bCs/>
      <w:sz w:val="20"/>
      <w:szCs w:val="20"/>
    </w:rPr>
  </w:style>
  <w:style w:type="paragraph" w:styleId="Textbubliny">
    <w:name w:val="Balloon Text"/>
    <w:basedOn w:val="Normln"/>
    <w:link w:val="TextbublinyChar"/>
    <w:uiPriority w:val="99"/>
    <w:semiHidden/>
    <w:unhideWhenUsed/>
    <w:rsid w:val="00950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8DA"/>
    <w:rPr>
      <w:rFonts w:ascii="Tahoma" w:hAnsi="Tahoma" w:cs="Tahoma"/>
      <w:sz w:val="16"/>
      <w:szCs w:val="16"/>
    </w:rPr>
  </w:style>
  <w:style w:type="table" w:styleId="Mkatabulky">
    <w:name w:val="Table Grid"/>
    <w:basedOn w:val="Normlntabulka"/>
    <w:uiPriority w:val="59"/>
    <w:rsid w:val="00420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AF46A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semiHidden/>
    <w:rsid w:val="00AF46A3"/>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semiHidden/>
    <w:unhideWhenUsed/>
    <w:rsid w:val="00C36BED"/>
    <w:pPr>
      <w:spacing w:after="0"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C36BED"/>
    <w:rPr>
      <w:rFonts w:ascii="Consolas" w:hAnsi="Consolas" w:cs="Consolas"/>
      <w:sz w:val="21"/>
      <w:szCs w:val="21"/>
    </w:rPr>
  </w:style>
  <w:style w:type="character" w:customStyle="1" w:styleId="platne">
    <w:name w:val="platne"/>
    <w:rsid w:val="00733562"/>
  </w:style>
  <w:style w:type="paragraph" w:styleId="Revize">
    <w:name w:val="Revision"/>
    <w:hidden/>
    <w:uiPriority w:val="99"/>
    <w:semiHidden/>
    <w:rsid w:val="007335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1760"/>
    <w:pPr>
      <w:ind w:left="720"/>
      <w:contextualSpacing/>
    </w:pPr>
  </w:style>
  <w:style w:type="character" w:styleId="Hypertextovodkaz">
    <w:name w:val="Hyperlink"/>
    <w:basedOn w:val="Standardnpsmoodstavce"/>
    <w:uiPriority w:val="99"/>
    <w:unhideWhenUsed/>
    <w:rsid w:val="00BD1F32"/>
    <w:rPr>
      <w:color w:val="0000FF" w:themeColor="hyperlink"/>
      <w:u w:val="single"/>
    </w:rPr>
  </w:style>
  <w:style w:type="character" w:styleId="Odkaznakoment">
    <w:name w:val="annotation reference"/>
    <w:basedOn w:val="Standardnpsmoodstavce"/>
    <w:uiPriority w:val="99"/>
    <w:semiHidden/>
    <w:unhideWhenUsed/>
    <w:rsid w:val="009508DA"/>
    <w:rPr>
      <w:sz w:val="16"/>
      <w:szCs w:val="16"/>
    </w:rPr>
  </w:style>
  <w:style w:type="paragraph" w:styleId="Textkomente">
    <w:name w:val="annotation text"/>
    <w:basedOn w:val="Normln"/>
    <w:link w:val="TextkomenteChar"/>
    <w:uiPriority w:val="99"/>
    <w:semiHidden/>
    <w:unhideWhenUsed/>
    <w:rsid w:val="009508DA"/>
    <w:pPr>
      <w:spacing w:line="240" w:lineRule="auto"/>
    </w:pPr>
    <w:rPr>
      <w:sz w:val="20"/>
      <w:szCs w:val="20"/>
    </w:rPr>
  </w:style>
  <w:style w:type="character" w:customStyle="1" w:styleId="TextkomenteChar">
    <w:name w:val="Text komentáře Char"/>
    <w:basedOn w:val="Standardnpsmoodstavce"/>
    <w:link w:val="Textkomente"/>
    <w:uiPriority w:val="99"/>
    <w:semiHidden/>
    <w:rsid w:val="009508DA"/>
    <w:rPr>
      <w:sz w:val="20"/>
      <w:szCs w:val="20"/>
    </w:rPr>
  </w:style>
  <w:style w:type="paragraph" w:styleId="Pedmtkomente">
    <w:name w:val="annotation subject"/>
    <w:basedOn w:val="Textkomente"/>
    <w:next w:val="Textkomente"/>
    <w:link w:val="PedmtkomenteChar"/>
    <w:uiPriority w:val="99"/>
    <w:semiHidden/>
    <w:unhideWhenUsed/>
    <w:rsid w:val="009508DA"/>
    <w:rPr>
      <w:b/>
      <w:bCs/>
    </w:rPr>
  </w:style>
  <w:style w:type="character" w:customStyle="1" w:styleId="PedmtkomenteChar">
    <w:name w:val="Předmět komentáře Char"/>
    <w:basedOn w:val="TextkomenteChar"/>
    <w:link w:val="Pedmtkomente"/>
    <w:uiPriority w:val="99"/>
    <w:semiHidden/>
    <w:rsid w:val="009508DA"/>
    <w:rPr>
      <w:b/>
      <w:bCs/>
      <w:sz w:val="20"/>
      <w:szCs w:val="20"/>
    </w:rPr>
  </w:style>
  <w:style w:type="paragraph" w:styleId="Textbubliny">
    <w:name w:val="Balloon Text"/>
    <w:basedOn w:val="Normln"/>
    <w:link w:val="TextbublinyChar"/>
    <w:uiPriority w:val="99"/>
    <w:semiHidden/>
    <w:unhideWhenUsed/>
    <w:rsid w:val="00950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8DA"/>
    <w:rPr>
      <w:rFonts w:ascii="Tahoma" w:hAnsi="Tahoma" w:cs="Tahoma"/>
      <w:sz w:val="16"/>
      <w:szCs w:val="16"/>
    </w:rPr>
  </w:style>
  <w:style w:type="table" w:styleId="Mkatabulky">
    <w:name w:val="Table Grid"/>
    <w:basedOn w:val="Normlntabulka"/>
    <w:uiPriority w:val="59"/>
    <w:rsid w:val="00420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AF46A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semiHidden/>
    <w:rsid w:val="00AF46A3"/>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semiHidden/>
    <w:unhideWhenUsed/>
    <w:rsid w:val="00C36BED"/>
    <w:pPr>
      <w:spacing w:after="0"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C36BED"/>
    <w:rPr>
      <w:rFonts w:ascii="Consolas" w:hAnsi="Consolas" w:cs="Consolas"/>
      <w:sz w:val="21"/>
      <w:szCs w:val="21"/>
    </w:rPr>
  </w:style>
  <w:style w:type="character" w:customStyle="1" w:styleId="platne">
    <w:name w:val="platne"/>
    <w:rsid w:val="00733562"/>
  </w:style>
  <w:style w:type="paragraph" w:styleId="Revize">
    <w:name w:val="Revision"/>
    <w:hidden/>
    <w:uiPriority w:val="99"/>
    <w:semiHidden/>
    <w:rsid w:val="00733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80896">
      <w:bodyDiv w:val="1"/>
      <w:marLeft w:val="0"/>
      <w:marRight w:val="0"/>
      <w:marTop w:val="0"/>
      <w:marBottom w:val="0"/>
      <w:divBdr>
        <w:top w:val="none" w:sz="0" w:space="0" w:color="auto"/>
        <w:left w:val="none" w:sz="0" w:space="0" w:color="auto"/>
        <w:bottom w:val="none" w:sz="0" w:space="0" w:color="auto"/>
        <w:right w:val="none" w:sz="0" w:space="0" w:color="auto"/>
      </w:divBdr>
    </w:div>
    <w:div w:id="237978111">
      <w:bodyDiv w:val="1"/>
      <w:marLeft w:val="0"/>
      <w:marRight w:val="0"/>
      <w:marTop w:val="0"/>
      <w:marBottom w:val="0"/>
      <w:divBdr>
        <w:top w:val="none" w:sz="0" w:space="0" w:color="auto"/>
        <w:left w:val="none" w:sz="0" w:space="0" w:color="auto"/>
        <w:bottom w:val="none" w:sz="0" w:space="0" w:color="auto"/>
        <w:right w:val="none" w:sz="0" w:space="0" w:color="auto"/>
      </w:divBdr>
    </w:div>
    <w:div w:id="440104945">
      <w:bodyDiv w:val="1"/>
      <w:marLeft w:val="0"/>
      <w:marRight w:val="0"/>
      <w:marTop w:val="0"/>
      <w:marBottom w:val="0"/>
      <w:divBdr>
        <w:top w:val="none" w:sz="0" w:space="0" w:color="auto"/>
        <w:left w:val="none" w:sz="0" w:space="0" w:color="auto"/>
        <w:bottom w:val="none" w:sz="0" w:space="0" w:color="auto"/>
        <w:right w:val="none" w:sz="0" w:space="0" w:color="auto"/>
      </w:divBdr>
    </w:div>
    <w:div w:id="1258444459">
      <w:bodyDiv w:val="1"/>
      <w:marLeft w:val="0"/>
      <w:marRight w:val="0"/>
      <w:marTop w:val="0"/>
      <w:marBottom w:val="0"/>
      <w:divBdr>
        <w:top w:val="none" w:sz="0" w:space="0" w:color="auto"/>
        <w:left w:val="none" w:sz="0" w:space="0" w:color="auto"/>
        <w:bottom w:val="none" w:sz="0" w:space="0" w:color="auto"/>
        <w:right w:val="none" w:sz="0" w:space="0" w:color="auto"/>
      </w:divBdr>
    </w:div>
    <w:div w:id="1346401508">
      <w:bodyDiv w:val="1"/>
      <w:marLeft w:val="0"/>
      <w:marRight w:val="0"/>
      <w:marTop w:val="0"/>
      <w:marBottom w:val="0"/>
      <w:divBdr>
        <w:top w:val="none" w:sz="0" w:space="0" w:color="auto"/>
        <w:left w:val="none" w:sz="0" w:space="0" w:color="auto"/>
        <w:bottom w:val="none" w:sz="0" w:space="0" w:color="auto"/>
        <w:right w:val="none" w:sz="0" w:space="0" w:color="auto"/>
      </w:divBdr>
    </w:div>
    <w:div w:id="15334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CC75D-4276-47DA-8F6F-36D6D646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2699</Words>
  <Characters>15928</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sobotkova</dc:creator>
  <cp:lastModifiedBy>Zdena Sedlakova</cp:lastModifiedBy>
  <cp:revision>2</cp:revision>
  <cp:lastPrinted>2018-04-19T07:44:00Z</cp:lastPrinted>
  <dcterms:created xsi:type="dcterms:W3CDTF">2018-04-19T07:47:00Z</dcterms:created>
  <dcterms:modified xsi:type="dcterms:W3CDTF">2018-04-19T07:47:00Z</dcterms:modified>
</cp:coreProperties>
</file>