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19" w:rsidRDefault="00BF4419">
      <w:pPr>
        <w:spacing w:line="200" w:lineRule="exact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</w:p>
    <w:p w:rsidR="00BF4419" w:rsidRDefault="00BF4419">
      <w:pPr>
        <w:spacing w:line="254" w:lineRule="exact"/>
        <w:rPr>
          <w:sz w:val="24"/>
          <w:szCs w:val="24"/>
        </w:rPr>
      </w:pPr>
    </w:p>
    <w:p w:rsidR="00BF4419" w:rsidRDefault="0094076B">
      <w:pPr>
        <w:ind w:left="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Požadované technické parametry dodávky</w:t>
      </w:r>
    </w:p>
    <w:p w:rsidR="00BF4419" w:rsidRDefault="00BF4419">
      <w:pPr>
        <w:spacing w:line="46" w:lineRule="exact"/>
        <w:rPr>
          <w:sz w:val="24"/>
          <w:szCs w:val="24"/>
        </w:rPr>
      </w:pPr>
    </w:p>
    <w:p w:rsidR="00BF4419" w:rsidRDefault="0094076B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Předmětem dodávky jsou aktivní síťové prvky dle technických podmínek uvedených níže.</w:t>
      </w:r>
    </w:p>
    <w:p w:rsidR="00BF4419" w:rsidRDefault="00BF4419">
      <w:pPr>
        <w:spacing w:line="1" w:lineRule="exact"/>
        <w:rPr>
          <w:sz w:val="24"/>
          <w:szCs w:val="24"/>
        </w:rPr>
      </w:pPr>
    </w:p>
    <w:p w:rsidR="00BF4419" w:rsidRDefault="0094076B">
      <w:pPr>
        <w:numPr>
          <w:ilvl w:val="0"/>
          <w:numId w:val="1"/>
        </w:numPr>
        <w:tabs>
          <w:tab w:val="left" w:pos="780"/>
        </w:tabs>
        <w:ind w:left="780" w:hanging="34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>VPN koncentrátor s 800 VPN klienty (požadovány 2 ks).</w:t>
      </w:r>
    </w:p>
    <w:p w:rsidR="00BF4419" w:rsidRDefault="00BF4419">
      <w:pPr>
        <w:spacing w:line="206" w:lineRule="exact"/>
        <w:rPr>
          <w:sz w:val="24"/>
          <w:szCs w:val="24"/>
        </w:rPr>
      </w:pPr>
    </w:p>
    <w:p w:rsidR="00BF4419" w:rsidRDefault="0094076B">
      <w:pPr>
        <w:spacing w:line="275" w:lineRule="auto"/>
        <w:ind w:left="80" w:right="64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 xml:space="preserve">Tabulka povinných požadavků pro VPN koncentrátor s 800 VPN klienty </w:t>
      </w:r>
      <w:r>
        <w:rPr>
          <w:rFonts w:ascii="Cambria" w:eastAsia="Cambria" w:hAnsi="Cambria" w:cs="Cambria"/>
          <w:b/>
          <w:bCs/>
          <w:sz w:val="26"/>
          <w:szCs w:val="26"/>
        </w:rPr>
        <w:t>(požadovány 2 ks)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5540"/>
        <w:gridCol w:w="60"/>
        <w:gridCol w:w="3460"/>
        <w:gridCol w:w="100"/>
        <w:gridCol w:w="30"/>
      </w:tblGrid>
      <w:tr w:rsidR="00BF4419">
        <w:trPr>
          <w:trHeight w:val="231"/>
        </w:trPr>
        <w:tc>
          <w:tcPr>
            <w:tcW w:w="80" w:type="dxa"/>
            <w:tcBorders>
              <w:top w:val="single" w:sz="8" w:space="0" w:color="auto"/>
              <w:left w:val="single" w:sz="8" w:space="0" w:color="auto"/>
            </w:tcBorders>
            <w:shd w:val="clear" w:color="auto" w:fill="BFBFBF"/>
            <w:vAlign w:val="bottom"/>
          </w:tcPr>
          <w:p w:rsidR="00BF4419" w:rsidRDefault="00BF4419">
            <w:pPr>
              <w:rPr>
                <w:sz w:val="20"/>
                <w:szCs w:val="20"/>
              </w:rPr>
            </w:pPr>
          </w:p>
        </w:tc>
        <w:tc>
          <w:tcPr>
            <w:tcW w:w="55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Požadovaná funkcionalita/vlastnost</w:t>
            </w: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BFBFBF"/>
            <w:vAlign w:val="bottom"/>
          </w:tcPr>
          <w:p w:rsidR="00BF4419" w:rsidRDefault="00BF4419">
            <w:pPr>
              <w:rPr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single" w:sz="8" w:space="0" w:color="auto"/>
            </w:tcBorders>
            <w:shd w:val="clear" w:color="auto" w:fill="BFBFBF"/>
            <w:vAlign w:val="bottom"/>
          </w:tcPr>
          <w:p w:rsidR="00BF4419" w:rsidRDefault="0094076B">
            <w:pPr>
              <w:spacing w:line="230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Způsob splnění požadované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BF4419" w:rsidRDefault="00BF441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2"/>
        </w:trPr>
        <w:tc>
          <w:tcPr>
            <w:tcW w:w="80" w:type="dxa"/>
            <w:tcBorders>
              <w:left w:val="single" w:sz="8" w:space="0" w:color="auto"/>
            </w:tcBorders>
            <w:shd w:val="clear" w:color="auto" w:fill="BFBFBF"/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5540" w:type="dxa"/>
            <w:vMerge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shd w:val="clear" w:color="auto" w:fill="BFBFBF"/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460" w:type="dxa"/>
            <w:vMerge w:val="restart"/>
            <w:shd w:val="clear" w:color="auto" w:fill="BFBFBF"/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funkcionality/vlastnosti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BFBFBF"/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460" w:type="dxa"/>
            <w:vMerge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83"/>
        </w:trPr>
        <w:tc>
          <w:tcPr>
            <w:tcW w:w="80" w:type="dxa"/>
            <w:tcBorders>
              <w:left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BF4419" w:rsidRDefault="00BF4419">
            <w:pPr>
              <w:rPr>
                <w:sz w:val="24"/>
                <w:szCs w:val="24"/>
              </w:rPr>
            </w:pPr>
          </w:p>
        </w:tc>
        <w:tc>
          <w:tcPr>
            <w:tcW w:w="55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Základní vlastnosti</w:t>
            </w:r>
          </w:p>
        </w:tc>
        <w:tc>
          <w:tcPr>
            <w:tcW w:w="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F4419" w:rsidRDefault="00BF4419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F4419" w:rsidRDefault="00BF441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F4419" w:rsidRDefault="00BF44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Typ zařízení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Stavový firewall / VPN koncentrátor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27"/>
        </w:trPr>
        <w:tc>
          <w:tcPr>
            <w:tcW w:w="56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Vysoká dostupnost/High Availability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19"/>
                <w:szCs w:val="19"/>
              </w:rPr>
            </w:pP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spacing w:line="22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 režimech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active/passive i active/active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2"/>
        </w:trPr>
        <w:tc>
          <w:tcPr>
            <w:tcW w:w="56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 L2 vrstvě bez dalších nákladů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5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9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Formát zařízení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Appliance, 1RU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27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Minimální počet 10/100/1000-BaseT rozhraní dedikovaných pro</w:t>
            </w:r>
          </w:p>
        </w:tc>
        <w:tc>
          <w:tcPr>
            <w:tcW w:w="3520" w:type="dxa"/>
            <w:gridSpan w:val="2"/>
            <w:vMerge w:val="restart"/>
            <w:vAlign w:val="bottom"/>
          </w:tcPr>
          <w:p w:rsidR="00BF4419" w:rsidRDefault="0094076B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2"/>
        </w:trPr>
        <w:tc>
          <w:tcPr>
            <w:tcW w:w="56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management</w:t>
            </w:r>
          </w:p>
        </w:tc>
        <w:tc>
          <w:tcPr>
            <w:tcW w:w="3520" w:type="dxa"/>
            <w:gridSpan w:val="2"/>
            <w:vMerge/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6"/>
        </w:trPr>
        <w:tc>
          <w:tcPr>
            <w:tcW w:w="56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50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Minimální počet 10/100/1000-BaseT portů</w:t>
            </w:r>
          </w:p>
        </w:tc>
        <w:tc>
          <w:tcPr>
            <w:tcW w:w="3520" w:type="dxa"/>
            <w:gridSpan w:val="2"/>
            <w:vAlign w:val="bottom"/>
          </w:tcPr>
          <w:p w:rsidR="00BF4419" w:rsidRDefault="0094076B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Minimální počet 10GE portů s volitelným fyzickým rozhraním</w:t>
            </w:r>
          </w:p>
        </w:tc>
        <w:tc>
          <w:tcPr>
            <w:tcW w:w="3520" w:type="dxa"/>
            <w:gridSpan w:val="2"/>
            <w:vAlign w:val="bottom"/>
          </w:tcPr>
          <w:p w:rsidR="00BF4419" w:rsidRDefault="0094076B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Možnost rozšíření o moduly rozhraní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27"/>
        </w:trPr>
        <w:tc>
          <w:tcPr>
            <w:tcW w:w="56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Požadovaný počet a typ transceiverů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19"/>
                <w:szCs w:val="19"/>
              </w:rPr>
            </w:pP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spacing w:line="227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4, SFP+, 10GBase-LR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2"/>
        </w:trPr>
        <w:tc>
          <w:tcPr>
            <w:tcW w:w="56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4, SFP+, AOC, 10m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6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50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Požadovaný počet a typ transceiverů pro přímo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připojená zařízení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4, SFP+, 10GBase-LR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Požadovaná počet a typ propojovacích optických kabelů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8, E2000/APC – LC/PC, SM 9/125um, 10m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Redundantní napájecí AC zdroje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Napájecí zdroje vyměnitelné za chodu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78"/>
        </w:trPr>
        <w:tc>
          <w:tcPr>
            <w:tcW w:w="80" w:type="dxa"/>
            <w:tcBorders>
              <w:left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BF4419" w:rsidRDefault="00BF4419">
            <w:pPr>
              <w:rPr>
                <w:sz w:val="23"/>
                <w:szCs w:val="23"/>
              </w:rPr>
            </w:pPr>
          </w:p>
        </w:tc>
        <w:tc>
          <w:tcPr>
            <w:tcW w:w="55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Výkonnostní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parametry</w:t>
            </w:r>
          </w:p>
        </w:tc>
        <w:tc>
          <w:tcPr>
            <w:tcW w:w="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F4419" w:rsidRDefault="00BF4419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F4419" w:rsidRDefault="00BF441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F4419" w:rsidRDefault="00BF441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Minimální počet současně otevřených spojení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 milióny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9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Minimální počet nových spojení za vteřinu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40 tisíc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"/>
        </w:trPr>
        <w:tc>
          <w:tcPr>
            <w:tcW w:w="5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9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Minimální agregovaná propustnost firewallu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 Gb/s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"/>
        </w:trPr>
        <w:tc>
          <w:tcPr>
            <w:tcW w:w="5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30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Minimální agregovaná propustnost firewallu při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19"/>
                <w:szCs w:val="19"/>
              </w:rPr>
            </w:pPr>
          </w:p>
        </w:tc>
        <w:tc>
          <w:tcPr>
            <w:tcW w:w="35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 Gb/s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0"/>
        </w:trPr>
        <w:tc>
          <w:tcPr>
            <w:tcW w:w="56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multiprotokolovém provozu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6"/>
        </w:trPr>
        <w:tc>
          <w:tcPr>
            <w:tcW w:w="56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50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Propustnost VPN koncentrátoru (šifrování AES)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 Gb/s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78"/>
        </w:trPr>
        <w:tc>
          <w:tcPr>
            <w:tcW w:w="80" w:type="dxa"/>
            <w:tcBorders>
              <w:left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BF4419" w:rsidRDefault="00BF4419">
            <w:pPr>
              <w:rPr>
                <w:sz w:val="23"/>
                <w:szCs w:val="23"/>
              </w:rPr>
            </w:pPr>
          </w:p>
        </w:tc>
        <w:tc>
          <w:tcPr>
            <w:tcW w:w="55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Podporované funkce</w:t>
            </w:r>
          </w:p>
        </w:tc>
        <w:tc>
          <w:tcPr>
            <w:tcW w:w="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F4419" w:rsidRDefault="00BF4419">
            <w:pPr>
              <w:rPr>
                <w:sz w:val="23"/>
                <w:szCs w:val="23"/>
              </w:rPr>
            </w:pPr>
          </w:p>
        </w:tc>
        <w:tc>
          <w:tcPr>
            <w:tcW w:w="34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F4419" w:rsidRDefault="00BF4419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F4419" w:rsidRDefault="00BF441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Stateful failover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 režimech active/active i active/passive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gridSpan w:val="2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9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Počet VLAN</w:t>
            </w:r>
          </w:p>
        </w:tc>
        <w:tc>
          <w:tcPr>
            <w:tcW w:w="3520" w:type="dxa"/>
            <w:gridSpan w:val="2"/>
            <w:vAlign w:val="bottom"/>
          </w:tcPr>
          <w:p w:rsidR="00BF4419" w:rsidRDefault="0094076B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700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"/>
        </w:trPr>
        <w:tc>
          <w:tcPr>
            <w:tcW w:w="5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9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Provoz zařízení v režimu L3 (směrování)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"/>
        </w:trPr>
        <w:tc>
          <w:tcPr>
            <w:tcW w:w="5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9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Provoz zařízení v režimu L2 (přepínání nebo transparentní)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73"/>
        </w:trPr>
        <w:tc>
          <w:tcPr>
            <w:tcW w:w="5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Seskupování portů IEEE 802.3ad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7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Statické i dynamické směrování pro IPv4 (OSPF, BGP)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Statické i dynamické směrování pro IPv6 (OSPFv3, MP-BGP)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NAT64 a DNS64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Policy based Routing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27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Kontrola paketů TCP provozu s ochranou před útoky, jejichž cílem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19"/>
                <w:szCs w:val="19"/>
              </w:rPr>
            </w:pPr>
          </w:p>
        </w:tc>
        <w:tc>
          <w:tcPr>
            <w:tcW w:w="3460" w:type="dxa"/>
            <w:vAlign w:val="bottom"/>
          </w:tcPr>
          <w:p w:rsidR="00BF4419" w:rsidRDefault="00BF4419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5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je obejít bezpečnostní prvky nestandardním rozkladem dat do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7"/>
        </w:trPr>
        <w:tc>
          <w:tcPr>
            <w:tcW w:w="5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paketů, fragmentací, apod.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51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Filtrace IPv4 a IPv6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provozu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"/>
        </w:trPr>
        <w:tc>
          <w:tcPr>
            <w:tcW w:w="5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9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Inspekce IPv4 a IPv6 provozu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"/>
        </w:trPr>
        <w:tc>
          <w:tcPr>
            <w:tcW w:w="56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9"/>
        </w:trPr>
        <w:tc>
          <w:tcPr>
            <w:tcW w:w="56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Filtrace podle identity uživatele nebo skupiny definované v AD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gridSpan w:val="2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5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</w:tbl>
    <w:p w:rsidR="00BF4419" w:rsidRDefault="0094076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5847715</wp:posOffset>
                </wp:positionH>
                <wp:positionV relativeFrom="paragraph">
                  <wp:posOffset>-1783080</wp:posOffset>
                </wp:positionV>
                <wp:extent cx="12700" cy="1206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style="position:absolute;margin-left:460.45pt;margin-top:-140.3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BF4419" w:rsidRDefault="00BF4419">
      <w:pPr>
        <w:sectPr w:rsidR="00BF4419">
          <w:pgSz w:w="11900" w:h="16838"/>
          <w:pgMar w:top="1440" w:right="1346" w:bottom="1099" w:left="1340" w:header="0" w:footer="0" w:gutter="0"/>
          <w:cols w:space="708" w:equalWidth="0">
            <w:col w:w="92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0"/>
        <w:gridCol w:w="60"/>
        <w:gridCol w:w="3560"/>
        <w:gridCol w:w="30"/>
      </w:tblGrid>
      <w:tr w:rsidR="00BF4419">
        <w:trPr>
          <w:trHeight w:val="250"/>
        </w:trPr>
        <w:tc>
          <w:tcPr>
            <w:tcW w:w="5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bookmarkStart w:id="2" w:name="page2"/>
            <w:bookmarkEnd w:id="2"/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Filtrace komunikace Botnet sítě s využitím databází o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0"/>
        </w:trPr>
        <w:tc>
          <w:tcPr>
            <w:tcW w:w="5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důvěryhodnosti adres v Internetu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6"/>
        </w:trPr>
        <w:tc>
          <w:tcPr>
            <w:tcW w:w="5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50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Funkce QoS až na úrovni jednotlivých toků (flow) s podporou LLQ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Bezpečnostní pravidla se zohledněním i identity uživatele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27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Bezpečnostní pravidla se zohledněním informací o koncovém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19"/>
                <w:szCs w:val="19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2"/>
        </w:trPr>
        <w:tc>
          <w:tcPr>
            <w:tcW w:w="5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zařízení (typ, stav, apod.)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6"/>
        </w:trPr>
        <w:tc>
          <w:tcPr>
            <w:tcW w:w="5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50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API rozhraní pro sdílení kontextových informací s dalšími systémy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RADIUS klient pro AAA (autentizace, autorizace, accounting)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DHCP relay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78"/>
        </w:trPr>
        <w:tc>
          <w:tcPr>
            <w:tcW w:w="5620" w:type="dxa"/>
            <w:tcBorders>
              <w:left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Správa</w:t>
            </w:r>
          </w:p>
        </w:tc>
        <w:tc>
          <w:tcPr>
            <w:tcW w:w="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F4419" w:rsidRDefault="00BF4419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F4419" w:rsidRDefault="00BF441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CLI rozhraní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Přístup pomocí protokolu SSHv2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9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Omezení přístupu k managementu (SSH, SNMP) pomocí ACL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9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Protokoly SNMPv2, SNMPv3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30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Ověřování přístupu k zařízení pomocí RADIUS anebo TACACS+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2"/>
        </w:trPr>
        <w:tc>
          <w:tcPr>
            <w:tcW w:w="5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protokolu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4"/>
        </w:trPr>
        <w:tc>
          <w:tcPr>
            <w:tcW w:w="5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50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Řízení přístupu na zařízení podle rolí administrátorů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Vzdálené logování na syslog server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27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Export statistik datových toků pomocí netflow, sflow nebo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19"/>
                <w:szCs w:val="19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2"/>
        </w:trPr>
        <w:tc>
          <w:tcPr>
            <w:tcW w:w="5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ekvivalentních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6"/>
        </w:trPr>
        <w:tc>
          <w:tcPr>
            <w:tcW w:w="5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31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Vzdálené správa konfigurace přes grafické rozhraní bez nutnosti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2"/>
        </w:trPr>
        <w:tc>
          <w:tcPr>
            <w:tcW w:w="5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instalace zvláštního SW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5"/>
        </w:trPr>
        <w:tc>
          <w:tcPr>
            <w:tcW w:w="5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32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Přehledy 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statistiky na dohledové konzoli s filtrací podle času,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2"/>
        </w:trPr>
        <w:tc>
          <w:tcPr>
            <w:tcW w:w="5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typů incidentů, aplikací, koncových stanic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4"/>
        </w:trPr>
        <w:tc>
          <w:tcPr>
            <w:tcW w:w="5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31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Centrální dohledová konzole s vytvářením reportů manuálně a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2"/>
        </w:trPr>
        <w:tc>
          <w:tcPr>
            <w:tcW w:w="5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podle časového harmonogramu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6"/>
        </w:trPr>
        <w:tc>
          <w:tcPr>
            <w:tcW w:w="5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31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Centrální dohledová konzole s korelací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událostí s definicí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5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odpovídajících akcí, např. zaslání korelované události na SIEM,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generování mailu, lokální události, apod.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81"/>
        </w:trPr>
        <w:tc>
          <w:tcPr>
            <w:tcW w:w="5620" w:type="dxa"/>
            <w:tcBorders>
              <w:left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Funkcionalita VPN</w:t>
            </w:r>
          </w:p>
        </w:tc>
        <w:tc>
          <w:tcPr>
            <w:tcW w:w="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F4419" w:rsidRDefault="00BF4419">
            <w:pPr>
              <w:rPr>
                <w:sz w:val="24"/>
                <w:szCs w:val="24"/>
              </w:rPr>
            </w:pPr>
          </w:p>
        </w:tc>
        <w:tc>
          <w:tcPr>
            <w:tcW w:w="356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F4419" w:rsidRDefault="00BF4419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Minimální počet souběžných VPN spojení</w:t>
            </w:r>
          </w:p>
        </w:tc>
        <w:tc>
          <w:tcPr>
            <w:tcW w:w="36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6000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27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Definice specifických přístupových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oprávnění (bezpečnostní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19"/>
                <w:szCs w:val="19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5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politiky, ACL, atd.) podle identity nebo skupiny uživatele (např.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8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 AD)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50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Autentizace uživatelů pomocí lokální databáze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Autentizace uživatelů pomocí RADIUS serveru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Autentizace uživatelů pomocí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Kerberos serveru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Autentizace uživatelů pomocí digitálních certifikátů X. 509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Autentizace uživatelů pomocí SmartCard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73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Autentizace uživatelů pomocí RSA softID a RSA securID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27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Podpora veřejných CA včetně možnosti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zprovoznit CA přímo na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19"/>
                <w:szCs w:val="19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3"/>
        </w:trPr>
        <w:tc>
          <w:tcPr>
            <w:tcW w:w="5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firewallu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6"/>
        </w:trPr>
        <w:tc>
          <w:tcPr>
            <w:tcW w:w="5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50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Současná autentizace AAA a certifikátem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CRL a OCSP pro kontrolu revokace certifikátu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Přiřazení IPv6 adres klientům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78"/>
        </w:trPr>
        <w:tc>
          <w:tcPr>
            <w:tcW w:w="5620" w:type="dxa"/>
            <w:tcBorders>
              <w:left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Funkcionalita VPN klienta</w:t>
            </w:r>
          </w:p>
        </w:tc>
        <w:tc>
          <w:tcPr>
            <w:tcW w:w="60" w:type="dxa"/>
            <w:tcBorders>
              <w:bottom w:val="single" w:sz="8" w:space="0" w:color="D9D9D9"/>
            </w:tcBorders>
            <w:shd w:val="clear" w:color="auto" w:fill="D9D9D9"/>
            <w:vAlign w:val="bottom"/>
          </w:tcPr>
          <w:p w:rsidR="00BF4419" w:rsidRDefault="00BF4419">
            <w:pPr>
              <w:rPr>
                <w:sz w:val="23"/>
                <w:szCs w:val="23"/>
              </w:rPr>
            </w:pPr>
          </w:p>
        </w:tc>
        <w:tc>
          <w:tcPr>
            <w:tcW w:w="356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BF4419" w:rsidRDefault="00BF4419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Minimální počet klientů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 2 ks VPN koncentrátorů</w:t>
            </w:r>
          </w:p>
        </w:tc>
        <w:tc>
          <w:tcPr>
            <w:tcW w:w="36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800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27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IPsec VPN s podporou standardů RFC 2408 Internet Security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19"/>
                <w:szCs w:val="19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5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Association and Key Management Protocol (ISAKMP), RFC 2409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vMerge w:val="restart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2"/>
        </w:trPr>
        <w:tc>
          <w:tcPr>
            <w:tcW w:w="5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The Internet Key Exchange (IKE) a RFC 2412 OAKLEY Key</w:t>
            </w: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vMerge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2"/>
        </w:trPr>
        <w:tc>
          <w:tcPr>
            <w:tcW w:w="5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560" w:type="dxa"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8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Determination Protocol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3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</w:tbl>
    <w:p w:rsidR="00BF4419" w:rsidRDefault="0094076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5847715</wp:posOffset>
                </wp:positionH>
                <wp:positionV relativeFrom="paragraph">
                  <wp:posOffset>-1882140</wp:posOffset>
                </wp:positionV>
                <wp:extent cx="12700" cy="1206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460.45pt;margin-top:-148.1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5847715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8" style="position:absolute;margin-left:460.45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BF4419" w:rsidRDefault="00BF4419">
      <w:pPr>
        <w:sectPr w:rsidR="00BF4419">
          <w:pgSz w:w="11900" w:h="16838"/>
          <w:pgMar w:top="1395" w:right="1346" w:bottom="1063" w:left="1340" w:header="0" w:footer="0" w:gutter="0"/>
          <w:cols w:space="708" w:equalWidth="0">
            <w:col w:w="92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0"/>
        <w:gridCol w:w="3620"/>
        <w:gridCol w:w="30"/>
      </w:tblGrid>
      <w:tr w:rsidR="00BF4419">
        <w:trPr>
          <w:trHeight w:val="269"/>
        </w:trPr>
        <w:tc>
          <w:tcPr>
            <w:tcW w:w="56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bookmarkStart w:id="3" w:name="page3"/>
            <w:bookmarkEnd w:id="3"/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Nový protokol pro výměny klíčů IKEv2</w:t>
            </w:r>
          </w:p>
        </w:tc>
        <w:tc>
          <w:tcPr>
            <w:tcW w:w="3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28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NextGen šifrovací algoritmy AES-GCM/GMAC-128, AES-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2"/>
        </w:trPr>
        <w:tc>
          <w:tcPr>
            <w:tcW w:w="5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GCM/GMAC-192, AES-GCM/GMAC-256</w:t>
            </w: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4"/>
        </w:trPr>
        <w:tc>
          <w:tcPr>
            <w:tcW w:w="5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31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Komponenta Suite-B SHA-2 mechanizmu s metodami SHA-256 a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2"/>
        </w:trPr>
        <w:tc>
          <w:tcPr>
            <w:tcW w:w="5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SHA-384</w:t>
            </w: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6"/>
        </w:trPr>
        <w:tc>
          <w:tcPr>
            <w:tcW w:w="5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31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Šifrovací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algoritmy eliptických křivek (součást Suite-B) ECDH,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2"/>
        </w:trPr>
        <w:tc>
          <w:tcPr>
            <w:tcW w:w="5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ECDSA</w:t>
            </w: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5"/>
        </w:trPr>
        <w:tc>
          <w:tcPr>
            <w:tcW w:w="5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51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Jednotný klient pro IPsec (IKEv2) i SSL VPN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30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SSL VPN klient k dispozici pro všechny běžné desktopové OS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0"/>
        </w:trPr>
        <w:tc>
          <w:tcPr>
            <w:tcW w:w="5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43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Windows 7/10 (32-bit a 64-bit), MacOS X 10.x, Linux</w:t>
            </w: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6"/>
        </w:trPr>
        <w:tc>
          <w:tcPr>
            <w:tcW w:w="5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31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SSL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VPN klient pro moderní mobilní platformy na bázi Android a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2"/>
        </w:trPr>
        <w:tc>
          <w:tcPr>
            <w:tcW w:w="5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Apple iOS</w:t>
            </w: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6"/>
        </w:trPr>
        <w:tc>
          <w:tcPr>
            <w:tcW w:w="5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31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3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VPN klient s podporou 802.1X supplicantu s autentizačními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2"/>
        </w:trPr>
        <w:tc>
          <w:tcPr>
            <w:tcW w:w="5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metodami EAP-TLS, EAP-PEAP s MSCHAPv2</w:t>
            </w: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5"/>
        </w:trPr>
        <w:tc>
          <w:tcPr>
            <w:tcW w:w="5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30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VPN klient s modulem pro diagnózu a reporting případných</w:t>
            </w:r>
          </w:p>
        </w:tc>
        <w:tc>
          <w:tcPr>
            <w:tcW w:w="3620" w:type="dxa"/>
            <w:vMerge w:val="restart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2"/>
        </w:trPr>
        <w:tc>
          <w:tcPr>
            <w:tcW w:w="5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problémů</w:t>
            </w:r>
          </w:p>
        </w:tc>
        <w:tc>
          <w:tcPr>
            <w:tcW w:w="3620" w:type="dxa"/>
            <w:vMerge/>
            <w:tcBorders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127"/>
        </w:trPr>
        <w:tc>
          <w:tcPr>
            <w:tcW w:w="5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1"/>
                <w:szCs w:val="11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50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TLS i DTLS pro SSL připojení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46"/>
        </w:trPr>
        <w:tc>
          <w:tcPr>
            <w:tcW w:w="5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Tunelování protokolu IPv4</w:t>
            </w:r>
          </w:p>
        </w:tc>
        <w:tc>
          <w:tcPr>
            <w:tcW w:w="3620" w:type="dxa"/>
            <w:tcBorders>
              <w:right w:val="single" w:sz="8" w:space="0" w:color="auto"/>
            </w:tcBorders>
            <w:vAlign w:val="bottom"/>
          </w:tcPr>
          <w:p w:rsidR="00BF4419" w:rsidRDefault="0094076B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6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BF4419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  <w:tr w:rsidR="00BF4419">
        <w:trPr>
          <w:trHeight w:val="273"/>
        </w:trPr>
        <w:tc>
          <w:tcPr>
            <w:tcW w:w="5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Tunelování protokolu IPv6</w:t>
            </w:r>
          </w:p>
        </w:tc>
        <w:tc>
          <w:tcPr>
            <w:tcW w:w="3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F4419" w:rsidRDefault="0094076B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0" w:type="dxa"/>
            <w:vAlign w:val="bottom"/>
          </w:tcPr>
          <w:p w:rsidR="00BF4419" w:rsidRDefault="00BF4419">
            <w:pPr>
              <w:rPr>
                <w:sz w:val="1"/>
                <w:szCs w:val="1"/>
              </w:rPr>
            </w:pPr>
          </w:p>
        </w:tc>
      </w:tr>
    </w:tbl>
    <w:p w:rsidR="00BF4419" w:rsidRDefault="0094076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5847715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460.45pt;margin-top:-0.6999pt;width:1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BF4419" w:rsidRDefault="00BF4419">
      <w:pPr>
        <w:spacing w:line="178" w:lineRule="exact"/>
        <w:rPr>
          <w:sz w:val="20"/>
          <w:szCs w:val="20"/>
        </w:rPr>
      </w:pPr>
    </w:p>
    <w:p w:rsidR="00BF4419" w:rsidRDefault="0094076B">
      <w:pPr>
        <w:ind w:left="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Další požadavky</w:t>
      </w:r>
    </w:p>
    <w:p w:rsidR="00BF4419" w:rsidRDefault="00BF4419">
      <w:pPr>
        <w:spacing w:line="102" w:lineRule="exact"/>
        <w:rPr>
          <w:sz w:val="20"/>
          <w:szCs w:val="20"/>
        </w:rPr>
      </w:pPr>
    </w:p>
    <w:p w:rsidR="00BF4419" w:rsidRDefault="0094076B">
      <w:pPr>
        <w:numPr>
          <w:ilvl w:val="0"/>
          <w:numId w:val="2"/>
        </w:numPr>
        <w:tabs>
          <w:tab w:val="left" w:pos="500"/>
        </w:tabs>
        <w:spacing w:line="226" w:lineRule="auto"/>
        <w:ind w:left="500" w:right="60" w:hanging="424"/>
        <w:jc w:val="both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 xml:space="preserve">Všechny poptávané aktivní síťové prvky musí být z důvodů ochrany stávajících investic a minimalizace celkových </w:t>
      </w:r>
      <w:r>
        <w:rPr>
          <w:rFonts w:ascii="Calibri" w:eastAsia="Calibri" w:hAnsi="Calibri" w:cs="Calibri"/>
        </w:rPr>
        <w:t>nákladů na vlastnictví a provoz počítačové sítě zadavatele kompatibilní se všemi již používanými zařízeními, komunikačními protokoly a systémy správy sítě specifikovanými níže.</w:t>
      </w:r>
    </w:p>
    <w:p w:rsidR="00BF4419" w:rsidRDefault="00BF4419">
      <w:pPr>
        <w:spacing w:line="62" w:lineRule="exact"/>
        <w:rPr>
          <w:rFonts w:ascii="Symbol" w:eastAsia="Symbol" w:hAnsi="Symbol" w:cs="Symbol"/>
        </w:rPr>
      </w:pPr>
    </w:p>
    <w:p w:rsidR="00BF4419" w:rsidRDefault="0094076B">
      <w:pPr>
        <w:numPr>
          <w:ilvl w:val="0"/>
          <w:numId w:val="2"/>
        </w:numPr>
        <w:tabs>
          <w:tab w:val="left" w:pos="500"/>
        </w:tabs>
        <w:spacing w:line="213" w:lineRule="auto"/>
        <w:ind w:left="500" w:right="80" w:hanging="424"/>
        <w:rPr>
          <w:rFonts w:ascii="Symbol" w:eastAsia="Symbol" w:hAnsi="Symbol" w:cs="Symbol"/>
        </w:rPr>
      </w:pPr>
      <w:r>
        <w:rPr>
          <w:rFonts w:ascii="Calibri" w:eastAsia="Calibri" w:hAnsi="Calibri" w:cs="Calibri"/>
        </w:rPr>
        <w:t xml:space="preserve">Zadavatel požaduje převod konfigurace používaného VPN koncentrátoru na dodané </w:t>
      </w:r>
      <w:r>
        <w:rPr>
          <w:rFonts w:ascii="Calibri" w:eastAsia="Calibri" w:hAnsi="Calibri" w:cs="Calibri"/>
        </w:rPr>
        <w:t>zařízení bez ztráty funkcionality.</w:t>
      </w:r>
    </w:p>
    <w:p w:rsidR="00BF4419" w:rsidRDefault="00BF4419">
      <w:pPr>
        <w:spacing w:line="208" w:lineRule="exact"/>
        <w:rPr>
          <w:sz w:val="20"/>
          <w:szCs w:val="20"/>
        </w:rPr>
      </w:pPr>
    </w:p>
    <w:p w:rsidR="00BF4419" w:rsidRDefault="0094076B">
      <w:pPr>
        <w:ind w:left="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6"/>
          <w:szCs w:val="26"/>
        </w:rPr>
        <w:t>Struktura technické části nabídky</w:t>
      </w:r>
    </w:p>
    <w:p w:rsidR="00BF4419" w:rsidRDefault="00BF4419">
      <w:pPr>
        <w:spacing w:line="39" w:lineRule="exact"/>
        <w:rPr>
          <w:sz w:val="20"/>
          <w:szCs w:val="20"/>
        </w:rPr>
      </w:pPr>
    </w:p>
    <w:p w:rsidR="00BF4419" w:rsidRDefault="0094076B">
      <w:pPr>
        <w:ind w:left="80"/>
        <w:rPr>
          <w:sz w:val="20"/>
          <w:szCs w:val="20"/>
        </w:rPr>
      </w:pPr>
      <w:r>
        <w:rPr>
          <w:rFonts w:ascii="Calibri" w:eastAsia="Calibri" w:hAnsi="Calibri" w:cs="Calibri"/>
        </w:rPr>
        <w:t>Technická část nabídky musí obsahovat:</w:t>
      </w:r>
    </w:p>
    <w:p w:rsidR="00BF4419" w:rsidRDefault="00BF4419">
      <w:pPr>
        <w:spacing w:line="61" w:lineRule="exact"/>
        <w:rPr>
          <w:sz w:val="20"/>
          <w:szCs w:val="20"/>
        </w:rPr>
      </w:pPr>
    </w:p>
    <w:p w:rsidR="00BF4419" w:rsidRDefault="0094076B">
      <w:pPr>
        <w:numPr>
          <w:ilvl w:val="0"/>
          <w:numId w:val="3"/>
        </w:numPr>
        <w:tabs>
          <w:tab w:val="left" w:pos="360"/>
        </w:tabs>
        <w:spacing w:line="213" w:lineRule="auto"/>
        <w:ind w:left="360" w:right="60" w:hanging="284"/>
        <w:rPr>
          <w:rFonts w:ascii="Symbol" w:eastAsia="Symbol" w:hAnsi="Symbol" w:cs="Symbol"/>
        </w:rPr>
      </w:pPr>
      <w:r>
        <w:rPr>
          <w:rFonts w:ascii="Calibri" w:eastAsia="Calibri" w:hAnsi="Calibri" w:cs="Calibri"/>
          <w:b/>
          <w:bCs/>
        </w:rPr>
        <w:t xml:space="preserve">Podrobný popis technických a funkčních parametrů </w:t>
      </w:r>
      <w:r>
        <w:rPr>
          <w:rFonts w:ascii="Calibri" w:eastAsia="Calibri" w:hAnsi="Calibri" w:cs="Calibri"/>
        </w:rPr>
        <w:t>nabízeného řešení, z něhož bude jasně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 xml:space="preserve">patrné splnění jednotlivých položek technických a </w:t>
      </w:r>
      <w:r>
        <w:rPr>
          <w:rFonts w:ascii="Calibri" w:eastAsia="Calibri" w:hAnsi="Calibri" w:cs="Calibri"/>
        </w:rPr>
        <w:t>funkčních požadavků technického zadání.</w:t>
      </w:r>
    </w:p>
    <w:p w:rsidR="00BF4419" w:rsidRDefault="00BF4419">
      <w:pPr>
        <w:spacing w:line="62" w:lineRule="exact"/>
        <w:rPr>
          <w:rFonts w:ascii="Symbol" w:eastAsia="Symbol" w:hAnsi="Symbol" w:cs="Symbol"/>
        </w:rPr>
      </w:pPr>
    </w:p>
    <w:p w:rsidR="00BF4419" w:rsidRDefault="0094076B">
      <w:pPr>
        <w:numPr>
          <w:ilvl w:val="0"/>
          <w:numId w:val="3"/>
        </w:numPr>
        <w:tabs>
          <w:tab w:val="left" w:pos="360"/>
        </w:tabs>
        <w:spacing w:line="213" w:lineRule="auto"/>
        <w:ind w:left="360" w:right="60" w:hanging="284"/>
        <w:rPr>
          <w:rFonts w:ascii="Symbol" w:eastAsia="Symbol" w:hAnsi="Symbol" w:cs="Symbol"/>
        </w:rPr>
      </w:pPr>
      <w:r>
        <w:rPr>
          <w:rFonts w:ascii="Calibri" w:eastAsia="Calibri" w:hAnsi="Calibri" w:cs="Calibri"/>
          <w:b/>
          <w:bCs/>
        </w:rPr>
        <w:t>Podrobný popis servisních a záručních podmínek</w:t>
      </w:r>
      <w:r>
        <w:rPr>
          <w:rFonts w:ascii="Calibri" w:eastAsia="Calibri" w:hAnsi="Calibri" w:cs="Calibri"/>
        </w:rPr>
        <w:t>, z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něhož bude jasně patrné splnění jednotlivých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položek servisních a záručních požadavků zadání.</w:t>
      </w:r>
    </w:p>
    <w:p w:rsidR="00BF4419" w:rsidRDefault="00BF4419">
      <w:pPr>
        <w:spacing w:line="60" w:lineRule="exact"/>
        <w:rPr>
          <w:rFonts w:ascii="Symbol" w:eastAsia="Symbol" w:hAnsi="Symbol" w:cs="Symbol"/>
        </w:rPr>
      </w:pPr>
    </w:p>
    <w:p w:rsidR="00BF4419" w:rsidRDefault="0094076B">
      <w:pPr>
        <w:numPr>
          <w:ilvl w:val="0"/>
          <w:numId w:val="3"/>
        </w:numPr>
        <w:tabs>
          <w:tab w:val="left" w:pos="360"/>
        </w:tabs>
        <w:spacing w:line="213" w:lineRule="auto"/>
        <w:ind w:left="360" w:right="80" w:hanging="284"/>
        <w:rPr>
          <w:rFonts w:ascii="Symbol" w:eastAsia="Symbol" w:hAnsi="Symbol" w:cs="Symbol"/>
        </w:rPr>
      </w:pPr>
      <w:r>
        <w:rPr>
          <w:rFonts w:ascii="Calibri" w:eastAsia="Calibri" w:hAnsi="Calibri" w:cs="Calibri"/>
          <w:b/>
          <w:bCs/>
        </w:rPr>
        <w:t xml:space="preserve">Podrobnou položkovou specifikaci </w:t>
      </w:r>
      <w:r>
        <w:rPr>
          <w:rFonts w:ascii="Calibri" w:eastAsia="Calibri" w:hAnsi="Calibri" w:cs="Calibri"/>
        </w:rPr>
        <w:t>nabízených zařízení (např. typů šasi,</w:t>
      </w:r>
      <w:r>
        <w:rPr>
          <w:rFonts w:ascii="Calibri" w:eastAsia="Calibri" w:hAnsi="Calibri" w:cs="Calibri"/>
        </w:rPr>
        <w:t xml:space="preserve"> jednotlivých modulů,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</w:rPr>
        <w:t>operačního software, napájecích zdrojů apod.).</w:t>
      </w: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87" w:lineRule="exact"/>
        <w:rPr>
          <w:sz w:val="20"/>
          <w:szCs w:val="20"/>
        </w:rPr>
      </w:pPr>
    </w:p>
    <w:p w:rsidR="00BF4419" w:rsidRDefault="0094076B">
      <w:pPr>
        <w:ind w:left="8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8"/>
          <w:szCs w:val="28"/>
        </w:rPr>
        <w:t>Popis současného stavu</w:t>
      </w:r>
    </w:p>
    <w:p w:rsidR="00BF4419" w:rsidRDefault="00BF4419">
      <w:pPr>
        <w:spacing w:line="92" w:lineRule="exact"/>
        <w:rPr>
          <w:sz w:val="20"/>
          <w:szCs w:val="20"/>
        </w:rPr>
      </w:pPr>
    </w:p>
    <w:p w:rsidR="00BF4419" w:rsidRDefault="0094076B">
      <w:pPr>
        <w:spacing w:line="235" w:lineRule="auto"/>
        <w:ind w:left="80" w:right="6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ZČU v současné době používá jako VPN koncentrátor dvojici zařízení Cisco ASA 5520 v režimu active/standby. Aktivní VPN koncentrátor je připojen do dvojice zaříze</w:t>
      </w:r>
      <w:r>
        <w:rPr>
          <w:rFonts w:ascii="Calibri" w:eastAsia="Calibri" w:hAnsi="Calibri" w:cs="Calibri"/>
        </w:rPr>
        <w:t>ní Cisco Catalyst 6500E využívající technologii VSS (Virtual Switching System), záložní koncentrátor je připojen do dvojice zařízení Cisco Catalyst 4500X využívající také technologii VSS. Použitým typem optického rozhraní je v obou případech SFP+. Jako kli</w:t>
      </w:r>
      <w:r>
        <w:rPr>
          <w:rFonts w:ascii="Calibri" w:eastAsia="Calibri" w:hAnsi="Calibri" w:cs="Calibri"/>
        </w:rPr>
        <w:t>entský VPN software je použit Cisco AnyConnect Secure Mobility Client. Pro autentizaci uživatelů je použit Kerberos anebo klientský certifikát vydaný certifikační autoritou ZČU a TERENA, vydaný buď ve formě souboru, nebo USB tokenu. Pro autorizaci uživatel</w:t>
      </w:r>
      <w:r>
        <w:rPr>
          <w:rFonts w:ascii="Calibri" w:eastAsia="Calibri" w:hAnsi="Calibri" w:cs="Calibri"/>
        </w:rPr>
        <w:t>ů je použita dvojice RADIUS serverů, která slouží pro přidělování pevné IP adresy, masky sítě a přístupových práv formou access-listu vybraným uživatelům.</w:t>
      </w:r>
    </w:p>
    <w:p w:rsidR="00BF4419" w:rsidRDefault="00BF4419">
      <w:pPr>
        <w:spacing w:line="53" w:lineRule="exact"/>
        <w:rPr>
          <w:sz w:val="20"/>
          <w:szCs w:val="20"/>
        </w:rPr>
      </w:pPr>
    </w:p>
    <w:p w:rsidR="00BF4419" w:rsidRDefault="0094076B">
      <w:pPr>
        <w:spacing w:line="217" w:lineRule="auto"/>
        <w:ind w:left="80" w:right="80"/>
        <w:jc w:val="both"/>
        <w:rPr>
          <w:sz w:val="20"/>
          <w:szCs w:val="20"/>
        </w:rPr>
      </w:pPr>
      <w:r>
        <w:rPr>
          <w:rFonts w:ascii="Calibri" w:eastAsia="Calibri" w:hAnsi="Calibri" w:cs="Calibri"/>
        </w:rPr>
        <w:t>Pro sledování provozu na úrovni L3/L4 datových toků se využívá technologie NetFlow v9. NetFlow infor</w:t>
      </w:r>
      <w:r>
        <w:rPr>
          <w:rFonts w:ascii="Calibri" w:eastAsia="Calibri" w:hAnsi="Calibri" w:cs="Calibri"/>
        </w:rPr>
        <w:t>mace exportované ze směrovačů, linuxových firewallů (kolejní extranet) a specializované</w:t>
      </w:r>
    </w:p>
    <w:p w:rsidR="00BF4419" w:rsidRDefault="00BF4419">
      <w:pPr>
        <w:sectPr w:rsidR="00BF4419">
          <w:pgSz w:w="11900" w:h="16838"/>
          <w:pgMar w:top="1395" w:right="1346" w:bottom="1440" w:left="1340" w:header="0" w:footer="0" w:gutter="0"/>
          <w:cols w:space="708" w:equalWidth="0">
            <w:col w:w="9220"/>
          </w:cols>
        </w:sectPr>
      </w:pPr>
    </w:p>
    <w:p w:rsidR="00BF4419" w:rsidRDefault="0094076B">
      <w:pPr>
        <w:spacing w:line="202" w:lineRule="auto"/>
        <w:ind w:left="4"/>
        <w:jc w:val="both"/>
        <w:rPr>
          <w:sz w:val="20"/>
          <w:szCs w:val="20"/>
        </w:rPr>
      </w:pPr>
      <w:bookmarkStart w:id="4" w:name="page4"/>
      <w:bookmarkEnd w:id="4"/>
      <w:r>
        <w:rPr>
          <w:rFonts w:ascii="Calibri" w:eastAsia="Calibri" w:hAnsi="Calibri" w:cs="Calibri"/>
        </w:rPr>
        <w:lastRenderedPageBreak/>
        <w:t>FlowMon</w:t>
      </w:r>
      <w:r>
        <w:rPr>
          <w:rFonts w:ascii="Calibri" w:eastAsia="Calibri" w:hAnsi="Calibri" w:cs="Calibri"/>
          <w:sz w:val="27"/>
          <w:szCs w:val="27"/>
          <w:vertAlign w:val="superscript"/>
        </w:rPr>
        <w:t>1</w:t>
      </w:r>
      <w:r>
        <w:rPr>
          <w:rFonts w:ascii="Calibri" w:eastAsia="Calibri" w:hAnsi="Calibri" w:cs="Calibri"/>
        </w:rPr>
        <w:t xml:space="preserve"> sondy (kolejní intranet) se zpracovávají jednak nevzorkované pomocí produkčního IPv4 software Caligare Flow Inspector/CFI</w:t>
      </w:r>
      <w:r>
        <w:rPr>
          <w:rFonts w:ascii="Calibri" w:eastAsia="Calibri" w:hAnsi="Calibri" w:cs="Calibri"/>
          <w:sz w:val="27"/>
          <w:szCs w:val="27"/>
          <w:vertAlign w:val="superscript"/>
        </w:rPr>
        <w:t>2</w:t>
      </w:r>
      <w:r>
        <w:rPr>
          <w:rFonts w:ascii="Calibri" w:eastAsia="Calibri" w:hAnsi="Calibri" w:cs="Calibri"/>
        </w:rPr>
        <w:t xml:space="preserve"> a jednak vzorkované 1:10 pomocí testovacího IPv4/IPv6 software FTAS</w:t>
      </w:r>
      <w:r>
        <w:rPr>
          <w:rFonts w:ascii="Calibri" w:eastAsia="Calibri" w:hAnsi="Calibri" w:cs="Calibri"/>
          <w:sz w:val="27"/>
          <w:szCs w:val="27"/>
          <w:vertAlign w:val="superscript"/>
        </w:rPr>
        <w:t>3</w:t>
      </w:r>
      <w:r>
        <w:rPr>
          <w:rFonts w:ascii="Calibri" w:eastAsia="Calibri" w:hAnsi="Calibri" w:cs="Calibri"/>
        </w:rPr>
        <w:t>.</w:t>
      </w:r>
    </w:p>
    <w:p w:rsidR="00BF4419" w:rsidRDefault="00BF4419">
      <w:pPr>
        <w:spacing w:line="14" w:lineRule="exact"/>
        <w:rPr>
          <w:sz w:val="20"/>
          <w:szCs w:val="20"/>
        </w:rPr>
      </w:pPr>
    </w:p>
    <w:p w:rsidR="00BF4419" w:rsidRDefault="0094076B">
      <w:pPr>
        <w:numPr>
          <w:ilvl w:val="0"/>
          <w:numId w:val="4"/>
        </w:numPr>
        <w:tabs>
          <w:tab w:val="left" w:pos="436"/>
        </w:tabs>
        <w:spacing w:line="218" w:lineRule="auto"/>
        <w:ind w:left="4" w:hanging="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auditní informace o administrátorských přístupech ke konfigurovaným zařízením je k dispozici na TACACS+ serverech CIV ZČU.</w:t>
      </w:r>
    </w:p>
    <w:p w:rsidR="00BF4419" w:rsidRDefault="0094076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7200900</wp:posOffset>
                </wp:positionV>
                <wp:extent cx="182880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28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pt,567pt" to="144pt,567pt" o:allowincell="f" strokecolor="#000000" strokeweight="0.72pt"/>
            </w:pict>
          </mc:Fallback>
        </mc:AlternateContent>
      </w: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200" w:lineRule="exact"/>
        <w:rPr>
          <w:sz w:val="20"/>
          <w:szCs w:val="20"/>
        </w:rPr>
      </w:pPr>
    </w:p>
    <w:p w:rsidR="00BF4419" w:rsidRDefault="00BF4419">
      <w:pPr>
        <w:spacing w:line="363" w:lineRule="exact"/>
        <w:rPr>
          <w:sz w:val="20"/>
          <w:szCs w:val="20"/>
        </w:rPr>
      </w:pPr>
    </w:p>
    <w:p w:rsidR="00BF4419" w:rsidRDefault="0094076B">
      <w:pPr>
        <w:ind w:left="4"/>
        <w:rPr>
          <w:sz w:val="20"/>
          <w:szCs w:val="20"/>
        </w:rPr>
      </w:pPr>
      <w:r>
        <w:rPr>
          <w:rFonts w:ascii="Calibri" w:eastAsia="Calibri" w:hAnsi="Calibri" w:cs="Calibri"/>
          <w:sz w:val="25"/>
          <w:szCs w:val="25"/>
          <w:vertAlign w:val="superscript"/>
        </w:rPr>
        <w:t>1</w:t>
      </w:r>
      <w:r>
        <w:rPr>
          <w:rFonts w:ascii="Calibri" w:eastAsia="Calibri" w:hAnsi="Calibri" w:cs="Calibri"/>
          <w:sz w:val="20"/>
          <w:szCs w:val="20"/>
        </w:rPr>
        <w:t>http://www.invea.cz/produkty-sluzby/flowmon/flowmon-sondy</w:t>
      </w:r>
    </w:p>
    <w:p w:rsidR="00BF4419" w:rsidRDefault="0094076B">
      <w:pPr>
        <w:spacing w:line="191" w:lineRule="auto"/>
        <w:ind w:left="4"/>
        <w:rPr>
          <w:sz w:val="20"/>
          <w:szCs w:val="20"/>
        </w:rPr>
      </w:pPr>
      <w:r>
        <w:rPr>
          <w:rFonts w:ascii="Calibri" w:eastAsia="Calibri" w:hAnsi="Calibri" w:cs="Calibri"/>
          <w:sz w:val="5"/>
          <w:szCs w:val="5"/>
          <w:vertAlign w:val="superscript"/>
        </w:rPr>
        <w:t>2</w:t>
      </w:r>
    </w:p>
    <w:p w:rsidR="00BF4419" w:rsidRDefault="0094076B">
      <w:pPr>
        <w:spacing w:line="190" w:lineRule="auto"/>
        <w:ind w:left="64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http://www.caligare.com/</w:t>
      </w:r>
    </w:p>
    <w:p w:rsidR="00BF4419" w:rsidRDefault="00BF4419">
      <w:pPr>
        <w:spacing w:line="1" w:lineRule="exact"/>
        <w:rPr>
          <w:sz w:val="20"/>
          <w:szCs w:val="20"/>
        </w:rPr>
      </w:pPr>
    </w:p>
    <w:p w:rsidR="00BF4419" w:rsidRDefault="0094076B">
      <w:pPr>
        <w:spacing w:line="233" w:lineRule="auto"/>
        <w:ind w:left="4" w:right="254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  <w:vertAlign w:val="superscript"/>
        </w:rPr>
        <w:t>3</w:t>
      </w:r>
      <w:r>
        <w:rPr>
          <w:rFonts w:ascii="Calibri" w:eastAsia="Calibri" w:hAnsi="Calibri" w:cs="Calibri"/>
          <w:sz w:val="19"/>
          <w:szCs w:val="19"/>
        </w:rPr>
        <w:t>http://www.cesnet.cz/doc/techzpravy/2004/ftas-arch/, http://www.cesnet.cz/doc/techzpravy/2006/ftas-interface/, http://www.cesnet.cz/akce/2009/zazemi-pro-cert-csirt/p/sle</w:t>
      </w:r>
      <w:r>
        <w:rPr>
          <w:rFonts w:ascii="Calibri" w:eastAsia="Calibri" w:hAnsi="Calibri" w:cs="Calibri"/>
          <w:sz w:val="19"/>
          <w:szCs w:val="19"/>
        </w:rPr>
        <w:t>dovani-provozu.pdf</w:t>
      </w:r>
    </w:p>
    <w:sectPr w:rsidR="00BF4419">
      <w:pgSz w:w="11900" w:h="16838"/>
      <w:pgMar w:top="1417" w:right="1406" w:bottom="858" w:left="1416" w:header="0" w:footer="0" w:gutter="0"/>
      <w:cols w:space="708" w:equalWidth="0">
        <w:col w:w="908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5CFF"/>
    <w:multiLevelType w:val="hybridMultilevel"/>
    <w:tmpl w:val="D54C5966"/>
    <w:lvl w:ilvl="0" w:tplc="06A0746A">
      <w:start w:val="1"/>
      <w:numFmt w:val="bullet"/>
      <w:lvlText w:val=""/>
      <w:lvlJc w:val="left"/>
    </w:lvl>
    <w:lvl w:ilvl="1" w:tplc="976EF602">
      <w:numFmt w:val="decimal"/>
      <w:lvlText w:val=""/>
      <w:lvlJc w:val="left"/>
    </w:lvl>
    <w:lvl w:ilvl="2" w:tplc="4BF2FEAC">
      <w:numFmt w:val="decimal"/>
      <w:lvlText w:val=""/>
      <w:lvlJc w:val="left"/>
    </w:lvl>
    <w:lvl w:ilvl="3" w:tplc="B9768A4E">
      <w:numFmt w:val="decimal"/>
      <w:lvlText w:val=""/>
      <w:lvlJc w:val="left"/>
    </w:lvl>
    <w:lvl w:ilvl="4" w:tplc="78F25E5E">
      <w:numFmt w:val="decimal"/>
      <w:lvlText w:val=""/>
      <w:lvlJc w:val="left"/>
    </w:lvl>
    <w:lvl w:ilvl="5" w:tplc="95AA3D54">
      <w:numFmt w:val="decimal"/>
      <w:lvlText w:val=""/>
      <w:lvlJc w:val="left"/>
    </w:lvl>
    <w:lvl w:ilvl="6" w:tplc="247E45E8">
      <w:numFmt w:val="decimal"/>
      <w:lvlText w:val=""/>
      <w:lvlJc w:val="left"/>
    </w:lvl>
    <w:lvl w:ilvl="7" w:tplc="65EECFA8">
      <w:numFmt w:val="decimal"/>
      <w:lvlText w:val=""/>
      <w:lvlJc w:val="left"/>
    </w:lvl>
    <w:lvl w:ilvl="8" w:tplc="20A0E636">
      <w:numFmt w:val="decimal"/>
      <w:lvlText w:val=""/>
      <w:lvlJc w:val="left"/>
    </w:lvl>
  </w:abstractNum>
  <w:abstractNum w:abstractNumId="1">
    <w:nsid w:val="2AE8944A"/>
    <w:multiLevelType w:val="hybridMultilevel"/>
    <w:tmpl w:val="2A4C0D24"/>
    <w:lvl w:ilvl="0" w:tplc="92B2531C">
      <w:start w:val="1"/>
      <w:numFmt w:val="bullet"/>
      <w:lvlText w:val=""/>
      <w:lvlJc w:val="left"/>
    </w:lvl>
    <w:lvl w:ilvl="1" w:tplc="DD98BE2A">
      <w:numFmt w:val="decimal"/>
      <w:lvlText w:val=""/>
      <w:lvlJc w:val="left"/>
    </w:lvl>
    <w:lvl w:ilvl="2" w:tplc="08EA767E">
      <w:numFmt w:val="decimal"/>
      <w:lvlText w:val=""/>
      <w:lvlJc w:val="left"/>
    </w:lvl>
    <w:lvl w:ilvl="3" w:tplc="5BA6745C">
      <w:numFmt w:val="decimal"/>
      <w:lvlText w:val=""/>
      <w:lvlJc w:val="left"/>
    </w:lvl>
    <w:lvl w:ilvl="4" w:tplc="4D645C52">
      <w:numFmt w:val="decimal"/>
      <w:lvlText w:val=""/>
      <w:lvlJc w:val="left"/>
    </w:lvl>
    <w:lvl w:ilvl="5" w:tplc="3140B8F2">
      <w:numFmt w:val="decimal"/>
      <w:lvlText w:val=""/>
      <w:lvlJc w:val="left"/>
    </w:lvl>
    <w:lvl w:ilvl="6" w:tplc="B4D6E6B0">
      <w:numFmt w:val="decimal"/>
      <w:lvlText w:val=""/>
      <w:lvlJc w:val="left"/>
    </w:lvl>
    <w:lvl w:ilvl="7" w:tplc="A47C9124">
      <w:numFmt w:val="decimal"/>
      <w:lvlText w:val=""/>
      <w:lvlJc w:val="left"/>
    </w:lvl>
    <w:lvl w:ilvl="8" w:tplc="7A0202B2">
      <w:numFmt w:val="decimal"/>
      <w:lvlText w:val=""/>
      <w:lvlJc w:val="left"/>
    </w:lvl>
  </w:abstractNum>
  <w:abstractNum w:abstractNumId="2">
    <w:nsid w:val="625558EC"/>
    <w:multiLevelType w:val="hybridMultilevel"/>
    <w:tmpl w:val="C7905534"/>
    <w:lvl w:ilvl="0" w:tplc="45C29F82">
      <w:start w:val="53"/>
      <w:numFmt w:val="upperLetter"/>
      <w:lvlText w:val="%1"/>
      <w:lvlJc w:val="left"/>
    </w:lvl>
    <w:lvl w:ilvl="1" w:tplc="B3F67466">
      <w:numFmt w:val="decimal"/>
      <w:lvlText w:val=""/>
      <w:lvlJc w:val="left"/>
    </w:lvl>
    <w:lvl w:ilvl="2" w:tplc="E4F899DC">
      <w:numFmt w:val="decimal"/>
      <w:lvlText w:val=""/>
      <w:lvlJc w:val="left"/>
    </w:lvl>
    <w:lvl w:ilvl="3" w:tplc="FFB8F1D6">
      <w:numFmt w:val="decimal"/>
      <w:lvlText w:val=""/>
      <w:lvlJc w:val="left"/>
    </w:lvl>
    <w:lvl w:ilvl="4" w:tplc="3BE40E44">
      <w:numFmt w:val="decimal"/>
      <w:lvlText w:val=""/>
      <w:lvlJc w:val="left"/>
    </w:lvl>
    <w:lvl w:ilvl="5" w:tplc="BCACB88A">
      <w:numFmt w:val="decimal"/>
      <w:lvlText w:val=""/>
      <w:lvlJc w:val="left"/>
    </w:lvl>
    <w:lvl w:ilvl="6" w:tplc="3F3C5C2C">
      <w:numFmt w:val="decimal"/>
      <w:lvlText w:val=""/>
      <w:lvlJc w:val="left"/>
    </w:lvl>
    <w:lvl w:ilvl="7" w:tplc="823241E6">
      <w:numFmt w:val="decimal"/>
      <w:lvlText w:val=""/>
      <w:lvlJc w:val="left"/>
    </w:lvl>
    <w:lvl w:ilvl="8" w:tplc="913420C2">
      <w:numFmt w:val="decimal"/>
      <w:lvlText w:val=""/>
      <w:lvlJc w:val="left"/>
    </w:lvl>
  </w:abstractNum>
  <w:abstractNum w:abstractNumId="3">
    <w:nsid w:val="74B0DC51"/>
    <w:multiLevelType w:val="hybridMultilevel"/>
    <w:tmpl w:val="F154E16E"/>
    <w:lvl w:ilvl="0" w:tplc="CE46FE08">
      <w:start w:val="1"/>
      <w:numFmt w:val="bullet"/>
      <w:lvlText w:val=""/>
      <w:lvlJc w:val="left"/>
    </w:lvl>
    <w:lvl w:ilvl="1" w:tplc="24F40DF2">
      <w:numFmt w:val="decimal"/>
      <w:lvlText w:val=""/>
      <w:lvlJc w:val="left"/>
    </w:lvl>
    <w:lvl w:ilvl="2" w:tplc="583200E4">
      <w:numFmt w:val="decimal"/>
      <w:lvlText w:val=""/>
      <w:lvlJc w:val="left"/>
    </w:lvl>
    <w:lvl w:ilvl="3" w:tplc="A0045FBE">
      <w:numFmt w:val="decimal"/>
      <w:lvlText w:val=""/>
      <w:lvlJc w:val="left"/>
    </w:lvl>
    <w:lvl w:ilvl="4" w:tplc="5C78BD52">
      <w:numFmt w:val="decimal"/>
      <w:lvlText w:val=""/>
      <w:lvlJc w:val="left"/>
    </w:lvl>
    <w:lvl w:ilvl="5" w:tplc="9C7A8ECE">
      <w:numFmt w:val="decimal"/>
      <w:lvlText w:val=""/>
      <w:lvlJc w:val="left"/>
    </w:lvl>
    <w:lvl w:ilvl="6" w:tplc="1E50458C">
      <w:numFmt w:val="decimal"/>
      <w:lvlText w:val=""/>
      <w:lvlJc w:val="left"/>
    </w:lvl>
    <w:lvl w:ilvl="7" w:tplc="978A06D6">
      <w:numFmt w:val="decimal"/>
      <w:lvlText w:val=""/>
      <w:lvlJc w:val="left"/>
    </w:lvl>
    <w:lvl w:ilvl="8" w:tplc="852430F6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419"/>
    <w:rsid w:val="0094076B"/>
    <w:rsid w:val="00B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1241</Words>
  <Characters>7324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Západočeská Univerzita</Company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Blanka GREBEŇOVÁ</cp:lastModifiedBy>
  <cp:revision>2</cp:revision>
  <dcterms:created xsi:type="dcterms:W3CDTF">2018-05-18T06:09:00Z</dcterms:created>
  <dcterms:modified xsi:type="dcterms:W3CDTF">2018-05-18T06:09:00Z</dcterms:modified>
</cp:coreProperties>
</file>