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7A" w:rsidRPr="003D176C" w:rsidRDefault="0009147A" w:rsidP="0009147A">
      <w:pPr>
        <w:spacing w:after="0" w:line="240" w:lineRule="auto"/>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 xml:space="preserve">SMLOUVA O NÁJMU č. </w:t>
      </w:r>
    </w:p>
    <w:p w:rsidR="0009147A" w:rsidRPr="003D176C" w:rsidRDefault="0009147A" w:rsidP="0009147A">
      <w:pPr>
        <w:spacing w:after="0" w:line="240" w:lineRule="auto"/>
        <w:jc w:val="center"/>
        <w:rPr>
          <w:rFonts w:ascii="Times New Roman" w:eastAsia="Calibri" w:hAnsi="Times New Roman" w:cs="Times New Roman"/>
          <w:sz w:val="24"/>
          <w:szCs w:val="24"/>
        </w:rPr>
      </w:pPr>
      <w:r w:rsidRPr="003D176C">
        <w:rPr>
          <w:rFonts w:ascii="Times New Roman" w:eastAsia="Calibri" w:hAnsi="Times New Roman" w:cs="Times New Roman"/>
          <w:sz w:val="24"/>
          <w:szCs w:val="24"/>
        </w:rPr>
        <w:t>uzavřená ve smyslu § 2201 zák. č. 89/2012 Sb., občanského zákoníku,</w:t>
      </w:r>
    </w:p>
    <w:p w:rsidR="0009147A" w:rsidRPr="003D176C" w:rsidRDefault="0009147A" w:rsidP="0009147A">
      <w:pPr>
        <w:spacing w:after="0" w:line="240" w:lineRule="auto"/>
        <w:jc w:val="center"/>
        <w:rPr>
          <w:rFonts w:ascii="Times New Roman" w:eastAsia="Calibri" w:hAnsi="Times New Roman" w:cs="Times New Roman"/>
          <w:sz w:val="24"/>
          <w:szCs w:val="24"/>
        </w:rPr>
      </w:pPr>
      <w:r w:rsidRPr="003D176C">
        <w:rPr>
          <w:rFonts w:ascii="Times New Roman" w:eastAsia="Calibri" w:hAnsi="Times New Roman" w:cs="Times New Roman"/>
          <w:sz w:val="24"/>
          <w:szCs w:val="24"/>
        </w:rPr>
        <w:t>níže uvedeného dne, měsíce a roku mezi těmito smluvními stranami</w:t>
      </w:r>
    </w:p>
    <w:p w:rsidR="0009147A" w:rsidRPr="003D176C" w:rsidRDefault="0009147A" w:rsidP="0009147A">
      <w:pPr>
        <w:spacing w:after="0" w:line="240" w:lineRule="auto"/>
        <w:jc w:val="center"/>
        <w:rPr>
          <w:rFonts w:ascii="Times New Roman" w:eastAsia="Calibri" w:hAnsi="Times New Roman" w:cs="Times New Roman"/>
          <w:sz w:val="24"/>
          <w:szCs w:val="24"/>
        </w:rPr>
      </w:pPr>
    </w:p>
    <w:p w:rsidR="0009147A" w:rsidRPr="003D176C" w:rsidRDefault="0009147A" w:rsidP="0009147A">
      <w:pPr>
        <w:spacing w:after="0" w:line="240" w:lineRule="auto"/>
        <w:jc w:val="center"/>
        <w:rPr>
          <w:rFonts w:ascii="Times New Roman" w:eastAsia="Calibri" w:hAnsi="Times New Roman" w:cs="Times New Roman"/>
          <w:sz w:val="24"/>
          <w:szCs w:val="24"/>
        </w:rPr>
      </w:pPr>
    </w:p>
    <w:tbl>
      <w:tblPr>
        <w:tblW w:w="0" w:type="auto"/>
        <w:jc w:val="center"/>
        <w:tblLook w:val="01E0" w:firstRow="1" w:lastRow="1" w:firstColumn="1" w:lastColumn="1" w:noHBand="0" w:noVBand="0"/>
      </w:tblPr>
      <w:tblGrid>
        <w:gridCol w:w="2088"/>
        <w:gridCol w:w="2700"/>
        <w:gridCol w:w="900"/>
        <w:gridCol w:w="3524"/>
      </w:tblGrid>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Společnost:</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AGROTECHNIC MORAVIA a.s.</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Sídlo:</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Olomouc - Hodolany, Lipenská 1120/47, PSČ 772 11</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Zastoupená:</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Ing. Romanem Lžičařem, předsedou představenstva</w:t>
            </w:r>
          </w:p>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Ing. Petrem Foukalem, místopředsedou představenstva</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IČO:</w:t>
            </w:r>
          </w:p>
        </w:tc>
        <w:tc>
          <w:tcPr>
            <w:tcW w:w="2700" w:type="dxa"/>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27839834</w:t>
            </w:r>
          </w:p>
        </w:tc>
        <w:tc>
          <w:tcPr>
            <w:tcW w:w="900"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DIČ:</w:t>
            </w:r>
          </w:p>
        </w:tc>
        <w:tc>
          <w:tcPr>
            <w:tcW w:w="3524" w:type="dxa"/>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CZ27839834</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Bankovní spojení:</w:t>
            </w:r>
          </w:p>
        </w:tc>
        <w:tc>
          <w:tcPr>
            <w:tcW w:w="2700" w:type="dxa"/>
          </w:tcPr>
          <w:p w:rsidR="0009147A" w:rsidRPr="003D176C" w:rsidRDefault="0009147A" w:rsidP="0009147A">
            <w:pPr>
              <w:spacing w:after="0" w:line="240" w:lineRule="auto"/>
              <w:jc w:val="both"/>
              <w:rPr>
                <w:rFonts w:ascii="Times New Roman" w:eastAsia="Calibri" w:hAnsi="Times New Roman" w:cs="Times New Roman"/>
                <w:sz w:val="24"/>
                <w:szCs w:val="24"/>
              </w:rPr>
            </w:pPr>
          </w:p>
        </w:tc>
        <w:tc>
          <w:tcPr>
            <w:tcW w:w="900" w:type="dxa"/>
          </w:tcPr>
          <w:p w:rsidR="0009147A" w:rsidRPr="003D176C" w:rsidRDefault="0009147A" w:rsidP="0009147A">
            <w:pPr>
              <w:spacing w:after="0" w:line="240" w:lineRule="auto"/>
              <w:jc w:val="both"/>
              <w:rPr>
                <w:rFonts w:ascii="Times New Roman" w:eastAsia="Calibri" w:hAnsi="Times New Roman" w:cs="Times New Roman"/>
                <w:b/>
                <w:sz w:val="24"/>
                <w:szCs w:val="24"/>
              </w:rPr>
            </w:pPr>
          </w:p>
        </w:tc>
        <w:tc>
          <w:tcPr>
            <w:tcW w:w="3524" w:type="dxa"/>
          </w:tcPr>
          <w:p w:rsidR="0009147A" w:rsidRPr="003D176C" w:rsidRDefault="0009147A" w:rsidP="0009147A">
            <w:pPr>
              <w:spacing w:after="0" w:line="240" w:lineRule="auto"/>
              <w:jc w:val="both"/>
              <w:rPr>
                <w:rFonts w:ascii="Times New Roman" w:eastAsia="Calibri" w:hAnsi="Times New Roman" w:cs="Times New Roman"/>
                <w:sz w:val="24"/>
                <w:szCs w:val="24"/>
              </w:rPr>
            </w:pP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Zápis v rejstříku:</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Krajský soud v Ostravě, oddíl B, vložka 10060</w:t>
            </w:r>
          </w:p>
        </w:tc>
      </w:tr>
    </w:tbl>
    <w:p w:rsidR="0009147A" w:rsidRPr="003D176C" w:rsidRDefault="0009147A" w:rsidP="0009147A">
      <w:pPr>
        <w:numPr>
          <w:ilvl w:val="0"/>
          <w:numId w:val="1"/>
        </w:num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dále jen </w:t>
      </w:r>
      <w:r w:rsidRPr="003D176C">
        <w:rPr>
          <w:rFonts w:ascii="Times New Roman" w:eastAsia="Calibri" w:hAnsi="Times New Roman" w:cs="Times New Roman"/>
          <w:i/>
          <w:sz w:val="24"/>
          <w:szCs w:val="24"/>
        </w:rPr>
        <w:t>„pronajímatel“</w:t>
      </w:r>
      <w:r w:rsidRPr="003D176C">
        <w:rPr>
          <w:rFonts w:ascii="Times New Roman" w:eastAsia="Calibri" w:hAnsi="Times New Roman" w:cs="Times New Roman"/>
          <w:sz w:val="24"/>
          <w:szCs w:val="24"/>
        </w:rPr>
        <w:t xml:space="preserve"> na straně jedné </w:t>
      </w:r>
    </w:p>
    <w:p w:rsidR="0009147A" w:rsidRPr="003D176C" w:rsidRDefault="0009147A" w:rsidP="0009147A">
      <w:pPr>
        <w:numPr>
          <w:ilvl w:val="0"/>
          <w:numId w:val="1"/>
        </w:numPr>
        <w:spacing w:after="0" w:line="240" w:lineRule="auto"/>
        <w:jc w:val="both"/>
        <w:rPr>
          <w:rFonts w:ascii="Times New Roman" w:eastAsia="Calibri" w:hAnsi="Times New Roman" w:cs="Times New Roman"/>
          <w:sz w:val="24"/>
          <w:szCs w:val="24"/>
        </w:rPr>
      </w:pPr>
    </w:p>
    <w:p w:rsidR="0009147A" w:rsidRPr="003D176C" w:rsidRDefault="0009147A" w:rsidP="0009147A">
      <w:pPr>
        <w:numPr>
          <w:ilvl w:val="0"/>
          <w:numId w:val="1"/>
        </w:num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a</w:t>
      </w:r>
    </w:p>
    <w:p w:rsidR="0009147A" w:rsidRPr="003D176C" w:rsidRDefault="0009147A" w:rsidP="0009147A">
      <w:pPr>
        <w:numPr>
          <w:ilvl w:val="0"/>
          <w:numId w:val="1"/>
        </w:numPr>
        <w:spacing w:after="0" w:line="240" w:lineRule="auto"/>
        <w:jc w:val="both"/>
        <w:rPr>
          <w:rFonts w:ascii="Times New Roman" w:eastAsia="Calibri" w:hAnsi="Times New Roman" w:cs="Times New Roman"/>
          <w:sz w:val="24"/>
          <w:szCs w:val="24"/>
        </w:rPr>
      </w:pPr>
    </w:p>
    <w:tbl>
      <w:tblPr>
        <w:tblW w:w="0" w:type="auto"/>
        <w:jc w:val="center"/>
        <w:tblLook w:val="01E0" w:firstRow="1" w:lastRow="1" w:firstColumn="1" w:lastColumn="1" w:noHBand="0" w:noVBand="0"/>
      </w:tblPr>
      <w:tblGrid>
        <w:gridCol w:w="2088"/>
        <w:gridCol w:w="2700"/>
        <w:gridCol w:w="900"/>
        <w:gridCol w:w="3524"/>
      </w:tblGrid>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Společnost:</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Times New Roman" w:hAnsi="Times New Roman" w:cs="Times New Roman"/>
                <w:b/>
                <w:sz w:val="24"/>
                <w:szCs w:val="24"/>
              </w:rPr>
              <w:t>VFU Brno ŠZP Nový Jičín</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Sídlo:</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sz w:val="24"/>
                <w:szCs w:val="24"/>
              </w:rPr>
            </w:pPr>
            <w:proofErr w:type="spellStart"/>
            <w:r w:rsidRPr="003D176C">
              <w:rPr>
                <w:rFonts w:ascii="Times New Roman" w:eastAsia="Times New Roman" w:hAnsi="Times New Roman" w:cs="Times New Roman"/>
                <w:sz w:val="24"/>
                <w:szCs w:val="24"/>
              </w:rPr>
              <w:t>E.Krásnohorské</w:t>
            </w:r>
            <w:proofErr w:type="spellEnd"/>
            <w:r w:rsidRPr="003D176C">
              <w:rPr>
                <w:rFonts w:ascii="Times New Roman" w:eastAsia="Times New Roman" w:hAnsi="Times New Roman" w:cs="Times New Roman"/>
                <w:sz w:val="24"/>
                <w:szCs w:val="24"/>
              </w:rPr>
              <w:t xml:space="preserve"> 178, 742 42 Šenov u Nového Jičína</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Zastoupená:</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Ing. Radek Haas, ředitel podniku</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IČO</w:t>
            </w:r>
          </w:p>
        </w:tc>
        <w:tc>
          <w:tcPr>
            <w:tcW w:w="2700" w:type="dxa"/>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Times New Roman" w:hAnsi="Times New Roman" w:cs="Times New Roman"/>
                <w:sz w:val="24"/>
                <w:szCs w:val="24"/>
              </w:rPr>
              <w:t>62157124</w:t>
            </w:r>
          </w:p>
        </w:tc>
        <w:tc>
          <w:tcPr>
            <w:tcW w:w="900"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DIČ</w:t>
            </w:r>
          </w:p>
        </w:tc>
        <w:tc>
          <w:tcPr>
            <w:tcW w:w="3524" w:type="dxa"/>
          </w:tcPr>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Times New Roman" w:hAnsi="Times New Roman" w:cs="Times New Roman"/>
                <w:sz w:val="24"/>
                <w:szCs w:val="24"/>
              </w:rPr>
              <w:t>CZ62157124</w:t>
            </w:r>
          </w:p>
        </w:tc>
      </w:tr>
      <w:tr w:rsidR="003D176C" w:rsidRPr="003D176C" w:rsidTr="00457432">
        <w:trPr>
          <w:jc w:val="center"/>
        </w:trPr>
        <w:tc>
          <w:tcPr>
            <w:tcW w:w="2088" w:type="dxa"/>
          </w:tcPr>
          <w:p w:rsidR="0009147A" w:rsidRPr="003D176C" w:rsidRDefault="0009147A" w:rsidP="0009147A">
            <w:pPr>
              <w:spacing w:after="0" w:line="240" w:lineRule="auto"/>
              <w:jc w:val="both"/>
              <w:rPr>
                <w:rFonts w:ascii="Times New Roman" w:eastAsia="Calibri" w:hAnsi="Times New Roman" w:cs="Times New Roman"/>
                <w:b/>
                <w:sz w:val="24"/>
                <w:szCs w:val="24"/>
              </w:rPr>
            </w:pPr>
            <w:r w:rsidRPr="003D176C">
              <w:rPr>
                <w:rFonts w:ascii="Times New Roman" w:eastAsia="Calibri" w:hAnsi="Times New Roman" w:cs="Times New Roman"/>
                <w:b/>
                <w:sz w:val="24"/>
                <w:szCs w:val="24"/>
              </w:rPr>
              <w:t>Zápis v rejstříku:</w:t>
            </w:r>
          </w:p>
        </w:tc>
        <w:tc>
          <w:tcPr>
            <w:tcW w:w="7124" w:type="dxa"/>
            <w:gridSpan w:val="3"/>
          </w:tcPr>
          <w:p w:rsidR="0009147A" w:rsidRPr="003D176C" w:rsidRDefault="0009147A" w:rsidP="0009147A">
            <w:pPr>
              <w:spacing w:after="0" w:line="240" w:lineRule="auto"/>
              <w:jc w:val="both"/>
              <w:rPr>
                <w:rFonts w:ascii="Times New Roman" w:eastAsia="Calibri" w:hAnsi="Times New Roman" w:cs="Times New Roman"/>
                <w:sz w:val="24"/>
                <w:szCs w:val="24"/>
              </w:rPr>
            </w:pPr>
          </w:p>
        </w:tc>
      </w:tr>
    </w:tbl>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dále jen „</w:t>
      </w:r>
      <w:r w:rsidRPr="003D176C">
        <w:rPr>
          <w:rFonts w:ascii="Times New Roman" w:eastAsia="Calibri" w:hAnsi="Times New Roman" w:cs="Times New Roman"/>
          <w:i/>
          <w:sz w:val="24"/>
          <w:szCs w:val="24"/>
        </w:rPr>
        <w:t>nájemce“</w:t>
      </w:r>
      <w:r w:rsidRPr="003D176C">
        <w:rPr>
          <w:rFonts w:ascii="Times New Roman" w:eastAsia="Calibri" w:hAnsi="Times New Roman" w:cs="Times New Roman"/>
          <w:sz w:val="24"/>
          <w:szCs w:val="24"/>
        </w:rPr>
        <w:t xml:space="preserve"> na straně druhé </w:t>
      </w: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center"/>
        <w:rPr>
          <w:rFonts w:ascii="Times New Roman" w:eastAsia="Calibri" w:hAnsi="Times New Roman" w:cs="Times New Roman"/>
          <w:b/>
          <w:sz w:val="24"/>
          <w:szCs w:val="24"/>
        </w:rPr>
      </w:pPr>
    </w:p>
    <w:p w:rsidR="0009147A" w:rsidRPr="003D176C" w:rsidRDefault="0009147A" w:rsidP="0009147A">
      <w:pPr>
        <w:spacing w:after="0" w:line="240" w:lineRule="auto"/>
        <w:jc w:val="center"/>
        <w:rPr>
          <w:rFonts w:ascii="Times New Roman" w:eastAsia="Calibri" w:hAnsi="Times New Roman" w:cs="Times New Roman"/>
          <w:b/>
          <w:sz w:val="24"/>
          <w:szCs w:val="24"/>
        </w:rPr>
      </w:pPr>
    </w:p>
    <w:p w:rsidR="0009147A" w:rsidRPr="003D176C" w:rsidRDefault="0009147A" w:rsidP="0009147A">
      <w:pPr>
        <w:spacing w:after="0" w:line="240" w:lineRule="auto"/>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I. Předmět nájmu</w:t>
      </w:r>
    </w:p>
    <w:p w:rsidR="0009147A" w:rsidRPr="003D176C" w:rsidRDefault="0009147A" w:rsidP="0009147A">
      <w:pPr>
        <w:numPr>
          <w:ilvl w:val="0"/>
          <w:numId w:val="5"/>
        </w:numPr>
        <w:spacing w:after="0" w:line="240" w:lineRule="auto"/>
        <w:contextualSpacing/>
        <w:jc w:val="both"/>
        <w:rPr>
          <w:rFonts w:ascii="Times New Roman" w:eastAsia="Calibri" w:hAnsi="Times New Roman" w:cs="Times New Roman"/>
          <w:sz w:val="24"/>
          <w:szCs w:val="24"/>
        </w:rPr>
      </w:pP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Druh vozidla: </w:t>
      </w:r>
      <w:r w:rsidRPr="003D176C">
        <w:rPr>
          <w:rFonts w:ascii="Times New Roman" w:eastAsia="Calibri" w:hAnsi="Times New Roman" w:cs="Times New Roman"/>
          <w:sz w:val="24"/>
          <w:szCs w:val="24"/>
        </w:rPr>
        <w:tab/>
        <w:t xml:space="preserve">sklízecí mlátička New </w:t>
      </w:r>
      <w:proofErr w:type="spellStart"/>
      <w:r w:rsidRPr="003D176C">
        <w:rPr>
          <w:rFonts w:ascii="Times New Roman" w:eastAsia="Calibri" w:hAnsi="Times New Roman" w:cs="Times New Roman"/>
          <w:sz w:val="24"/>
          <w:szCs w:val="24"/>
        </w:rPr>
        <w:t>Holland</w:t>
      </w:r>
      <w:proofErr w:type="spellEnd"/>
      <w:r w:rsidRPr="003D176C">
        <w:rPr>
          <w:rFonts w:ascii="Times New Roman" w:eastAsia="Calibri" w:hAnsi="Times New Roman" w:cs="Times New Roman"/>
          <w:sz w:val="24"/>
          <w:szCs w:val="24"/>
        </w:rPr>
        <w:t xml:space="preserve"> CX 8.85 s příslušenstvím</w:t>
      </w: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Značka a typ: New </w:t>
      </w:r>
      <w:proofErr w:type="spellStart"/>
      <w:r w:rsidRPr="003D176C">
        <w:rPr>
          <w:rFonts w:ascii="Times New Roman" w:eastAsia="Calibri" w:hAnsi="Times New Roman" w:cs="Times New Roman"/>
          <w:sz w:val="24"/>
          <w:szCs w:val="24"/>
        </w:rPr>
        <w:t>Holland</w:t>
      </w:r>
      <w:proofErr w:type="spellEnd"/>
      <w:r w:rsidRPr="003D176C">
        <w:rPr>
          <w:rFonts w:ascii="Times New Roman" w:eastAsia="Calibri" w:hAnsi="Times New Roman" w:cs="Times New Roman"/>
          <w:sz w:val="24"/>
          <w:szCs w:val="24"/>
        </w:rPr>
        <w:t xml:space="preserve"> CX 8.85</w:t>
      </w: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Registrační značka:</w:t>
      </w: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Číslo karoserie:</w:t>
      </w: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Rok výroby: 2017</w:t>
      </w:r>
    </w:p>
    <w:p w:rsidR="0009147A" w:rsidRPr="003D176C" w:rsidRDefault="0009147A" w:rsidP="0009147A">
      <w:pPr>
        <w:spacing w:after="0" w:line="240" w:lineRule="auto"/>
        <w:ind w:left="348" w:right="792"/>
        <w:jc w:val="both"/>
        <w:rPr>
          <w:rFonts w:ascii="Times New Roman" w:eastAsia="Calibri" w:hAnsi="Times New Roman" w:cs="Times New Roman"/>
          <w:sz w:val="24"/>
          <w:szCs w:val="24"/>
        </w:rPr>
      </w:pP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Příslušenství: vozík pod lištu, lišta </w:t>
      </w:r>
      <w:proofErr w:type="spellStart"/>
      <w:r w:rsidRPr="003D176C">
        <w:rPr>
          <w:rFonts w:ascii="Times New Roman" w:eastAsia="Calibri" w:hAnsi="Times New Roman" w:cs="Times New Roman"/>
          <w:sz w:val="24"/>
          <w:szCs w:val="24"/>
        </w:rPr>
        <w:t>Varifeed</w:t>
      </w:r>
      <w:proofErr w:type="spellEnd"/>
      <w:r w:rsidRPr="003D176C">
        <w:rPr>
          <w:rFonts w:ascii="Times New Roman" w:eastAsia="Calibri" w:hAnsi="Times New Roman" w:cs="Times New Roman"/>
          <w:sz w:val="24"/>
          <w:szCs w:val="24"/>
        </w:rPr>
        <w:t xml:space="preserve"> HD 7,60m</w:t>
      </w:r>
    </w:p>
    <w:p w:rsidR="0009147A" w:rsidRPr="003D176C" w:rsidRDefault="0009147A" w:rsidP="0009147A">
      <w:pPr>
        <w:spacing w:after="0" w:line="240" w:lineRule="auto"/>
        <w:ind w:left="708" w:right="792"/>
        <w:jc w:val="both"/>
        <w:rPr>
          <w:rFonts w:ascii="Times New Roman" w:eastAsia="Calibri" w:hAnsi="Times New Roman" w:cs="Times New Roman"/>
          <w:sz w:val="24"/>
          <w:szCs w:val="24"/>
        </w:rPr>
      </w:pPr>
    </w:p>
    <w:p w:rsidR="0009147A" w:rsidRPr="003D176C" w:rsidRDefault="0009147A" w:rsidP="0009147A">
      <w:pPr>
        <w:spacing w:after="0" w:line="240" w:lineRule="auto"/>
        <w:ind w:firstLine="360"/>
        <w:jc w:val="both"/>
        <w:rPr>
          <w:rFonts w:ascii="Times New Roman" w:eastAsia="Calibri" w:hAnsi="Times New Roman" w:cs="Times New Roman"/>
          <w:sz w:val="24"/>
          <w:szCs w:val="24"/>
        </w:rPr>
      </w:pPr>
    </w:p>
    <w:p w:rsidR="0009147A" w:rsidRPr="003D176C" w:rsidRDefault="0009147A" w:rsidP="0009147A">
      <w:pPr>
        <w:spacing w:after="0" w:line="240" w:lineRule="auto"/>
        <w:ind w:firstLine="360"/>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Podrobná specifikace předmětu nájmu je uvedena v příloze č. 1 této smlouvy.</w:t>
      </w: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II. Předmět smlouvy</w:t>
      </w:r>
    </w:p>
    <w:p w:rsidR="0009147A" w:rsidRPr="003D176C" w:rsidRDefault="0009147A" w:rsidP="0009147A">
      <w:pPr>
        <w:numPr>
          <w:ilvl w:val="0"/>
          <w:numId w:val="4"/>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Pronajímatel se touto smlouvou zavazuje přenechat nájemci k dočasnému užívání předmět nájmu za podmínek sjednaných touto smlouvou, a nájemce se zavazuje platit za to pronajímateli nájemné.</w:t>
      </w:r>
    </w:p>
    <w:p w:rsidR="0009147A" w:rsidRPr="003D176C" w:rsidRDefault="0009147A" w:rsidP="0009147A">
      <w:pPr>
        <w:spacing w:after="0" w:line="240" w:lineRule="auto"/>
        <w:ind w:left="360"/>
        <w:contextualSpacing/>
        <w:jc w:val="both"/>
        <w:rPr>
          <w:rFonts w:ascii="Times New Roman" w:eastAsia="Calibri" w:hAnsi="Times New Roman" w:cs="Times New Roman"/>
          <w:sz w:val="24"/>
          <w:szCs w:val="24"/>
        </w:rPr>
      </w:pPr>
    </w:p>
    <w:p w:rsidR="0009147A" w:rsidRPr="003D176C" w:rsidRDefault="0009147A" w:rsidP="0009147A">
      <w:pPr>
        <w:spacing w:after="0" w:line="240" w:lineRule="auto"/>
        <w:ind w:left="360"/>
        <w:contextualSpacing/>
        <w:jc w:val="both"/>
        <w:rPr>
          <w:rFonts w:ascii="Times New Roman" w:eastAsia="Calibri" w:hAnsi="Times New Roman" w:cs="Times New Roman"/>
          <w:sz w:val="24"/>
          <w:szCs w:val="24"/>
        </w:rPr>
      </w:pP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III. Nájemné, platební podmínky</w:t>
      </w:r>
    </w:p>
    <w:p w:rsidR="0009147A" w:rsidRPr="003D176C" w:rsidRDefault="0009147A" w:rsidP="0009147A">
      <w:pPr>
        <w:numPr>
          <w:ilvl w:val="0"/>
          <w:numId w:val="6"/>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Nájemce se zavazuje platit za užívání předmětu nájmu nájemné ve výši 1.100,- Kč/ha bez DPH. (každý sklizený hektar). Nájemné bude uhrazeno po společném odsouhlasení množství provedené práce a následném vystavením daňového dokladu – faktury, se splatností 30 dnů.</w:t>
      </w:r>
    </w:p>
    <w:p w:rsidR="0009147A" w:rsidRPr="003D176C" w:rsidRDefault="0009147A" w:rsidP="0009147A">
      <w:pPr>
        <w:spacing w:after="0" w:line="240" w:lineRule="auto"/>
        <w:ind w:left="360"/>
        <w:contextualSpacing/>
        <w:jc w:val="both"/>
        <w:rPr>
          <w:rFonts w:ascii="Times New Roman" w:eastAsia="Calibri" w:hAnsi="Times New Roman" w:cs="Times New Roman"/>
          <w:sz w:val="24"/>
          <w:szCs w:val="24"/>
        </w:rPr>
      </w:pPr>
    </w:p>
    <w:p w:rsidR="0009147A" w:rsidRPr="003D176C" w:rsidRDefault="0009147A" w:rsidP="0009147A">
      <w:pPr>
        <w:numPr>
          <w:ilvl w:val="0"/>
          <w:numId w:val="6"/>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lastRenderedPageBreak/>
        <w:t xml:space="preserve">V případě prodlení nájemce s úhradou nájemného je pronajímatel oprávněn účtovat nájemci smluvní pokutu ve výši 0,03 % z dlužné částky za každý den prodlení. Tímto není dotčen případný nárok na náhradu škody, ustanovení § 2050 občanského zákoníku se nepoužije. </w:t>
      </w: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 xml:space="preserve"> </w:t>
      </w: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p>
    <w:p w:rsidR="0009147A" w:rsidRPr="003D176C" w:rsidRDefault="0009147A" w:rsidP="0009147A">
      <w:pPr>
        <w:spacing w:after="0" w:line="240" w:lineRule="auto"/>
        <w:ind w:left="360"/>
        <w:contextualSpacing/>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IV. Práva a povinnosti smluvních stran</w:t>
      </w:r>
    </w:p>
    <w:p w:rsidR="0009147A" w:rsidRPr="003D176C" w:rsidRDefault="0009147A" w:rsidP="0009147A">
      <w:pPr>
        <w:numPr>
          <w:ilvl w:val="0"/>
          <w:numId w:val="7"/>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Nájem počíná okamžikem předání předmětu nájmu nájemci. Předmět nájmu musí být v okamžiku jeho předání nájemci ve stavu způsobilém obvyklému užívání. Převzetí předmětu nájmu potvrdí nájemce písemně na předávacím protokolu, který tvoří přílohu č. 1 této smlouvy. Nájemce podpisem předávacího protokolu potvrzuje, že předávaný předmět nájmu je kompletní a odpovídá popisu dle této smlouvy.</w:t>
      </w:r>
    </w:p>
    <w:p w:rsidR="0009147A" w:rsidRPr="003D176C" w:rsidRDefault="0009147A" w:rsidP="0009147A">
      <w:pPr>
        <w:numPr>
          <w:ilvl w:val="0"/>
          <w:numId w:val="7"/>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Nájemce je oprávněn používat předmět nájmu pouze v souladu s touto smlouvou a pouze k účelu, k němuž je určen. Nájemce je povinen s předmětem nájmu nakládat s veškerou odbornou péčí podle podmínek a doporučení výrobce, a je povinen chránit předmět nájmu před poškozením, zničením anebo ztrátou, jinak odpovídá za škody z toho vzniklé.</w:t>
      </w:r>
    </w:p>
    <w:p w:rsidR="0009147A" w:rsidRPr="003D176C" w:rsidRDefault="0009147A" w:rsidP="0009147A">
      <w:pPr>
        <w:numPr>
          <w:ilvl w:val="0"/>
          <w:numId w:val="7"/>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Jakékoli právní nebo faktické nakládání s předmětem nájmu, jako např. jeho prodej, zastavení, přenechání do užívání třetí osobě, změny na předmětu nájmu apod. je zakázáno. </w:t>
      </w:r>
    </w:p>
    <w:p w:rsidR="0009147A" w:rsidRPr="003D176C" w:rsidRDefault="0009147A" w:rsidP="0009147A">
      <w:pPr>
        <w:numPr>
          <w:ilvl w:val="0"/>
          <w:numId w:val="7"/>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Jakékoliv změny a úpravy předmětu nájmu může nájemce provést pouze s předchozím písemným souhlasem pronajímatele. Pokud nájemce provede změny a jakékoliv úpravy předmětu nájmu nebo technické zhodnocení bez souhlasu pronajímatele, odpovídá pronajímateli za způsobenou škodu. Při předčasném ukončení smlouvy o nájmu přechází případné zhodnocení bez nároku nájemce na protiplnění do vlastnictví pronajímatele s tím, že nájemce se současně zavazuje odstranit na své náklady pronajímatelem nepovolené úpravy předmětu nájmu, které pronajímatel označí jako nežádoucí. V případě, že nájemce tyto neodstraní, je pronajímatel oprávněn je nechat odstranit na náklady nájemce.</w:t>
      </w:r>
    </w:p>
    <w:p w:rsidR="0009147A" w:rsidRPr="003D176C" w:rsidRDefault="0009147A" w:rsidP="0009147A">
      <w:pPr>
        <w:numPr>
          <w:ilvl w:val="0"/>
          <w:numId w:val="7"/>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Veškeré opravy a servisní práce jsou oprávněni provádět pouze zaměstnanci pronajímatele a náklady spojené s garanční opravou hradí pronajímatel. Závady bude nájemce hlásit na tel. čísle +420 606 694 555.</w:t>
      </w:r>
    </w:p>
    <w:p w:rsidR="0009147A" w:rsidRPr="003D176C" w:rsidRDefault="0009147A" w:rsidP="0009147A">
      <w:pPr>
        <w:numPr>
          <w:ilvl w:val="0"/>
          <w:numId w:val="7"/>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Nebezpečí škody na před</w:t>
      </w:r>
      <w:bookmarkStart w:id="0" w:name="_GoBack"/>
      <w:bookmarkEnd w:id="0"/>
      <w:r w:rsidRPr="003D176C">
        <w:rPr>
          <w:rFonts w:ascii="Times New Roman" w:eastAsia="Calibri" w:hAnsi="Times New Roman" w:cs="Times New Roman"/>
          <w:sz w:val="24"/>
          <w:szCs w:val="24"/>
        </w:rPr>
        <w:t xml:space="preserve">mětu nájmu nese nájemce ode dne předání předmětu nájmu. </w:t>
      </w:r>
    </w:p>
    <w:p w:rsidR="0009147A" w:rsidRPr="003D176C" w:rsidRDefault="0009147A" w:rsidP="0009147A">
      <w:pPr>
        <w:spacing w:line="240" w:lineRule="auto"/>
        <w:ind w:left="360"/>
        <w:contextualSpacing/>
        <w:jc w:val="both"/>
        <w:rPr>
          <w:rFonts w:ascii="Times New Roman" w:eastAsia="Calibri" w:hAnsi="Times New Roman" w:cs="Times New Roman"/>
          <w:sz w:val="24"/>
          <w:szCs w:val="24"/>
        </w:rPr>
      </w:pPr>
    </w:p>
    <w:p w:rsidR="0009147A" w:rsidRPr="003D176C" w:rsidRDefault="0009147A" w:rsidP="0009147A">
      <w:pPr>
        <w:spacing w:line="240" w:lineRule="auto"/>
        <w:ind w:left="360"/>
        <w:contextualSpacing/>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V. Doba trvání a rozsah nájmu</w:t>
      </w:r>
    </w:p>
    <w:p w:rsidR="0009147A" w:rsidRPr="003D176C" w:rsidRDefault="0009147A" w:rsidP="0009147A">
      <w:pPr>
        <w:numPr>
          <w:ilvl w:val="0"/>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Tato smlouva se uzavírá na dobu určitou, s účinností od okamžiku předání předmětu nájmu nájemci. Nájem se uzavírá </w:t>
      </w:r>
      <w:r w:rsidRPr="003D176C">
        <w:rPr>
          <w:rFonts w:ascii="Times New Roman" w:eastAsia="Calibri" w:hAnsi="Times New Roman" w:cs="Times New Roman"/>
          <w:b/>
          <w:sz w:val="24"/>
          <w:szCs w:val="24"/>
        </w:rPr>
        <w:t>od 25. 7. 2018 do 30. 8. 2018</w:t>
      </w:r>
      <w:r w:rsidRPr="003D176C">
        <w:rPr>
          <w:rFonts w:ascii="Times New Roman" w:eastAsia="Calibri" w:hAnsi="Times New Roman" w:cs="Times New Roman"/>
          <w:sz w:val="24"/>
          <w:szCs w:val="24"/>
        </w:rPr>
        <w:t xml:space="preserve">. Rozsah sjednaného nájmu činí </w:t>
      </w:r>
      <w:r w:rsidRPr="003D176C">
        <w:rPr>
          <w:rFonts w:ascii="Times New Roman" w:eastAsia="Calibri" w:hAnsi="Times New Roman" w:cs="Times New Roman"/>
          <w:b/>
          <w:sz w:val="24"/>
          <w:szCs w:val="24"/>
        </w:rPr>
        <w:t>400 ha</w:t>
      </w:r>
      <w:r w:rsidRPr="003D176C">
        <w:rPr>
          <w:rFonts w:ascii="Times New Roman" w:eastAsia="Calibri" w:hAnsi="Times New Roman" w:cs="Times New Roman"/>
          <w:sz w:val="24"/>
          <w:szCs w:val="24"/>
        </w:rPr>
        <w:t xml:space="preserve"> (sklizených hektarů).</w:t>
      </w:r>
    </w:p>
    <w:p w:rsidR="0009147A" w:rsidRPr="003D176C" w:rsidRDefault="0009147A" w:rsidP="0009147A">
      <w:pPr>
        <w:numPr>
          <w:ilvl w:val="0"/>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Platnost této smlouvy může skočit:</w:t>
      </w:r>
    </w:p>
    <w:p w:rsidR="0009147A" w:rsidRPr="003D176C" w:rsidRDefault="0009147A" w:rsidP="0009147A">
      <w:pPr>
        <w:numPr>
          <w:ilvl w:val="1"/>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uplynutím sjednané doby trvání smlouvy,</w:t>
      </w:r>
    </w:p>
    <w:p w:rsidR="0009147A" w:rsidRPr="003D176C" w:rsidRDefault="0009147A" w:rsidP="0009147A">
      <w:pPr>
        <w:numPr>
          <w:ilvl w:val="1"/>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výpovědí z jednoměsíční výpovědní lhůtou,</w:t>
      </w:r>
    </w:p>
    <w:p w:rsidR="0009147A" w:rsidRPr="003D176C" w:rsidRDefault="0009147A" w:rsidP="0009147A">
      <w:pPr>
        <w:numPr>
          <w:ilvl w:val="1"/>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odstoupením,</w:t>
      </w:r>
    </w:p>
    <w:p w:rsidR="0009147A" w:rsidRPr="003D176C" w:rsidRDefault="0009147A" w:rsidP="0009147A">
      <w:pPr>
        <w:numPr>
          <w:ilvl w:val="1"/>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trvalým vyřazením předmětu nájmu z provozu,</w:t>
      </w:r>
    </w:p>
    <w:p w:rsidR="0009147A" w:rsidRPr="003D176C" w:rsidRDefault="0009147A" w:rsidP="0009147A">
      <w:pPr>
        <w:numPr>
          <w:ilvl w:val="1"/>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zánikem nájemce, </w:t>
      </w:r>
    </w:p>
    <w:p w:rsidR="0009147A" w:rsidRPr="003D176C" w:rsidRDefault="0009147A" w:rsidP="0009147A">
      <w:pPr>
        <w:numPr>
          <w:ilvl w:val="1"/>
          <w:numId w:val="8"/>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dohodou smluvních stran.</w:t>
      </w:r>
    </w:p>
    <w:p w:rsidR="0009147A" w:rsidRPr="003D176C" w:rsidRDefault="0009147A" w:rsidP="0009147A">
      <w:pPr>
        <w:tabs>
          <w:tab w:val="left" w:pos="567"/>
        </w:tabs>
        <w:spacing w:before="60" w:after="20" w:line="240" w:lineRule="auto"/>
        <w:ind w:left="360"/>
        <w:jc w:val="both"/>
        <w:rPr>
          <w:rFonts w:ascii="Times New Roman" w:eastAsia="Calibri" w:hAnsi="Times New Roman" w:cs="Times New Roman"/>
          <w:sz w:val="24"/>
          <w:szCs w:val="24"/>
        </w:rPr>
      </w:pPr>
    </w:p>
    <w:p w:rsidR="0009147A" w:rsidRPr="003D176C" w:rsidRDefault="0009147A" w:rsidP="0009147A">
      <w:pPr>
        <w:spacing w:after="0" w:line="240" w:lineRule="auto"/>
        <w:jc w:val="center"/>
        <w:rPr>
          <w:rFonts w:ascii="Times New Roman" w:eastAsia="Calibri" w:hAnsi="Times New Roman" w:cs="Times New Roman"/>
          <w:b/>
          <w:sz w:val="24"/>
          <w:szCs w:val="24"/>
        </w:rPr>
      </w:pPr>
      <w:r w:rsidRPr="003D176C">
        <w:rPr>
          <w:rFonts w:ascii="Times New Roman" w:eastAsia="Calibri" w:hAnsi="Times New Roman" w:cs="Times New Roman"/>
          <w:b/>
          <w:sz w:val="24"/>
          <w:szCs w:val="24"/>
        </w:rPr>
        <w:t>VI. Závěrečná ustanovení</w:t>
      </w:r>
    </w:p>
    <w:p w:rsidR="0009147A" w:rsidRPr="003D176C" w:rsidRDefault="0009147A" w:rsidP="0009147A">
      <w:pPr>
        <w:numPr>
          <w:ilvl w:val="0"/>
          <w:numId w:val="3"/>
        </w:numPr>
        <w:spacing w:after="0" w:line="240" w:lineRule="auto"/>
        <w:contextualSpacing/>
        <w:jc w:val="center"/>
        <w:rPr>
          <w:rFonts w:ascii="Times New Roman" w:eastAsia="Calibri" w:hAnsi="Times New Roman" w:cs="Times New Roman"/>
          <w:b/>
          <w:sz w:val="24"/>
          <w:szCs w:val="24"/>
        </w:rPr>
        <w:sectPr w:rsidR="0009147A" w:rsidRPr="003D176C" w:rsidSect="00D30442">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8" w:footer="708" w:gutter="0"/>
          <w:cols w:space="708"/>
          <w:docGrid w:linePitch="360"/>
        </w:sectPr>
      </w:pPr>
    </w:p>
    <w:p w:rsidR="0009147A" w:rsidRPr="003D176C" w:rsidRDefault="0009147A" w:rsidP="0009147A">
      <w:pPr>
        <w:numPr>
          <w:ilvl w:val="0"/>
          <w:numId w:val="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lastRenderedPageBreak/>
        <w:t>Práva a povinnosti touto smlouvou výslovně neupravené se řídí Všeobecnými podmínkami nájmu, které nájemce převzal a seznámil se s nimi, což stvrzuje podpisem této smlouvy, a dále příslušnými ustanoveními občanského zákoníku ve znění pozdějších předpisů.</w:t>
      </w:r>
    </w:p>
    <w:p w:rsidR="0009147A" w:rsidRPr="003D176C" w:rsidRDefault="0009147A" w:rsidP="0009147A">
      <w:pPr>
        <w:numPr>
          <w:ilvl w:val="0"/>
          <w:numId w:val="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napToGrid w:val="0"/>
          <w:sz w:val="24"/>
          <w:szCs w:val="24"/>
        </w:rPr>
        <w:t xml:space="preserve">Za </w:t>
      </w:r>
      <w:r w:rsidRPr="003D176C">
        <w:rPr>
          <w:rFonts w:ascii="Times New Roman" w:eastAsia="Calibri" w:hAnsi="Times New Roman" w:cs="Times New Roman"/>
          <w:sz w:val="24"/>
          <w:szCs w:val="24"/>
        </w:rPr>
        <w:t xml:space="preserve">řádně doručenou písemnost se považuje i taková, kterou si nájemce nevyzvedne v úložní době, nebo která se pro poštu stane nedoručitelnou z důvodů, že se nájemce odstěhoval na neznámou </w:t>
      </w:r>
      <w:r w:rsidRPr="003D176C">
        <w:rPr>
          <w:rFonts w:ascii="Times New Roman" w:eastAsia="Calibri" w:hAnsi="Times New Roman" w:cs="Times New Roman"/>
          <w:sz w:val="24"/>
          <w:szCs w:val="24"/>
        </w:rPr>
        <w:lastRenderedPageBreak/>
        <w:t>adresu, přičemž písemnost je doručena na adresu sídla společnosti/místa podnikání v souladu s údajem v příslušném rejstříku. V těchto případech se písemnost považuje za doručenou v den, kdy se zásilka vrátí pronajímateli.</w:t>
      </w:r>
    </w:p>
    <w:p w:rsidR="0009147A" w:rsidRPr="003D176C" w:rsidRDefault="0009147A" w:rsidP="0009147A">
      <w:pPr>
        <w:numPr>
          <w:ilvl w:val="0"/>
          <w:numId w:val="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Tato smlouva nabývá platnosti dnem podpisu a účinnosti dnem předání předmětu nájmu nájemci.</w:t>
      </w:r>
    </w:p>
    <w:p w:rsidR="0009147A" w:rsidRPr="003D176C" w:rsidRDefault="0009147A" w:rsidP="0009147A">
      <w:pPr>
        <w:numPr>
          <w:ilvl w:val="0"/>
          <w:numId w:val="2"/>
        </w:numPr>
        <w:spacing w:after="0" w:line="240" w:lineRule="auto"/>
        <w:contextualSpacing/>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Tato smlouva je vyhotovena ve dvou vyhotoveních, z nichž obdrží jednu pronajímatel a jednu nájemce.</w:t>
      </w:r>
    </w:p>
    <w:p w:rsidR="0009147A" w:rsidRPr="003D176C" w:rsidRDefault="0009147A" w:rsidP="0009147A">
      <w:pPr>
        <w:widowControl w:val="0"/>
        <w:numPr>
          <w:ilvl w:val="0"/>
          <w:numId w:val="2"/>
        </w:numPr>
        <w:spacing w:after="0"/>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Tato smlouva může být měněna pouze písemnými dodatky podepsanými oběma smluvními stranami.</w:t>
      </w:r>
    </w:p>
    <w:p w:rsidR="0009147A" w:rsidRPr="003D176C" w:rsidRDefault="0009147A" w:rsidP="0009147A">
      <w:pPr>
        <w:numPr>
          <w:ilvl w:val="0"/>
          <w:numId w:val="2"/>
        </w:numPr>
        <w:spacing w:after="0" w:line="240" w:lineRule="auto"/>
        <w:jc w:val="both"/>
        <w:rPr>
          <w:rFonts w:ascii="Times New Roman" w:eastAsia="Times New Roman" w:hAnsi="Times New Roman" w:cs="Times New Roman"/>
          <w:sz w:val="24"/>
          <w:szCs w:val="24"/>
        </w:rPr>
      </w:pPr>
      <w:r w:rsidRPr="003D176C">
        <w:rPr>
          <w:rFonts w:ascii="Times New Roman" w:eastAsia="Times New Roman" w:hAnsi="Times New Roman" w:cs="Times New Roman"/>
          <w:sz w:val="24"/>
          <w:szCs w:val="24"/>
        </w:rPr>
        <w:t>Pokud se jedno nebo více ustanovení této smlouvy stane neplatným, není tím dotčena platnost této smlouvy. Smluvní strany se zavazují bez zbytečného odkladu nahradit neplatné ustanovení ustanovením platným, které se svým účelem nejvíce blíží neplatnému ustanovení.</w:t>
      </w:r>
    </w:p>
    <w:p w:rsidR="0009147A" w:rsidRPr="003D176C" w:rsidRDefault="0009147A" w:rsidP="0009147A">
      <w:pPr>
        <w:widowControl w:val="0"/>
        <w:numPr>
          <w:ilvl w:val="0"/>
          <w:numId w:val="2"/>
        </w:numPr>
        <w:spacing w:after="0"/>
        <w:jc w:val="both"/>
        <w:rPr>
          <w:rFonts w:ascii="Times New Roman" w:eastAsia="Calibri" w:hAnsi="Times New Roman" w:cs="Times New Roman"/>
          <w:snapToGrid w:val="0"/>
          <w:sz w:val="24"/>
          <w:szCs w:val="24"/>
        </w:rPr>
      </w:pPr>
      <w:r w:rsidRPr="003D176C">
        <w:rPr>
          <w:rFonts w:ascii="Times New Roman" w:eastAsia="Calibri" w:hAnsi="Times New Roman" w:cs="Times New Roman"/>
          <w:snapToGrid w:val="0"/>
          <w:sz w:val="24"/>
          <w:szCs w:val="24"/>
        </w:rPr>
        <w:t xml:space="preserve">Smluvní strany prohlašují, že si smlouvu před jejím podpisem přečetly, že byla uzavřena po vzájemném ujednání, podle jejich pravé a svobodné vůle, vážně, srozumitelně, nikoliv v tísni, ani za jinak jednostranně nevýhodných podmínek. </w:t>
      </w:r>
    </w:p>
    <w:p w:rsidR="0009147A" w:rsidRPr="003D176C" w:rsidRDefault="0009147A" w:rsidP="0009147A">
      <w:pPr>
        <w:spacing w:after="0" w:line="240" w:lineRule="auto"/>
        <w:ind w:left="360"/>
        <w:contextualSpacing/>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p>
    <w:p w:rsidR="0009147A" w:rsidRPr="003D176C" w:rsidRDefault="0009147A" w:rsidP="0009147A">
      <w:pPr>
        <w:spacing w:after="0" w:line="240" w:lineRule="auto"/>
        <w:jc w:val="both"/>
        <w:rPr>
          <w:rFonts w:ascii="Times New Roman" w:eastAsia="Calibri" w:hAnsi="Times New Roman" w:cs="Times New Roman"/>
          <w:sz w:val="24"/>
          <w:szCs w:val="24"/>
        </w:rPr>
      </w:pPr>
      <w:r w:rsidRPr="003D176C">
        <w:rPr>
          <w:rFonts w:ascii="Times New Roman" w:eastAsia="Calibri" w:hAnsi="Times New Roman" w:cs="Times New Roman"/>
          <w:sz w:val="24"/>
          <w:szCs w:val="24"/>
        </w:rPr>
        <w:t xml:space="preserve">V Olomouci dne </w:t>
      </w:r>
      <w:r w:rsidR="003D176C">
        <w:rPr>
          <w:rFonts w:ascii="Times New Roman" w:eastAsia="Calibri" w:hAnsi="Times New Roman" w:cs="Times New Roman"/>
          <w:sz w:val="24"/>
          <w:szCs w:val="24"/>
        </w:rPr>
        <w:t>10.5.2018</w:t>
      </w:r>
    </w:p>
    <w:p w:rsidR="0009147A" w:rsidRPr="003D176C" w:rsidRDefault="0009147A" w:rsidP="0009147A">
      <w:pPr>
        <w:spacing w:after="0" w:line="240" w:lineRule="auto"/>
        <w:jc w:val="both"/>
        <w:rPr>
          <w:rFonts w:ascii="Times New Roman" w:eastAsia="Calibri" w:hAnsi="Times New Roman" w:cs="Times New Roman"/>
          <w:sz w:val="24"/>
          <w:szCs w:val="24"/>
        </w:rPr>
      </w:pPr>
    </w:p>
    <w:tbl>
      <w:tblPr>
        <w:tblW w:w="10004" w:type="dxa"/>
        <w:jc w:val="center"/>
        <w:tblCellMar>
          <w:left w:w="70" w:type="dxa"/>
          <w:right w:w="70" w:type="dxa"/>
        </w:tblCellMar>
        <w:tblLook w:val="04A0" w:firstRow="1" w:lastRow="0" w:firstColumn="1" w:lastColumn="0" w:noHBand="0" w:noVBand="1"/>
      </w:tblPr>
      <w:tblGrid>
        <w:gridCol w:w="4465"/>
        <w:gridCol w:w="787"/>
        <w:gridCol w:w="4752"/>
      </w:tblGrid>
      <w:tr w:rsidR="003D176C" w:rsidRPr="003D176C" w:rsidTr="00457432">
        <w:trPr>
          <w:trHeight w:val="300"/>
          <w:jc w:val="center"/>
        </w:trPr>
        <w:tc>
          <w:tcPr>
            <w:tcW w:w="4465" w:type="dxa"/>
            <w:shd w:val="clear" w:color="auto" w:fill="auto"/>
            <w:noWrap/>
            <w:vAlign w:val="bottom"/>
            <w:hideMark/>
          </w:tcPr>
          <w:p w:rsidR="0009147A" w:rsidRPr="003D176C" w:rsidRDefault="0009147A" w:rsidP="0009147A">
            <w:pPr>
              <w:spacing w:after="0" w:line="240" w:lineRule="auto"/>
              <w:jc w:val="center"/>
              <w:rPr>
                <w:rFonts w:ascii="Times New Roman" w:eastAsia="Times New Roman" w:hAnsi="Times New Roman" w:cs="Times New Roman"/>
                <w:b/>
                <w:sz w:val="24"/>
                <w:szCs w:val="24"/>
                <w:lang w:eastAsia="cs-CZ"/>
              </w:rPr>
            </w:pPr>
          </w:p>
        </w:tc>
        <w:tc>
          <w:tcPr>
            <w:tcW w:w="787" w:type="dxa"/>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4752" w:type="dxa"/>
            <w:shd w:val="clear" w:color="auto" w:fill="auto"/>
            <w:noWrap/>
            <w:vAlign w:val="bottom"/>
            <w:hideMark/>
          </w:tcPr>
          <w:p w:rsidR="0009147A" w:rsidRPr="003D176C" w:rsidRDefault="0009147A" w:rsidP="0009147A">
            <w:pPr>
              <w:spacing w:after="0" w:line="240" w:lineRule="auto"/>
              <w:jc w:val="both"/>
              <w:rPr>
                <w:rFonts w:ascii="Times New Roman" w:eastAsia="Times New Roman" w:hAnsi="Times New Roman" w:cs="Times New Roman"/>
                <w:b/>
                <w:bCs/>
                <w:sz w:val="24"/>
                <w:szCs w:val="24"/>
                <w:lang w:eastAsia="cs-CZ"/>
              </w:rPr>
            </w:pPr>
            <w:r w:rsidRPr="003D176C">
              <w:rPr>
                <w:rFonts w:ascii="Times New Roman" w:eastAsia="Calibri" w:hAnsi="Times New Roman" w:cs="Times New Roman"/>
                <w:b/>
                <w:sz w:val="24"/>
                <w:szCs w:val="24"/>
              </w:rPr>
              <w:t>AGROTECHNIC MORAVIA a.s.</w:t>
            </w:r>
          </w:p>
        </w:tc>
      </w:tr>
      <w:tr w:rsidR="003D176C" w:rsidRPr="003D176C" w:rsidTr="00457432">
        <w:trPr>
          <w:trHeight w:val="300"/>
          <w:jc w:val="center"/>
        </w:trPr>
        <w:tc>
          <w:tcPr>
            <w:tcW w:w="4465" w:type="dxa"/>
            <w:shd w:val="clear" w:color="auto" w:fill="auto"/>
            <w:noWrap/>
            <w:vAlign w:val="bottom"/>
            <w:hideMark/>
          </w:tcPr>
          <w:p w:rsidR="0009147A" w:rsidRPr="003D176C" w:rsidRDefault="0009147A" w:rsidP="0009147A">
            <w:pPr>
              <w:spacing w:after="0" w:line="240" w:lineRule="auto"/>
              <w:jc w:val="center"/>
              <w:rPr>
                <w:rFonts w:ascii="Times New Roman" w:eastAsia="Times New Roman" w:hAnsi="Times New Roman" w:cs="Times New Roman"/>
                <w:sz w:val="24"/>
                <w:szCs w:val="24"/>
                <w:lang w:eastAsia="cs-CZ"/>
              </w:rPr>
            </w:pPr>
          </w:p>
        </w:tc>
        <w:tc>
          <w:tcPr>
            <w:tcW w:w="787" w:type="dxa"/>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4752" w:type="dxa"/>
            <w:shd w:val="clear" w:color="auto" w:fill="auto"/>
            <w:noWrap/>
            <w:vAlign w:val="bottom"/>
            <w:hideMark/>
          </w:tcPr>
          <w:p w:rsidR="0009147A" w:rsidRPr="003D176C" w:rsidRDefault="0009147A" w:rsidP="0009147A">
            <w:pPr>
              <w:spacing w:after="0" w:line="240" w:lineRule="auto"/>
              <w:jc w:val="center"/>
              <w:rPr>
                <w:rFonts w:ascii="Times New Roman" w:eastAsia="Times New Roman" w:hAnsi="Times New Roman" w:cs="Times New Roman"/>
                <w:sz w:val="24"/>
                <w:szCs w:val="24"/>
                <w:lang w:eastAsia="cs-CZ"/>
              </w:rPr>
            </w:pPr>
          </w:p>
        </w:tc>
      </w:tr>
      <w:tr w:rsidR="003D176C" w:rsidRPr="003D176C" w:rsidTr="00457432">
        <w:trPr>
          <w:trHeight w:val="285"/>
          <w:jc w:val="center"/>
        </w:trPr>
        <w:tc>
          <w:tcPr>
            <w:tcW w:w="4465" w:type="dxa"/>
            <w:vMerge w:val="restart"/>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r w:rsidRPr="003D176C">
              <w:rPr>
                <w:rFonts w:ascii="Times New Roman" w:eastAsia="Times New Roman" w:hAnsi="Times New Roman" w:cs="Times New Roman"/>
                <w:sz w:val="24"/>
                <w:szCs w:val="24"/>
                <w:lang w:eastAsia="cs-CZ"/>
              </w:rPr>
              <w:t>..................................................................</w:t>
            </w:r>
          </w:p>
        </w:tc>
        <w:tc>
          <w:tcPr>
            <w:tcW w:w="787" w:type="dxa"/>
            <w:vMerge w:val="restart"/>
            <w:shd w:val="clear" w:color="auto" w:fill="auto"/>
            <w:noWrap/>
            <w:vAlign w:val="bottom"/>
            <w:hideMark/>
          </w:tcPr>
          <w:p w:rsidR="0009147A" w:rsidRPr="003D176C" w:rsidRDefault="0009147A" w:rsidP="0009147A">
            <w:pPr>
              <w:spacing w:after="0" w:line="240" w:lineRule="auto"/>
              <w:jc w:val="center"/>
              <w:rPr>
                <w:rFonts w:ascii="Times New Roman" w:eastAsia="Times New Roman" w:hAnsi="Times New Roman" w:cs="Times New Roman"/>
                <w:sz w:val="24"/>
                <w:szCs w:val="24"/>
                <w:lang w:eastAsia="cs-CZ"/>
              </w:rPr>
            </w:pPr>
          </w:p>
        </w:tc>
        <w:tc>
          <w:tcPr>
            <w:tcW w:w="4752" w:type="dxa"/>
            <w:vMerge w:val="restart"/>
            <w:shd w:val="clear" w:color="auto" w:fill="auto"/>
            <w:noWrap/>
            <w:vAlign w:val="bottom"/>
            <w:hideMark/>
          </w:tcPr>
          <w:p w:rsidR="0009147A" w:rsidRPr="003D176C" w:rsidRDefault="0009147A" w:rsidP="0009147A">
            <w:pPr>
              <w:spacing w:after="0" w:line="240" w:lineRule="auto"/>
              <w:jc w:val="both"/>
              <w:rPr>
                <w:rFonts w:ascii="Times New Roman" w:eastAsia="Times New Roman" w:hAnsi="Times New Roman" w:cs="Times New Roman"/>
                <w:sz w:val="24"/>
                <w:szCs w:val="24"/>
                <w:lang w:eastAsia="cs-CZ"/>
              </w:rPr>
            </w:pPr>
            <w:r w:rsidRPr="003D176C">
              <w:rPr>
                <w:rFonts w:ascii="Times New Roman" w:eastAsia="Times New Roman" w:hAnsi="Times New Roman" w:cs="Times New Roman"/>
                <w:sz w:val="24"/>
                <w:szCs w:val="24"/>
                <w:lang w:eastAsia="cs-CZ"/>
              </w:rPr>
              <w:t>..................................................................</w:t>
            </w:r>
          </w:p>
        </w:tc>
      </w:tr>
      <w:tr w:rsidR="003D176C" w:rsidRPr="003D176C" w:rsidTr="00457432">
        <w:trPr>
          <w:trHeight w:val="285"/>
          <w:jc w:val="center"/>
        </w:trPr>
        <w:tc>
          <w:tcPr>
            <w:tcW w:w="4465" w:type="dxa"/>
            <w:vMerge/>
            <w:vAlign w:val="center"/>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787" w:type="dxa"/>
            <w:vMerge/>
            <w:vAlign w:val="center"/>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4752" w:type="dxa"/>
            <w:vMerge/>
            <w:vAlign w:val="center"/>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r>
      <w:tr w:rsidR="003D176C" w:rsidRPr="003D176C" w:rsidTr="00457432">
        <w:trPr>
          <w:trHeight w:val="285"/>
          <w:jc w:val="center"/>
        </w:trPr>
        <w:tc>
          <w:tcPr>
            <w:tcW w:w="4465" w:type="dxa"/>
            <w:vMerge/>
            <w:vAlign w:val="center"/>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787" w:type="dxa"/>
            <w:vMerge/>
            <w:vAlign w:val="center"/>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4752" w:type="dxa"/>
            <w:vMerge/>
            <w:vAlign w:val="center"/>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r>
      <w:tr w:rsidR="003D176C" w:rsidRPr="003D176C" w:rsidTr="00457432">
        <w:trPr>
          <w:trHeight w:val="300"/>
          <w:jc w:val="center"/>
        </w:trPr>
        <w:tc>
          <w:tcPr>
            <w:tcW w:w="4465" w:type="dxa"/>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r w:rsidRPr="003D176C">
              <w:rPr>
                <w:rFonts w:ascii="Times New Roman" w:eastAsia="Times New Roman" w:hAnsi="Times New Roman" w:cs="Times New Roman"/>
                <w:sz w:val="24"/>
                <w:szCs w:val="24"/>
                <w:lang w:eastAsia="cs-CZ"/>
              </w:rPr>
              <w:t xml:space="preserve">    Ing . Radek Haas ředitel podniku</w:t>
            </w:r>
          </w:p>
        </w:tc>
        <w:tc>
          <w:tcPr>
            <w:tcW w:w="787" w:type="dxa"/>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4752" w:type="dxa"/>
            <w:shd w:val="clear" w:color="auto" w:fill="auto"/>
            <w:noWrap/>
            <w:vAlign w:val="bottom"/>
            <w:hideMark/>
          </w:tcPr>
          <w:p w:rsidR="0009147A" w:rsidRPr="003D176C" w:rsidRDefault="0009147A" w:rsidP="0009147A">
            <w:pPr>
              <w:spacing w:after="0" w:line="240" w:lineRule="auto"/>
              <w:jc w:val="both"/>
              <w:rPr>
                <w:rFonts w:ascii="Times New Roman" w:eastAsia="Times New Roman" w:hAnsi="Times New Roman" w:cs="Times New Roman"/>
                <w:sz w:val="24"/>
                <w:szCs w:val="24"/>
                <w:lang w:eastAsia="cs-CZ"/>
              </w:rPr>
            </w:pPr>
            <w:r w:rsidRPr="003D176C">
              <w:rPr>
                <w:rFonts w:ascii="Times New Roman" w:eastAsia="Times New Roman" w:hAnsi="Times New Roman" w:cs="Times New Roman"/>
                <w:sz w:val="24"/>
                <w:szCs w:val="24"/>
                <w:lang w:eastAsia="cs-CZ"/>
              </w:rPr>
              <w:t>Ing. Roman Lžičař, předseda představenstva</w:t>
            </w:r>
          </w:p>
        </w:tc>
      </w:tr>
      <w:tr w:rsidR="003D176C" w:rsidRPr="003D176C" w:rsidTr="00457432">
        <w:trPr>
          <w:trHeight w:val="300"/>
          <w:jc w:val="center"/>
        </w:trPr>
        <w:tc>
          <w:tcPr>
            <w:tcW w:w="4465" w:type="dxa"/>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r w:rsidRPr="003D176C">
              <w:rPr>
                <w:rFonts w:ascii="Times New Roman" w:eastAsia="Times New Roman" w:hAnsi="Times New Roman" w:cs="Times New Roman"/>
                <w:bCs/>
                <w:snapToGrid w:val="0"/>
                <w:sz w:val="24"/>
                <w:szCs w:val="24"/>
                <w:lang w:eastAsia="cs-CZ"/>
              </w:rPr>
              <w:t xml:space="preserve"> </w:t>
            </w:r>
          </w:p>
        </w:tc>
        <w:tc>
          <w:tcPr>
            <w:tcW w:w="787" w:type="dxa"/>
            <w:shd w:val="clear" w:color="auto" w:fill="auto"/>
            <w:noWrap/>
            <w:vAlign w:val="bottom"/>
            <w:hideMark/>
          </w:tcPr>
          <w:p w:rsidR="0009147A" w:rsidRPr="003D176C" w:rsidRDefault="0009147A" w:rsidP="0009147A">
            <w:pPr>
              <w:spacing w:after="0" w:line="240" w:lineRule="auto"/>
              <w:rPr>
                <w:rFonts w:ascii="Times New Roman" w:eastAsia="Times New Roman" w:hAnsi="Times New Roman" w:cs="Times New Roman"/>
                <w:sz w:val="24"/>
                <w:szCs w:val="24"/>
                <w:lang w:eastAsia="cs-CZ"/>
              </w:rPr>
            </w:pPr>
          </w:p>
        </w:tc>
        <w:tc>
          <w:tcPr>
            <w:tcW w:w="4752" w:type="dxa"/>
            <w:shd w:val="clear" w:color="auto" w:fill="auto"/>
            <w:noWrap/>
            <w:vAlign w:val="bottom"/>
            <w:hideMark/>
          </w:tcPr>
          <w:p w:rsidR="0009147A" w:rsidRPr="003D176C" w:rsidRDefault="0009147A" w:rsidP="0009147A">
            <w:pPr>
              <w:spacing w:after="0" w:line="240" w:lineRule="auto"/>
              <w:jc w:val="both"/>
              <w:rPr>
                <w:rFonts w:ascii="Times New Roman" w:eastAsia="Times New Roman" w:hAnsi="Times New Roman" w:cs="Times New Roman"/>
                <w:sz w:val="24"/>
                <w:szCs w:val="24"/>
                <w:lang w:eastAsia="cs-CZ"/>
              </w:rPr>
            </w:pPr>
            <w:r w:rsidRPr="003D176C">
              <w:rPr>
                <w:rFonts w:ascii="Times New Roman" w:eastAsia="Times New Roman" w:hAnsi="Times New Roman" w:cs="Times New Roman"/>
                <w:sz w:val="24"/>
                <w:szCs w:val="24"/>
                <w:lang w:eastAsia="cs-CZ"/>
              </w:rPr>
              <w:t>Ing. Petr Foukal, místopředseda představenstva</w:t>
            </w:r>
          </w:p>
        </w:tc>
      </w:tr>
    </w:tbl>
    <w:p w:rsidR="0009147A" w:rsidRPr="003D176C" w:rsidRDefault="0009147A" w:rsidP="0009147A">
      <w:pPr>
        <w:spacing w:line="240" w:lineRule="auto"/>
        <w:rPr>
          <w:rFonts w:ascii="Times New Roman" w:eastAsia="Calibri" w:hAnsi="Times New Roman" w:cs="Times New Roman"/>
          <w:sz w:val="24"/>
          <w:szCs w:val="24"/>
        </w:rPr>
        <w:sectPr w:rsidR="0009147A" w:rsidRPr="003D176C" w:rsidSect="00D30442">
          <w:type w:val="continuous"/>
          <w:pgSz w:w="11906" w:h="16838"/>
          <w:pgMar w:top="1021" w:right="1021" w:bottom="1021" w:left="1021" w:header="708" w:footer="708" w:gutter="0"/>
          <w:cols w:sep="1" w:space="282"/>
          <w:docGrid w:linePitch="360"/>
        </w:sectPr>
      </w:pPr>
    </w:p>
    <w:p w:rsidR="009B7C48" w:rsidRPr="003D176C" w:rsidRDefault="009B7C48"/>
    <w:sectPr w:rsidR="009B7C48" w:rsidRPr="003D17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16" w:rsidRDefault="00AB0716">
      <w:pPr>
        <w:spacing w:after="0" w:line="240" w:lineRule="auto"/>
      </w:pPr>
      <w:r>
        <w:separator/>
      </w:r>
    </w:p>
  </w:endnote>
  <w:endnote w:type="continuationSeparator" w:id="0">
    <w:p w:rsidR="00AB0716" w:rsidRDefault="00AB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6C" w:rsidRDefault="003D17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8140"/>
      <w:docPartObj>
        <w:docPartGallery w:val="Page Numbers (Bottom of Page)"/>
        <w:docPartUnique/>
      </w:docPartObj>
    </w:sdtPr>
    <w:sdtEndPr/>
    <w:sdtContent>
      <w:sdt>
        <w:sdtPr>
          <w:id w:val="37899341"/>
          <w:docPartObj>
            <w:docPartGallery w:val="Page Numbers (Top of Page)"/>
            <w:docPartUnique/>
          </w:docPartObj>
        </w:sdtPr>
        <w:sdtEndPr/>
        <w:sdtContent>
          <w:p w:rsidR="00326F3E" w:rsidRDefault="0009147A">
            <w:pPr>
              <w:pStyle w:val="Zpat"/>
              <w:jc w:val="right"/>
            </w:pPr>
            <w:r>
              <w:t xml:space="preserve">Stránka </w:t>
            </w:r>
            <w:r>
              <w:rPr>
                <w:b/>
                <w:sz w:val="24"/>
                <w:szCs w:val="24"/>
              </w:rPr>
              <w:fldChar w:fldCharType="begin"/>
            </w:r>
            <w:r>
              <w:rPr>
                <w:b/>
              </w:rPr>
              <w:instrText>PAGE</w:instrText>
            </w:r>
            <w:r>
              <w:rPr>
                <w:b/>
                <w:sz w:val="24"/>
                <w:szCs w:val="24"/>
              </w:rPr>
              <w:fldChar w:fldCharType="separate"/>
            </w:r>
            <w:r w:rsidR="003D176C">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D176C">
              <w:rPr>
                <w:b/>
                <w:noProof/>
              </w:rPr>
              <w:t>4</w:t>
            </w:r>
            <w:r>
              <w:rPr>
                <w:b/>
                <w:sz w:val="24"/>
                <w:szCs w:val="24"/>
              </w:rPr>
              <w:fldChar w:fldCharType="end"/>
            </w:r>
          </w:p>
        </w:sdtContent>
      </w:sdt>
    </w:sdtContent>
  </w:sdt>
  <w:p w:rsidR="00326F3E" w:rsidRDefault="00AB071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6C" w:rsidRDefault="003D17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16" w:rsidRDefault="00AB0716">
      <w:pPr>
        <w:spacing w:after="0" w:line="240" w:lineRule="auto"/>
      </w:pPr>
      <w:r>
        <w:separator/>
      </w:r>
    </w:p>
  </w:footnote>
  <w:footnote w:type="continuationSeparator" w:id="0">
    <w:p w:rsidR="00AB0716" w:rsidRDefault="00AB0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6C" w:rsidRDefault="003D17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6C" w:rsidRDefault="003D176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6C" w:rsidRDefault="003D17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4055D1"/>
    <w:multiLevelType w:val="hybridMultilevel"/>
    <w:tmpl w:val="1F1619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A5A429F"/>
    <w:multiLevelType w:val="hybridMultilevel"/>
    <w:tmpl w:val="1464966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ED70255"/>
    <w:multiLevelType w:val="hybridMultilevel"/>
    <w:tmpl w:val="5E182B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A0D118C"/>
    <w:multiLevelType w:val="hybridMultilevel"/>
    <w:tmpl w:val="414E9B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FCB6D78"/>
    <w:multiLevelType w:val="hybridMultilevel"/>
    <w:tmpl w:val="C1F08652"/>
    <w:lvl w:ilvl="0" w:tplc="04050013">
      <w:start w:val="1"/>
      <w:numFmt w:val="upperRoman"/>
      <w:lvlText w:val="%1."/>
      <w:lvlJc w:val="right"/>
      <w:pPr>
        <w:ind w:left="720" w:hanging="360"/>
      </w:pPr>
    </w:lvl>
    <w:lvl w:ilvl="1" w:tplc="8CDE9DF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4A53BF3"/>
    <w:multiLevelType w:val="hybridMultilevel"/>
    <w:tmpl w:val="1F1619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DBE3C8B"/>
    <w:multiLevelType w:val="hybridMultilevel"/>
    <w:tmpl w:val="9E803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7A"/>
    <w:rsid w:val="0009147A"/>
    <w:rsid w:val="003D176C"/>
    <w:rsid w:val="009B7C48"/>
    <w:rsid w:val="00AB0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9147A"/>
    <w:pPr>
      <w:tabs>
        <w:tab w:val="center" w:pos="4536"/>
        <w:tab w:val="right" w:pos="9072"/>
      </w:tabs>
      <w:spacing w:after="0" w:line="240" w:lineRule="auto"/>
      <w:jc w:val="both"/>
    </w:pPr>
    <w:rPr>
      <w:rFonts w:ascii="Times New Roman" w:eastAsia="Calibri" w:hAnsi="Times New Roman" w:cs="Times New Roman"/>
    </w:rPr>
  </w:style>
  <w:style w:type="character" w:customStyle="1" w:styleId="ZpatChar">
    <w:name w:val="Zápatí Char"/>
    <w:basedOn w:val="Standardnpsmoodstavce"/>
    <w:link w:val="Zpat"/>
    <w:uiPriority w:val="99"/>
    <w:rsid w:val="0009147A"/>
    <w:rPr>
      <w:rFonts w:ascii="Times New Roman" w:eastAsia="Calibri" w:hAnsi="Times New Roman" w:cs="Times New Roman"/>
    </w:rPr>
  </w:style>
  <w:style w:type="paragraph" w:styleId="Zhlav">
    <w:name w:val="header"/>
    <w:basedOn w:val="Normln"/>
    <w:link w:val="ZhlavChar"/>
    <w:uiPriority w:val="99"/>
    <w:unhideWhenUsed/>
    <w:rsid w:val="003D17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9147A"/>
    <w:pPr>
      <w:tabs>
        <w:tab w:val="center" w:pos="4536"/>
        <w:tab w:val="right" w:pos="9072"/>
      </w:tabs>
      <w:spacing w:after="0" w:line="240" w:lineRule="auto"/>
      <w:jc w:val="both"/>
    </w:pPr>
    <w:rPr>
      <w:rFonts w:ascii="Times New Roman" w:eastAsia="Calibri" w:hAnsi="Times New Roman" w:cs="Times New Roman"/>
    </w:rPr>
  </w:style>
  <w:style w:type="character" w:customStyle="1" w:styleId="ZpatChar">
    <w:name w:val="Zápatí Char"/>
    <w:basedOn w:val="Standardnpsmoodstavce"/>
    <w:link w:val="Zpat"/>
    <w:uiPriority w:val="99"/>
    <w:rsid w:val="0009147A"/>
    <w:rPr>
      <w:rFonts w:ascii="Times New Roman" w:eastAsia="Calibri" w:hAnsi="Times New Roman" w:cs="Times New Roman"/>
    </w:rPr>
  </w:style>
  <w:style w:type="paragraph" w:styleId="Zhlav">
    <w:name w:val="header"/>
    <w:basedOn w:val="Normln"/>
    <w:link w:val="ZhlavChar"/>
    <w:uiPriority w:val="99"/>
    <w:unhideWhenUsed/>
    <w:rsid w:val="003D17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5125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dc:creator>
  <cp:lastModifiedBy>PC-Kristýna</cp:lastModifiedBy>
  <cp:revision>2</cp:revision>
  <dcterms:created xsi:type="dcterms:W3CDTF">2018-03-22T12:56:00Z</dcterms:created>
  <dcterms:modified xsi:type="dcterms:W3CDTF">2018-05-17T11:33:00Z</dcterms:modified>
</cp:coreProperties>
</file>