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4F614E" w:rsidRPr="003D10E4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4F614E" w:rsidRPr="00FD776F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4F614E" w:rsidRPr="00FF64BD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4F614E" w:rsidRPr="009B6FF7" w:rsidRDefault="00FB0310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>
        <w:rPr>
          <w:rFonts w:ascii="SabonCE" w:hAnsi="SabonCE"/>
          <w:b/>
          <w:color w:val="000000"/>
        </w:rPr>
        <w:t>Ústav organické chemie a biochemie AV ČR, v. v. i.</w:t>
      </w:r>
      <w:r w:rsidR="004F614E" w:rsidRPr="009B6FF7">
        <w:rPr>
          <w:rFonts w:ascii="SabonCE" w:hAnsi="SabonCE"/>
          <w:b/>
          <w:color w:val="000000"/>
        </w:rPr>
        <w:t xml:space="preserve">, </w:t>
      </w:r>
      <w:r w:rsidR="004F614E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61388963</w:t>
      </w:r>
      <w:r w:rsidR="004F614E" w:rsidRPr="009B6FF7">
        <w:rPr>
          <w:rFonts w:ascii="SabonCE" w:hAnsi="SabonCE"/>
        </w:rPr>
        <w:t xml:space="preserve">, se sídlem </w:t>
      </w:r>
      <w:r>
        <w:rPr>
          <w:rFonts w:ascii="SabonCE" w:hAnsi="SabonCE"/>
          <w:color w:val="000000"/>
        </w:rPr>
        <w:t>Flemingovo nám. 542/2, 166 10 Praha 6</w:t>
      </w:r>
      <w:r w:rsidR="004F614E" w:rsidRPr="009B6FF7">
        <w:rPr>
          <w:rFonts w:ascii="SabonCE" w:hAnsi="SabonCE"/>
        </w:rPr>
        <w:t xml:space="preserve"> 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  <w:r w:rsidR="00A96A84">
        <w:rPr>
          <w:rFonts w:ascii="SabonCE" w:hAnsi="SabonCE"/>
          <w:color w:val="FF0000"/>
        </w:rPr>
        <w:t xml:space="preserve">                            </w:t>
      </w:r>
      <w:r w:rsidR="00FB0310" w:rsidRPr="00FB0310">
        <w:rPr>
          <w:rFonts w:ascii="SabonCE" w:hAnsi="SabonCE"/>
        </w:rPr>
        <w:t>ředitelem</w:t>
      </w:r>
      <w:r w:rsidRPr="00FB0310">
        <w:rPr>
          <w:rFonts w:ascii="SabonCE" w:hAnsi="SabonCE"/>
        </w:rPr>
        <w:t xml:space="preserve"> 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1E3904" w:rsidRPr="009B6FF7" w:rsidRDefault="001E3904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FE41CD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 xml:space="preserve">a Ceníkem, </w:t>
      </w:r>
      <w:r w:rsidR="00E51F77" w:rsidRPr="00E82994">
        <w:rPr>
          <w:rFonts w:ascii="SabonCE" w:hAnsi="SabonCE"/>
        </w:rPr>
        <w:t>které tvoří nedílnou součást Rámcové smlouvy.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1E3904" w:rsidRDefault="001E3904" w:rsidP="00F07F65">
      <w:pPr>
        <w:spacing w:before="240"/>
        <w:ind w:left="142" w:hanging="426"/>
        <w:jc w:val="center"/>
        <w:rPr>
          <w:rFonts w:ascii="SabonCE" w:hAnsi="SabonCE"/>
          <w:b/>
        </w:rPr>
      </w:pP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55362D">
        <w:rPr>
          <w:rFonts w:ascii="SabonCE" w:hAnsi="SabonCE"/>
        </w:rPr>
        <w:t xml:space="preserve"> - </w:t>
      </w:r>
      <w:r w:rsidR="006A74F4" w:rsidRPr="00E82994">
        <w:rPr>
          <w:rFonts w:ascii="SabonCE" w:hAnsi="SabonCE"/>
        </w:rPr>
        <w:t>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lastRenderedPageBreak/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55362D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</w:t>
      </w:r>
    </w:p>
    <w:p w:rsidR="00FA0FAF" w:rsidRDefault="00FA0FAF" w:rsidP="00551A69">
      <w:pPr>
        <w:keepLines/>
        <w:autoSpaceDE w:val="0"/>
        <w:autoSpaceDN w:val="0"/>
        <w:adjustRightInd w:val="0"/>
        <w:ind w:left="142" w:firstLine="0"/>
        <w:rPr>
          <w:rFonts w:ascii="SabonCE" w:hAnsi="SabonCE"/>
          <w:b/>
        </w:rPr>
      </w:pPr>
      <w:r>
        <w:rPr>
          <w:rFonts w:ascii="SabonCE" w:hAnsi="SabonCE"/>
          <w:b/>
        </w:rPr>
        <w:t>Změny ustanovení VOP:</w:t>
      </w:r>
    </w:p>
    <w:p w:rsidR="00FA0FAF" w:rsidRPr="00C247E3" w:rsidRDefault="00FA0FAF" w:rsidP="00FA0FAF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  <w:b/>
        </w:rPr>
      </w:pPr>
      <w:r w:rsidRPr="00C247E3">
        <w:rPr>
          <w:rFonts w:ascii="SabonCE" w:hAnsi="SabonCE"/>
          <w:b/>
        </w:rPr>
        <w:t>odst. 3.10.4 Klient výslovně prohlašuje a souhlasí s tím, že Banka je oprávněna započíst jakékoli své splatné i nesplatné a Klientem řádně a včas neuhrazené peněžité pohledávky z jakýchkoli smluvních vztahů uzavřených s Bankou proti splatným i nesplatným pohledávkám Klienta za Bankou, a to z kteréhokoliv Účtu Klienta vedeného Bankou.</w:t>
      </w:r>
    </w:p>
    <w:p w:rsidR="00FA0FAF" w:rsidRPr="00C247E3" w:rsidRDefault="00FA0FAF" w:rsidP="00FA0FAF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  <w:b/>
        </w:rPr>
      </w:pPr>
      <w:r w:rsidRPr="00C247E3">
        <w:rPr>
          <w:rFonts w:ascii="SabonCE" w:hAnsi="SabonCE"/>
          <w:b/>
        </w:rPr>
        <w:t xml:space="preserve">odst. 3.10.7. Banka je oprávněna převést práva a povinnosti ze Smlouvy nebo její části na třetí osobu </w:t>
      </w:r>
      <w:r>
        <w:rPr>
          <w:rFonts w:ascii="SabonCE" w:hAnsi="SabonCE"/>
          <w:b/>
        </w:rPr>
        <w:t>v případech stanovených závaznou právní úpravou či v jiných odůvodněných případech, kdy tak uzná Banka za vhodné</w:t>
      </w:r>
      <w:r w:rsidRPr="00C247E3">
        <w:rPr>
          <w:rFonts w:ascii="SabonCE" w:hAnsi="SabonCE"/>
          <w:b/>
        </w:rPr>
        <w:t>. K takovému převodu uděluje Klient Bance výslovný souhlas, v ostatních případech je nutné k převodu povinností mít předchozí souhlas Klienta. Postoupení Smlouvy je vůči Klientovi účinné okamžikem doručení oznámení o postoupení Smlouvy Bankou Klientovi nebo okamžikem, kdy třetí osoba Klientovi postoupení Smlouvy prokáže.</w:t>
      </w:r>
    </w:p>
    <w:p w:rsidR="00FA0FAF" w:rsidRPr="00C247E3" w:rsidRDefault="00FA0FAF" w:rsidP="00FA0FAF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  <w:b/>
        </w:rPr>
      </w:pPr>
      <w:r w:rsidRPr="00C247E3">
        <w:rPr>
          <w:rFonts w:ascii="SabonCE" w:hAnsi="SabonCE"/>
          <w:b/>
        </w:rPr>
        <w:t xml:space="preserve">odst. 3.10.8. Smluvní strany se dohodly, že v případech, kdy to neodporuje právním předpisům, se veškerá práva a pohledávky </w:t>
      </w:r>
      <w:r>
        <w:rPr>
          <w:rFonts w:ascii="SabonCE" w:hAnsi="SabonCE"/>
          <w:b/>
        </w:rPr>
        <w:t xml:space="preserve">na základě Smlouvy </w:t>
      </w:r>
      <w:r w:rsidRPr="00C247E3">
        <w:rPr>
          <w:rFonts w:ascii="SabonCE" w:hAnsi="SabonCE"/>
          <w:b/>
        </w:rPr>
        <w:t xml:space="preserve">promlčují ve lhůtě </w:t>
      </w:r>
      <w:r>
        <w:rPr>
          <w:rFonts w:ascii="SabonCE" w:hAnsi="SabonCE"/>
          <w:b/>
        </w:rPr>
        <w:t>deseti</w:t>
      </w:r>
      <w:r w:rsidRPr="00C247E3">
        <w:rPr>
          <w:rFonts w:ascii="SabonCE" w:hAnsi="SabonCE"/>
          <w:b/>
        </w:rPr>
        <w:t xml:space="preserve"> let ode dne, kdy mohla být vykonána/uplatněna poprvé.</w:t>
      </w:r>
    </w:p>
    <w:p w:rsidR="001E3904" w:rsidRDefault="001E3904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A96A84">
        <w:rPr>
          <w:rFonts w:ascii="SabonCE" w:hAnsi="SabonCE"/>
        </w:rPr>
        <w:t xml:space="preserve">mlouvy ve smyslu ustanovení </w:t>
      </w:r>
      <w:r w:rsidR="00B0147B" w:rsidRPr="00E82994">
        <w:rPr>
          <w:rFonts w:ascii="SabonCE" w:hAnsi="SabonCE"/>
        </w:rPr>
        <w:t xml:space="preserve">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1815E2" w:rsidRPr="00FB0310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FB0310">
        <w:rPr>
          <w:rFonts w:ascii="SabonCE" w:hAnsi="SabonCE"/>
        </w:rPr>
        <w:t>Rámcová smlouva nabývá platnosti a účinnosti dnem podpisu oběma smluvními stranami.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lastRenderedPageBreak/>
        <w:t>Rámcová smlouva je vyhotovena ve dvou stejnopisech, z nichž každý má platnost originálu. Každá smluvní strana obdrží po jednom vyhotovení.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(ii)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 xml:space="preserve">i)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 xml:space="preserve">(iv)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FB0310" w:rsidRDefault="00FB0310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3.2.12.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>lánek 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 xml:space="preserve">vyloučení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Internetbanking</w:t>
      </w:r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1E3904" w:rsidRDefault="001E3904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lastRenderedPageBreak/>
        <w:t>KOP pro Homebanking</w:t>
      </w:r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7.3. </w:t>
      </w:r>
      <w:r w:rsidR="00745669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p w:rsidR="001E3904" w:rsidRPr="00745669" w:rsidRDefault="001E3904" w:rsidP="001E3904">
      <w:pPr>
        <w:keepLines/>
        <w:autoSpaceDE w:val="0"/>
        <w:autoSpaceDN w:val="0"/>
        <w:adjustRightInd w:val="0"/>
        <w:spacing w:after="240"/>
        <w:ind w:left="567" w:firstLine="0"/>
        <w:rPr>
          <w:rFonts w:ascii="SabonCE" w:hAnsi="SabonCE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32C9B" w:rsidRPr="00155911" w:rsidTr="00B6617D">
        <w:tc>
          <w:tcPr>
            <w:tcW w:w="3969" w:type="dxa"/>
          </w:tcPr>
          <w:p w:rsidR="00C32C9B" w:rsidRPr="00155911" w:rsidRDefault="00E82994" w:rsidP="00FB0310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  <w:r w:rsidR="00A96A84">
              <w:rPr>
                <w:rFonts w:ascii="SabonCE" w:hAnsi="SabonCE"/>
                <w:snapToGrid w:val="0"/>
                <w:color w:val="000000"/>
              </w:rPr>
              <w:t>14.10.2014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FB0310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  <w:r w:rsidR="00A96A84">
              <w:rPr>
                <w:rFonts w:ascii="SabonCE" w:hAnsi="SabonCE"/>
                <w:snapToGrid w:val="0"/>
                <w:color w:val="000000"/>
              </w:rPr>
              <w:t>14.10.2014</w:t>
            </w: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FB0310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FB0310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FB0310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Ústav organické chemie a biochemie</w:t>
            </w: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FB0310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AV ČR, v. v. i.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B6617D">
        <w:tc>
          <w:tcPr>
            <w:tcW w:w="396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  <w:bookmarkStart w:id="1" w:name="_GoBack"/>
      <w:bookmarkEnd w:id="1"/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09" w:rsidRDefault="00A00709">
      <w:r>
        <w:separator/>
      </w:r>
    </w:p>
  </w:endnote>
  <w:endnote w:type="continuationSeparator" w:id="0">
    <w:p w:rsidR="00A00709" w:rsidRDefault="00A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A96A84">
      <w:rPr>
        <w:rFonts w:ascii="SabonCE" w:hAnsi="SabonCE"/>
        <w:noProof/>
        <w:sz w:val="16"/>
        <w:szCs w:val="16"/>
      </w:rPr>
      <w:t>2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A96A84">
      <w:rPr>
        <w:rFonts w:ascii="SabonCE" w:hAnsi="SabonCE"/>
        <w:noProof/>
        <w:sz w:val="16"/>
        <w:szCs w:val="16"/>
      </w:rPr>
      <w:t>4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09" w:rsidRDefault="00A00709">
      <w:r>
        <w:separator/>
      </w:r>
    </w:p>
  </w:footnote>
  <w:footnote w:type="continuationSeparator" w:id="0">
    <w:p w:rsidR="00A00709" w:rsidRDefault="00A0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3904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690E"/>
    <w:rsid w:val="00407F9D"/>
    <w:rsid w:val="004142DF"/>
    <w:rsid w:val="00414DC9"/>
    <w:rsid w:val="00416571"/>
    <w:rsid w:val="00420175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4F73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0A93"/>
    <w:rsid w:val="00551233"/>
    <w:rsid w:val="00551A69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57200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4BEA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06EA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3E8D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0709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187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96A84"/>
    <w:rsid w:val="00AA0284"/>
    <w:rsid w:val="00AA1A2C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19E8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26D0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3E02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36D5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0FAF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0310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EC40-1B88-41CA-84BC-6EA7114F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Stiegerová Lenka W7</cp:lastModifiedBy>
  <cp:revision>2</cp:revision>
  <cp:lastPrinted>2014-10-09T06:56:00Z</cp:lastPrinted>
  <dcterms:created xsi:type="dcterms:W3CDTF">2018-05-17T07:55:00Z</dcterms:created>
  <dcterms:modified xsi:type="dcterms:W3CDTF">2018-05-17T07:55:00Z</dcterms:modified>
</cp:coreProperties>
</file>