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right="858.0708661417316" w:firstLine="0"/>
        <w:contextualSpacing w:val="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contextualSpacing w:val="0"/>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20"/>
                <w:szCs w:val="20"/>
              </w:rPr>
            </w:pPr>
            <w:r w:rsidDel="00000000" w:rsidR="00000000" w:rsidRPr="00000000">
              <w:rPr>
                <w:color w:val="333333"/>
                <w:sz w:val="20"/>
                <w:szCs w:val="20"/>
                <w:rtl w:val="0"/>
              </w:rPr>
              <w:t xml:space="preserve">Lentilka - integrační školka a rehabilitační centrum</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right="-273.0708661417316" w:firstLine="0"/>
              <w:contextualSpacing w:val="0"/>
              <w:jc w:val="both"/>
              <w:rPr>
                <w:color w:val="333333"/>
                <w:sz w:val="20"/>
                <w:szCs w:val="20"/>
              </w:rPr>
            </w:pPr>
            <w:r w:rsidDel="00000000" w:rsidR="00000000" w:rsidRPr="00000000">
              <w:rPr>
                <w:color w:val="333333"/>
                <w:sz w:val="20"/>
                <w:szCs w:val="20"/>
                <w:rtl w:val="0"/>
              </w:rPr>
              <w:t xml:space="preserve">Prodloužená 278, Polabiny, 530 09 Pardubice</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color w:val="333333"/>
                <w:sz w:val="20"/>
                <w:szCs w:val="20"/>
              </w:rPr>
            </w:pPr>
            <w:r w:rsidDel="00000000" w:rsidR="00000000" w:rsidRPr="00000000">
              <w:rPr>
                <w:color w:val="333333"/>
                <w:sz w:val="20"/>
                <w:szCs w:val="20"/>
                <w:rtl w:val="0"/>
              </w:rPr>
              <w:t xml:space="preserve">00190730</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0" w:firstLine="0"/>
              <w:contextualSpacing w:val="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sz w:val="20"/>
                <w:szCs w:val="20"/>
              </w:rPr>
            </w:pPr>
            <w:r w:rsidDel="00000000" w:rsidR="00000000" w:rsidRPr="00000000">
              <w:rPr>
                <w:sz w:val="20"/>
                <w:szCs w:val="20"/>
                <w:rtl w:val="0"/>
              </w:rPr>
              <w:t xml:space="preserve">Mgr. GABRIELA BĚLKOVÁ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contextualSpacing w:val="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0" w:firstLine="0"/>
              <w:contextualSpacing w:val="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333333"/>
                <w:sz w:val="20"/>
                <w:szCs w:val="20"/>
              </w:rPr>
            </w:pPr>
            <w:r w:rsidDel="00000000" w:rsidR="00000000" w:rsidRPr="00000000">
              <w:rPr>
                <w:color w:val="333333"/>
                <w:sz w:val="20"/>
                <w:szCs w:val="20"/>
                <w:rtl w:val="0"/>
              </w:rPr>
              <w:t xml:space="preserve">Pr 1454 vedená u Krajského soudu v Hradci Králové</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sz w:val="12"/>
          <w:szCs w:val="12"/>
        </w:rPr>
      </w:pPr>
      <w:r w:rsidDel="00000000" w:rsidR="00000000" w:rsidRPr="00000000">
        <w:rPr>
          <w:rtl w:val="0"/>
        </w:rPr>
      </w:r>
    </w:p>
    <w:tbl>
      <w:tblPr>
        <w:tblStyle w:val="Table6"/>
        <w:tblW w:w="9465.0" w:type="dxa"/>
        <w:jc w:val="left"/>
        <w:tblInd w:w="820.0" w:type="dxa"/>
        <w:tblLayout w:type="fixed"/>
        <w:tblLook w:val="0600"/>
      </w:tblPr>
      <w:tblGrid>
        <w:gridCol w:w="1245"/>
        <w:gridCol w:w="8220"/>
        <w:tblGridChange w:id="0">
          <w:tblGrid>
            <w:gridCol w:w="1245"/>
            <w:gridCol w:w="822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0" w:firstLine="0"/>
              <w:contextualSpacing w:val="0"/>
              <w:rPr>
                <w:sz w:val="20"/>
                <w:szCs w:val="20"/>
              </w:rPr>
            </w:pPr>
            <w:r w:rsidDel="00000000" w:rsidR="00000000" w:rsidRPr="00000000">
              <w:rPr>
                <w:sz w:val="20"/>
                <w:szCs w:val="20"/>
                <w:rtl w:val="0"/>
              </w:rPr>
              <w:t xml:space="preserve">Číslo účtu: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4.60629921259738" w:firstLine="0"/>
              <w:contextualSpacing w:val="0"/>
              <w:jc w:val="left"/>
              <w:rPr>
                <w:sz w:val="20"/>
                <w:szCs w:val="20"/>
              </w:rPr>
            </w:pPr>
            <w:r w:rsidDel="00000000" w:rsidR="00000000" w:rsidRPr="00000000">
              <w:rPr>
                <w:sz w:val="20"/>
                <w:szCs w:val="20"/>
                <w:rtl w:val="0"/>
              </w:rPr>
              <w:t xml:space="preserve">33531561/0100</w:t>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12"/>
          <w:szCs w:val="1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ind w:left="720" w:firstLine="0"/>
        <w:contextualSpacing w:val="0"/>
        <w:jc w:val="both"/>
        <w:rPr>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contextualSpacing w:val="0"/>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1"/>
              </w:numPr>
              <w:pBdr>
                <w:top w:space="0" w:sz="0" w:val="nil"/>
                <w:left w:color="000000" w:space="2" w:sz="8" w:val="single"/>
                <w:bottom w:color="000000" w:space="2" w:sz="8" w:val="single"/>
                <w:right w:color="000000" w:space="2" w:sz="8" w:val="single"/>
                <w:between w:color="000000" w:space="2" w:sz="8" w:val="single"/>
              </w:pBdr>
              <w:shd w:fill="auto" w:val="clear"/>
              <w:spacing w:line="276" w:lineRule="auto"/>
              <w:ind w:left="425.19685039370086" w:right="-124.60629921259908" w:hanging="360"/>
              <w:contextualSpacing w:val="1"/>
              <w:jc w:val="both"/>
              <w:rPr>
                <w:sz w:val="20"/>
                <w:szCs w:val="20"/>
                <w:u w:val="none"/>
              </w:rPr>
            </w:pPr>
            <w:r w:rsidDel="00000000" w:rsidR="00000000" w:rsidRPr="00000000">
              <w:rPr>
                <w:sz w:val="20"/>
                <w:szCs w:val="20"/>
                <w:rtl w:val="0"/>
              </w:rPr>
              <w:t xml:space="preserve">MultiBoard 140 cm | Interaktivní displej 55” | Ultra HD (4K) | 20 současných dotyků</w:t>
            </w:r>
          </w:p>
          <w:p w:rsidR="00000000" w:rsidDel="00000000" w:rsidP="00000000" w:rsidRDefault="00000000" w:rsidRPr="00000000" w14:paraId="00000030">
            <w:pPr>
              <w:numPr>
                <w:ilvl w:val="0"/>
                <w:numId w:val="1"/>
              </w:numPr>
              <w:pBdr>
                <w:top w:color="000000" w:space="2" w:sz="8" w:val="single"/>
                <w:left w:color="000000" w:space="2" w:sz="8" w:val="single"/>
                <w:bottom w:color="000000" w:space="2" w:sz="8" w:val="single"/>
                <w:right w:color="000000" w:space="2" w:sz="8" w:val="single"/>
                <w:between w:color="000000" w:space="2" w:sz="8" w:val="single"/>
              </w:pBdr>
              <w:shd w:fill="auto" w:val="clear"/>
              <w:spacing w:line="276" w:lineRule="auto"/>
              <w:ind w:left="425.19685039370086" w:right="-124.60629921259908" w:hanging="360"/>
              <w:contextualSpacing w:val="1"/>
              <w:jc w:val="both"/>
              <w:rPr>
                <w:sz w:val="20"/>
                <w:szCs w:val="20"/>
                <w:u w:val="none"/>
              </w:rPr>
            </w:pPr>
            <w:r w:rsidDel="00000000" w:rsidR="00000000" w:rsidRPr="00000000">
              <w:rPr>
                <w:sz w:val="20"/>
                <w:szCs w:val="20"/>
                <w:rtl w:val="0"/>
              </w:rPr>
              <w:t xml:space="preserve">Počítač Windows + Android | Intel® Core™ i5 | 4 GB | SSD 128 GB | Wi-Fi | OS Windows 10 Pro | OS Android</w:t>
            </w:r>
          </w:p>
          <w:p w:rsidR="00000000" w:rsidDel="00000000" w:rsidP="00000000" w:rsidRDefault="00000000" w:rsidRPr="00000000" w14:paraId="00000031">
            <w:pPr>
              <w:numPr>
                <w:ilvl w:val="0"/>
                <w:numId w:val="1"/>
              </w:numPr>
              <w:pBdr>
                <w:top w:color="000000" w:space="2" w:sz="8" w:val="single"/>
                <w:left w:color="000000" w:space="2" w:sz="8" w:val="single"/>
                <w:bottom w:color="000000" w:space="2" w:sz="8" w:val="single"/>
                <w:right w:color="000000" w:space="2" w:sz="8" w:val="single"/>
                <w:between w:color="000000" w:space="2" w:sz="8" w:val="single"/>
              </w:pBdr>
              <w:shd w:fill="auto" w:val="clear"/>
              <w:spacing w:line="276" w:lineRule="auto"/>
              <w:ind w:left="425.19685039370086" w:right="-124.60629921259908" w:hanging="360"/>
              <w:contextualSpacing w:val="1"/>
              <w:jc w:val="both"/>
              <w:rPr>
                <w:sz w:val="20"/>
                <w:szCs w:val="20"/>
                <w:u w:val="none"/>
              </w:rPr>
            </w:pPr>
            <w:r w:rsidDel="00000000" w:rsidR="00000000" w:rsidRPr="00000000">
              <w:rPr>
                <w:sz w:val="20"/>
                <w:szCs w:val="20"/>
                <w:rtl w:val="0"/>
              </w:rPr>
              <w:t xml:space="preserve">Multifunkční kovový stojan s ochranným krytem</w:t>
            </w:r>
          </w:p>
          <w:p w:rsidR="00000000" w:rsidDel="00000000" w:rsidP="00000000" w:rsidRDefault="00000000" w:rsidRPr="00000000" w14:paraId="00000032">
            <w:pPr>
              <w:numPr>
                <w:ilvl w:val="0"/>
                <w:numId w:val="1"/>
              </w:numPr>
              <w:pBdr>
                <w:top w:color="000000" w:space="2" w:sz="8" w:val="single"/>
                <w:left w:color="000000" w:space="2" w:sz="8" w:val="single"/>
                <w:bottom w:space="0" w:sz="0" w:val="nil"/>
                <w:right w:color="000000" w:space="2" w:sz="8" w:val="single"/>
                <w:between w:color="000000" w:space="2" w:sz="8" w:val="single"/>
              </w:pBdr>
              <w:shd w:fill="auto" w:val="clear"/>
              <w:spacing w:line="276" w:lineRule="auto"/>
              <w:ind w:left="425.19685039370086" w:right="-124.60629921259908" w:hanging="360"/>
              <w:contextualSpacing w:val="1"/>
              <w:jc w:val="both"/>
              <w:rPr>
                <w:sz w:val="20"/>
                <w:szCs w:val="20"/>
                <w:u w:val="none"/>
              </w:rPr>
            </w:pPr>
            <w:r w:rsidDel="00000000" w:rsidR="00000000" w:rsidRPr="00000000">
              <w:rPr>
                <w:sz w:val="20"/>
                <w:szCs w:val="20"/>
                <w:rtl w:val="0"/>
              </w:rPr>
              <w:t xml:space="preserve">Barevná tiskárna EPSON </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(dále jen „Předmět koupě“). Předmět koupě je položkově specifikován v objednávce, která jako Příloha č. 1 tvoří nedílnou součást této Smlouvy.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Smluvní strany se dohodly na celkové kupní ceně za Předmět koupě ve výši</w:t>
      </w:r>
    </w:p>
    <w:tbl>
      <w:tblPr>
        <w:tblStyle w:val="Table8"/>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ind w:right="-109.60629921259908"/>
              <w:contextualSpacing w:val="0"/>
              <w:jc w:val="both"/>
              <w:rPr>
                <w:sz w:val="20"/>
                <w:szCs w:val="20"/>
              </w:rPr>
            </w:pPr>
            <w:r w:rsidDel="00000000" w:rsidR="00000000" w:rsidRPr="00000000">
              <w:rPr>
                <w:sz w:val="20"/>
                <w:szCs w:val="20"/>
                <w:rtl w:val="0"/>
              </w:rPr>
              <w:t xml:space="preserve">120.500 Kč (jedno sto dvacet tisíc pět set korun českých)</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včetně DPH (dále jen „Kupní cena“).</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sz w:val="20"/>
          <w:szCs w:val="20"/>
          <w:rtl w:val="0"/>
        </w:rPr>
        <w:t xml:space="preserve">Kupní cena bude Kupujícím zaplacena nejpozději do 25. 5. 2018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contextualSpacing w:val="0"/>
        <w:jc w:val="center"/>
        <w:rPr>
          <w:b w:val="1"/>
          <w:sz w:val="12"/>
          <w:szCs w:val="1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contextualSpacing w:val="0"/>
        <w:jc w:val="both"/>
        <w:rPr>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contextualSpacing w:val="0"/>
        <w:jc w:val="center"/>
        <w:rPr>
          <w:b w:val="1"/>
          <w:sz w:val="12"/>
          <w:szCs w:val="1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contextualSpacing w:val="0"/>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56">
      <w:pPr>
        <w:spacing w:line="276" w:lineRule="auto"/>
        <w:ind w:right="4.606299212599083"/>
        <w:contextualSpacing w:val="0"/>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7">
      <w:pPr>
        <w:spacing w:line="276" w:lineRule="auto"/>
        <w:contextualSpacing w:val="0"/>
        <w:jc w:val="center"/>
        <w:rPr>
          <w:sz w:val="20"/>
          <w:szCs w:val="20"/>
        </w:rPr>
      </w:pPr>
      <w:r w:rsidDel="00000000" w:rsidR="00000000" w:rsidRPr="00000000">
        <w:rPr>
          <w:b w:val="1"/>
          <w:sz w:val="20"/>
          <w:szCs w:val="20"/>
          <w:rtl w:val="0"/>
        </w:rPr>
        <w:t xml:space="preserve">Uveřejnění Smlouvy</w:t>
      </w:r>
      <w:r w:rsidDel="00000000" w:rsidR="00000000" w:rsidRPr="00000000">
        <w:rPr>
          <w:sz w:val="20"/>
          <w:szCs w:val="20"/>
          <w:rtl w:val="0"/>
        </w:rPr>
        <w:t xml:space="preserve"> </w:t>
      </w:r>
    </w:p>
    <w:p w:rsidR="00000000" w:rsidDel="00000000" w:rsidP="00000000" w:rsidRDefault="00000000" w:rsidRPr="00000000" w14:paraId="00000058">
      <w:pPr>
        <w:spacing w:line="276" w:lineRule="auto"/>
        <w:contextualSpacing w:val="0"/>
        <w:jc w:val="center"/>
        <w:rPr>
          <w:sz w:val="20"/>
          <w:szCs w:val="20"/>
        </w:rPr>
      </w:pPr>
      <w:r w:rsidDel="00000000" w:rsidR="00000000" w:rsidRPr="00000000">
        <w:rPr>
          <w:rtl w:val="0"/>
        </w:rPr>
      </w:r>
    </w:p>
    <w:p w:rsidR="00000000" w:rsidDel="00000000" w:rsidP="00000000" w:rsidRDefault="00000000" w:rsidRPr="00000000" w14:paraId="00000059">
      <w:pPr>
        <w:spacing w:line="276" w:lineRule="auto"/>
        <w:contextualSpacing w:val="0"/>
        <w:jc w:val="both"/>
        <w:rPr>
          <w:sz w:val="20"/>
          <w:szCs w:val="20"/>
        </w:rPr>
      </w:pPr>
      <w:r w:rsidDel="00000000" w:rsidR="00000000" w:rsidRPr="00000000">
        <w:rPr>
          <w:sz w:val="20"/>
          <w:szCs w:val="20"/>
          <w:rtl w:val="0"/>
        </w:rPr>
        <w:t xml:space="preserve">1.</w:t>
        <w:tab/>
        <w:t xml:space="preserve">Smluvní strany se dohodly, že tuto Smlouvu zašle správci registru smluv k uveřejnění prostřednictvím registru smluv Prodávající. Notifikace správce registru smluv o uveřejnění Smlouvy bude zaslána Kupujícícmu na e-mail Kupujícího. Kupující je povinen zkontrolovat, že tato Smlouva včetně všech příloh a metadat byla řádně v registru smluv uveřejněna. V případě, že Kupující zjistí jakékoli nepřesnosti či nedostatky, je povinen neprodleně o nich písemně informovat Prodávajícího. Postup uvedený v tomto odstavci se smluvní strany zavazují dodržovat i v případě uzavření jakýchkoli dalších dohod, kterými se tato Smlouva bude případně doplňovat, měnit, nahrazovat nebo rušit.</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76" w:lineRule="auto"/>
        <w:ind w:right="4.606299212599083"/>
        <w:contextualSpacing w:val="0"/>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76" w:lineRule="auto"/>
        <w:contextualSpacing w:val="0"/>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 Praze dne 15. 5. 2018</w:t>
        <w:tab/>
        <w:tab/>
        <w:tab/>
        <w:tab/>
        <w:tab/>
        <w:tab/>
        <w:t xml:space="preserve">Prodávající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V Pardubicích dne 11. 5. 2018</w:t>
        <w:tab/>
        <w:tab/>
        <w:tab/>
        <w:tab/>
        <w:tab/>
        <w:t xml:space="preserve">Kupující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pgMar w:bottom="566.9291338582677" w:top="566.9291338582677" w:left="850.3937007874016" w:right="850.393700787401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jc w:val="left"/>
      <w:rPr>
        <w:sz w:val="12"/>
        <w:szCs w:val="1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contextualSpacing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