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b/>
          <w:b/>
          <w:sz w:val="56"/>
        </w:rPr>
      </w:pPr>
      <w:r>
        <w:rPr>
          <w:b/>
          <w:sz w:val="56"/>
        </w:rPr>
      </w:r>
    </w:p>
    <w:p>
      <w:pPr>
        <w:pStyle w:val="Normal"/>
        <w:spacing w:lineRule="auto" w:line="276"/>
        <w:jc w:val="center"/>
        <w:rPr>
          <w:b/>
          <w:b/>
          <w:sz w:val="56"/>
        </w:rPr>
      </w:pPr>
      <w:r>
        <w:rPr>
          <w:b/>
          <w:sz w:val="56"/>
        </w:rPr>
        <w:t xml:space="preserve">OBCHODNÍ PODMÍNKY </w:t>
      </w:r>
    </w:p>
    <w:p>
      <w:pPr>
        <w:pStyle w:val="Normal"/>
        <w:spacing w:lineRule="auto" w:line="276"/>
        <w:jc w:val="center"/>
        <w:rPr>
          <w:b/>
          <w:b/>
          <w:i/>
          <w:i/>
          <w:sz w:val="28"/>
          <w:szCs w:val="32"/>
        </w:rPr>
      </w:pPr>
      <w:r>
        <w:rPr>
          <w:b/>
          <w:i/>
          <w:sz w:val="28"/>
          <w:szCs w:val="32"/>
        </w:rPr>
        <w:t>SMLOUVY O POSKYTOVÁNÍ SLUŽEB</w:t>
      </w:r>
      <w:r>
        <w:rPr>
          <w:b/>
          <w:sz w:val="52"/>
        </w:rPr>
        <w:t xml:space="preserve"> </w:t>
      </w:r>
      <w:r>
        <w:rPr>
          <w:b/>
          <w:i/>
          <w:sz w:val="28"/>
          <w:szCs w:val="32"/>
        </w:rPr>
        <w:t>POVĚŘENCE PRO OCHRANU OSOBNÍCH ÚDAJŮ</w:t>
      </w:r>
    </w:p>
    <w:p>
      <w:pPr>
        <w:pStyle w:val="Normal"/>
        <w:spacing w:lineRule="auto" w:line="276"/>
        <w:jc w:val="center"/>
        <w:rPr>
          <w:i/>
          <w:i/>
          <w:sz w:val="28"/>
          <w:szCs w:val="32"/>
        </w:rPr>
      </w:pPr>
      <w:r>
        <w:rPr>
          <w:i/>
          <w:sz w:val="28"/>
          <w:szCs w:val="32"/>
        </w:rPr>
        <w:t>společnosti Schola Servis GDPR, s.r.o.</w:t>
      </w:r>
    </w:p>
    <w:p>
      <w:pPr>
        <w:pStyle w:val="Normal"/>
        <w:spacing w:lineRule="auto" w:line="276"/>
        <w:rPr/>
      </w:pPr>
      <w:r>
        <w:rPr/>
      </w:r>
    </w:p>
    <w:p>
      <w:pPr>
        <w:pStyle w:val="Normal"/>
        <w:spacing w:lineRule="auto" w:line="276"/>
        <w:jc w:val="both"/>
        <w:rPr>
          <w:sz w:val="22"/>
          <w:szCs w:val="22"/>
        </w:rPr>
      </w:pPr>
      <w:r>
        <w:rPr>
          <w:sz w:val="22"/>
          <w:szCs w:val="22"/>
        </w:rPr>
        <w:t xml:space="preserve">Obchodní podmínky společnosti </w:t>
      </w:r>
      <w:r>
        <w:rPr>
          <w:b/>
          <w:sz w:val="22"/>
          <w:szCs w:val="22"/>
        </w:rPr>
        <w:t>Schola Servis GDPR, s.r.o.</w:t>
      </w:r>
      <w:r>
        <w:rPr>
          <w:sz w:val="22"/>
          <w:szCs w:val="22"/>
        </w:rPr>
        <w:t>, se sídlem Palackého 150/8, 796 01 Prostějov, IČ: 04223748, zapsané v obchodním rejstříku vedeném Krajským soudem v Ostravě, oddíl C, vložka 62862 (dále jen „</w:t>
      </w:r>
      <w:r>
        <w:rPr>
          <w:b/>
          <w:sz w:val="22"/>
          <w:szCs w:val="22"/>
        </w:rPr>
        <w:t>pověřenec</w:t>
      </w:r>
      <w:r>
        <w:rPr>
          <w:sz w:val="22"/>
          <w:szCs w:val="22"/>
        </w:rPr>
        <w:t>“).</w:t>
      </w:r>
    </w:p>
    <w:p>
      <w:pPr>
        <w:pStyle w:val="Normal"/>
        <w:spacing w:lineRule="auto" w:line="276"/>
        <w:jc w:val="both"/>
        <w:rPr>
          <w:sz w:val="22"/>
          <w:szCs w:val="22"/>
        </w:rPr>
      </w:pPr>
      <w:r>
        <w:rPr>
          <w:sz w:val="22"/>
          <w:szCs w:val="22"/>
        </w:rPr>
      </w:r>
    </w:p>
    <w:p>
      <w:pPr>
        <w:pStyle w:val="Normal"/>
        <w:spacing w:lineRule="auto" w:line="276"/>
        <w:jc w:val="both"/>
        <w:rPr>
          <w:b/>
          <w:b/>
          <w:sz w:val="22"/>
          <w:szCs w:val="22"/>
        </w:rPr>
      </w:pPr>
      <w:r>
        <w:rPr>
          <w:b/>
          <w:sz w:val="22"/>
          <w:szCs w:val="22"/>
        </w:rPr>
        <w:t xml:space="preserve">I. Všeobecná ustanovení </w:t>
      </w:r>
    </w:p>
    <w:p>
      <w:pPr>
        <w:pStyle w:val="ListParagraph"/>
        <w:numPr>
          <w:ilvl w:val="0"/>
          <w:numId w:val="9"/>
        </w:numPr>
        <w:spacing w:lineRule="auto" w:line="276"/>
        <w:jc w:val="both"/>
        <w:rPr>
          <w:sz w:val="22"/>
          <w:szCs w:val="22"/>
        </w:rPr>
      </w:pPr>
      <w:r>
        <w:rPr>
          <w:sz w:val="22"/>
          <w:szCs w:val="22"/>
        </w:rPr>
        <w:t>Tyto všeobecné obchodní podmínky (dále také jako „</w:t>
      </w:r>
      <w:r>
        <w:rPr>
          <w:b/>
          <w:sz w:val="22"/>
          <w:szCs w:val="22"/>
        </w:rPr>
        <w:t>VOP</w:t>
      </w:r>
      <w:r>
        <w:rPr>
          <w:sz w:val="22"/>
          <w:szCs w:val="22"/>
        </w:rPr>
        <w:t>“) byly zpracovány dle ustanovení zákona č. 89/2012 Sb., občanského zákoníku (dále jen „</w:t>
      </w:r>
      <w:r>
        <w:rPr>
          <w:b/>
          <w:sz w:val="22"/>
          <w:szCs w:val="22"/>
        </w:rPr>
        <w:t>NOZ</w:t>
      </w:r>
      <w:r>
        <w:rPr>
          <w:sz w:val="22"/>
          <w:szCs w:val="22"/>
        </w:rPr>
        <w:t>“) a dalších platných právních předpisů.</w:t>
      </w:r>
    </w:p>
    <w:p>
      <w:pPr>
        <w:pStyle w:val="ListParagraph"/>
        <w:numPr>
          <w:ilvl w:val="0"/>
          <w:numId w:val="9"/>
        </w:numPr>
        <w:spacing w:lineRule="auto" w:line="276"/>
        <w:jc w:val="both"/>
        <w:rPr>
          <w:sz w:val="22"/>
          <w:szCs w:val="22"/>
        </w:rPr>
      </w:pPr>
      <w:r>
        <w:rPr>
          <w:sz w:val="22"/>
          <w:szCs w:val="22"/>
        </w:rPr>
        <w:t>VOP upravují v souladu s ustanoveními § 1751 odst. 1 NOZ vzájemná práva a povinnosti vzniklé v souvislosti nebo na základě Smlouvy o poskytování služeb pověřence pro ochranu osobních údajů (dále jen „</w:t>
      </w:r>
      <w:r>
        <w:rPr>
          <w:b/>
          <w:sz w:val="22"/>
          <w:szCs w:val="22"/>
        </w:rPr>
        <w:t>Smlouvy</w:t>
      </w:r>
      <w:r>
        <w:rPr>
          <w:sz w:val="22"/>
          <w:szCs w:val="22"/>
        </w:rPr>
        <w:t>“) mezi pověřencem a buď spotřebitelem ve smyslu § 2 odst. 2 písm. a) zákona č. 634/1992 Sb., o ochraně spotřebitele nebo podnikatelem, který při uzavírání a plnění smlouvy jedná v rámci své podnikatelské činnosti (oba dále jen jako „</w:t>
      </w:r>
      <w:r>
        <w:rPr>
          <w:b/>
          <w:sz w:val="22"/>
          <w:szCs w:val="22"/>
        </w:rPr>
        <w:t>Klient</w:t>
      </w:r>
      <w:r>
        <w:rPr>
          <w:sz w:val="22"/>
          <w:szCs w:val="22"/>
        </w:rPr>
        <w:t>“) a (pověřenec a Klient společně také jako „</w:t>
      </w:r>
      <w:r>
        <w:rPr>
          <w:b/>
          <w:sz w:val="22"/>
          <w:szCs w:val="22"/>
        </w:rPr>
        <w:t>Strany</w:t>
      </w:r>
      <w:r>
        <w:rPr>
          <w:sz w:val="22"/>
          <w:szCs w:val="22"/>
        </w:rPr>
        <w:t xml:space="preserve">“). </w:t>
      </w:r>
    </w:p>
    <w:p>
      <w:pPr>
        <w:pStyle w:val="ListParagraph"/>
        <w:numPr>
          <w:ilvl w:val="0"/>
          <w:numId w:val="9"/>
        </w:numPr>
        <w:spacing w:lineRule="auto" w:line="276"/>
        <w:jc w:val="both"/>
        <w:rPr>
          <w:sz w:val="22"/>
          <w:szCs w:val="22"/>
        </w:rPr>
      </w:pPr>
      <w:r>
        <w:rPr>
          <w:sz w:val="22"/>
          <w:szCs w:val="22"/>
        </w:rPr>
        <w:t>Uzavřením Smlouvy o výkonu funkce pověřence Klient vyjadřuje souhlas s těmito VOP, které jsou nedílnou součástí Smlouvy. Na tyto VOP je Klient dostatečným způsobem před uzavřením Smlouvy upozorněn a má možnost se s nimi seznámit.</w:t>
      </w:r>
    </w:p>
    <w:p>
      <w:pPr>
        <w:pStyle w:val="ListParagraph"/>
        <w:numPr>
          <w:ilvl w:val="0"/>
          <w:numId w:val="9"/>
        </w:numPr>
        <w:spacing w:lineRule="auto" w:line="276"/>
        <w:jc w:val="both"/>
        <w:rPr>
          <w:sz w:val="22"/>
          <w:szCs w:val="22"/>
        </w:rPr>
      </w:pPr>
      <w:r>
        <w:rPr>
          <w:sz w:val="22"/>
          <w:szCs w:val="22"/>
        </w:rPr>
        <w:t>Ustanovení odchylná od VOP je možné sjednat ve Smlouvě. Odchylná ujednání ve Smlouvě mají přednost před ustanoveními VOP.</w:t>
      </w:r>
    </w:p>
    <w:p>
      <w:pPr>
        <w:pStyle w:val="ListParagraph"/>
        <w:numPr>
          <w:ilvl w:val="0"/>
          <w:numId w:val="9"/>
        </w:numPr>
        <w:spacing w:lineRule="auto" w:line="276"/>
        <w:jc w:val="both"/>
        <w:rPr>
          <w:sz w:val="22"/>
          <w:szCs w:val="22"/>
        </w:rPr>
      </w:pPr>
      <w:r>
        <w:rPr>
          <w:sz w:val="22"/>
          <w:szCs w:val="22"/>
        </w:rPr>
        <w:t>Pověřenec při uzavírání a plnění Smlouvy jedná v rámci své podnikatelské činnosti a je podnikatelem, který přímo nebo prostřednictvím jiných podnikatelů dodává Klientovi zboží nebo služby.</w:t>
      </w:r>
    </w:p>
    <w:p>
      <w:pPr>
        <w:pStyle w:val="ListParagraph"/>
        <w:numPr>
          <w:ilvl w:val="0"/>
          <w:numId w:val="9"/>
        </w:numPr>
        <w:spacing w:lineRule="auto" w:line="276"/>
        <w:jc w:val="both"/>
        <w:rPr>
          <w:sz w:val="22"/>
          <w:szCs w:val="22"/>
        </w:rPr>
      </w:pPr>
      <w:r>
        <w:rPr>
          <w:sz w:val="22"/>
          <w:szCs w:val="22"/>
        </w:rPr>
        <w:t xml:space="preserve">Znění VOP může pověřenec měnit či doplňovat. Tímto ustanovením nejsou dotčena práva a povinnosti vzniklá po dobu účinnosti předchozího znění VOP. </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II. Přípravná fáze Analýzy</w:t>
      </w:r>
    </w:p>
    <w:p>
      <w:pPr>
        <w:pStyle w:val="ListParagraph"/>
        <w:numPr>
          <w:ilvl w:val="0"/>
          <w:numId w:val="10"/>
        </w:numPr>
        <w:spacing w:lineRule="auto" w:line="276"/>
        <w:jc w:val="both"/>
        <w:rPr>
          <w:sz w:val="22"/>
          <w:szCs w:val="22"/>
        </w:rPr>
      </w:pPr>
      <w:r>
        <w:rPr>
          <w:sz w:val="22"/>
          <w:szCs w:val="22"/>
        </w:rPr>
        <w:t>Přípravná fáze je počáteční časový úsek před poskytováním služeb pověřence, jehož účelem je řádně připravit a upřesnit poskytování služeb a získat informace o postupech, procesech a systémech, v nichž probíhá zpracování osobních údajů, a to za účelem úspěšného a efektivního plánování a provedení Služeb pověřence a seznámení Klienta s chystaným průběhem realizace Služeb a jeho očekávaným zapojením a součinností.</w:t>
      </w:r>
    </w:p>
    <w:p>
      <w:pPr>
        <w:pStyle w:val="ListParagraph"/>
        <w:numPr>
          <w:ilvl w:val="0"/>
          <w:numId w:val="10"/>
        </w:numPr>
        <w:spacing w:lineRule="auto" w:line="276"/>
        <w:jc w:val="both"/>
        <w:rPr>
          <w:sz w:val="22"/>
          <w:szCs w:val="22"/>
        </w:rPr>
      </w:pPr>
      <w:r>
        <w:rPr>
          <w:sz w:val="22"/>
          <w:szCs w:val="22"/>
        </w:rPr>
        <w:t>Za tímto účelem se Strany zavazují:</w:t>
      </w:r>
    </w:p>
    <w:p>
      <w:pPr>
        <w:pStyle w:val="ListParagraph"/>
        <w:numPr>
          <w:ilvl w:val="1"/>
          <w:numId w:val="3"/>
        </w:numPr>
        <w:spacing w:lineRule="auto" w:line="276"/>
        <w:jc w:val="both"/>
        <w:rPr>
          <w:sz w:val="22"/>
          <w:szCs w:val="22"/>
        </w:rPr>
      </w:pPr>
      <w:r>
        <w:rPr>
          <w:sz w:val="22"/>
          <w:szCs w:val="22"/>
        </w:rPr>
        <w:t>vzájemně upřesnit rozsah informací nezbytných pro úspěšné a efektivní plánování a plnění Služeb,</w:t>
      </w:r>
    </w:p>
    <w:p>
      <w:pPr>
        <w:pStyle w:val="ListParagraph"/>
        <w:numPr>
          <w:ilvl w:val="1"/>
          <w:numId w:val="3"/>
        </w:numPr>
        <w:spacing w:lineRule="auto" w:line="276"/>
        <w:jc w:val="both"/>
        <w:rPr>
          <w:sz w:val="22"/>
          <w:szCs w:val="22"/>
        </w:rPr>
      </w:pPr>
      <w:r>
        <w:rPr>
          <w:sz w:val="22"/>
          <w:szCs w:val="22"/>
        </w:rPr>
        <w:t>zavést mechanismy vzájemné spolupráce a komunikace (určení odpovědných a kontaktních osob pro komunikaci při poskytování různých částí Služeb),</w:t>
      </w:r>
    </w:p>
    <w:p>
      <w:pPr>
        <w:pStyle w:val="ListParagraph"/>
        <w:numPr>
          <w:ilvl w:val="1"/>
          <w:numId w:val="3"/>
        </w:numPr>
        <w:spacing w:lineRule="auto" w:line="276"/>
        <w:jc w:val="both"/>
        <w:rPr>
          <w:sz w:val="22"/>
          <w:szCs w:val="22"/>
        </w:rPr>
      </w:pPr>
      <w:r>
        <w:rPr>
          <w:sz w:val="22"/>
          <w:szCs w:val="22"/>
        </w:rPr>
        <w:t>představit a popsat Klientovi plánované organizační a procesní postupy pověřence při plnění jeho povinností plynoucích ze Smlouvy.</w:t>
      </w:r>
    </w:p>
    <w:p>
      <w:pPr>
        <w:pStyle w:val="ListParagraph"/>
        <w:numPr>
          <w:ilvl w:val="0"/>
          <w:numId w:val="10"/>
        </w:numPr>
        <w:spacing w:lineRule="auto" w:line="276"/>
        <w:jc w:val="both"/>
        <w:rPr>
          <w:sz w:val="22"/>
          <w:szCs w:val="22"/>
        </w:rPr>
      </w:pPr>
      <w:r>
        <w:rPr>
          <w:sz w:val="22"/>
          <w:szCs w:val="22"/>
        </w:rPr>
        <w:t>Klient má povinnost sdělit pověřenci v Přípravné fázi informace v kompletní, pravdivé podobě, a to v termínech určených pověřencem, a nic nezamlčet nebo nevynechat (byť z nedbalosti). V případě, že Klient poruší tuto povinnost, nese z toho odpovědnost.</w:t>
      </w:r>
    </w:p>
    <w:p>
      <w:pPr>
        <w:pStyle w:val="ListParagraph"/>
        <w:numPr>
          <w:ilvl w:val="0"/>
          <w:numId w:val="10"/>
        </w:numPr>
        <w:spacing w:lineRule="auto" w:line="276"/>
        <w:jc w:val="both"/>
        <w:rPr>
          <w:sz w:val="22"/>
          <w:szCs w:val="22"/>
        </w:rPr>
      </w:pPr>
      <w:r>
        <w:rPr>
          <w:sz w:val="22"/>
          <w:szCs w:val="22"/>
        </w:rPr>
        <w:t>Strany jsou povinny poskytnout si veškerou součinnost spočívající</w:t>
      </w:r>
    </w:p>
    <w:p>
      <w:pPr>
        <w:pStyle w:val="ListParagraph"/>
        <w:numPr>
          <w:ilvl w:val="1"/>
          <w:numId w:val="10"/>
        </w:numPr>
        <w:spacing w:lineRule="auto" w:line="276"/>
        <w:jc w:val="both"/>
        <w:rPr>
          <w:sz w:val="22"/>
          <w:szCs w:val="22"/>
        </w:rPr>
      </w:pPr>
      <w:r>
        <w:rPr>
          <w:sz w:val="22"/>
          <w:szCs w:val="22"/>
        </w:rPr>
        <w:t>na straně pověřence ve včasné žádosti o informace nebo o jejich zpřesnění o základních oblastech a systémech Klienta, ve kterých probíhají procesy zpracování osobních údajů, a</w:t>
      </w:r>
    </w:p>
    <w:p>
      <w:pPr>
        <w:pStyle w:val="ListParagraph"/>
        <w:numPr>
          <w:ilvl w:val="1"/>
          <w:numId w:val="10"/>
        </w:numPr>
        <w:spacing w:lineRule="auto" w:line="276"/>
        <w:jc w:val="both"/>
        <w:rPr>
          <w:sz w:val="22"/>
          <w:szCs w:val="22"/>
        </w:rPr>
      </w:pPr>
      <w:r>
        <w:rPr>
          <w:sz w:val="22"/>
          <w:szCs w:val="22"/>
        </w:rPr>
        <w:t>u Klienta v zajištění aktivní účasti určených zástupců či zaměstnanců Klienta při poskytování informací v souladu se Smlouvou.</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III. Společná ustanovení pro cenu služeb</w:t>
      </w:r>
    </w:p>
    <w:p>
      <w:pPr>
        <w:pStyle w:val="ListParagraph"/>
        <w:numPr>
          <w:ilvl w:val="0"/>
          <w:numId w:val="4"/>
        </w:numPr>
        <w:spacing w:lineRule="auto" w:line="276"/>
        <w:jc w:val="both"/>
        <w:rPr>
          <w:sz w:val="22"/>
          <w:szCs w:val="22"/>
        </w:rPr>
      </w:pPr>
      <w:r>
        <w:rPr>
          <w:sz w:val="22"/>
          <w:szCs w:val="22"/>
        </w:rPr>
        <w:t>Ceny Služeb jsou stanoveny jako pevné a konečné.</w:t>
      </w:r>
      <w:bookmarkStart w:id="0" w:name="_Ref491701919"/>
      <w:r>
        <w:rPr>
          <w:sz w:val="22"/>
          <w:szCs w:val="22"/>
        </w:rPr>
        <w:t xml:space="preserve"> </w:t>
      </w:r>
      <w:bookmarkEnd w:id="0"/>
      <w:r>
        <w:rPr>
          <w:rFonts w:cs="Times New Roman"/>
          <w:sz w:val="22"/>
          <w:szCs w:val="22"/>
        </w:rPr>
        <w:t>Cena Služeb bude hrazena na základě daňového dokladu - faktury, která musí obsahovat údaje v souladu s platnými právními předpisy v době jejího vystavení a případně další náležitosti stanovené touto Smlouvou. Cena Služeb bude hrazena přímo na bankovní účet pověřence uvedený na faktuře.</w:t>
      </w:r>
    </w:p>
    <w:p>
      <w:pPr>
        <w:pStyle w:val="ListParagraph"/>
        <w:numPr>
          <w:ilvl w:val="0"/>
          <w:numId w:val="4"/>
        </w:numPr>
        <w:spacing w:lineRule="auto" w:line="276"/>
        <w:jc w:val="both"/>
        <w:rPr>
          <w:sz w:val="22"/>
          <w:szCs w:val="22"/>
        </w:rPr>
      </w:pPr>
      <w:r>
        <w:rPr>
          <w:sz w:val="22"/>
          <w:szCs w:val="22"/>
        </w:rPr>
        <w:t>Pověřenec je oprávněn upravit Cenu Služeb při změně podmínek a též valorizovat ji o částku, která bude vyjadřovat procento oficiálně stanovené roční míry inflace vyhlášené Českým statistickým úřadem. V případě, že pověřenci vznikne v průběhu plnění Služeb na základě Smlouvy povinnost platit daň z přidané hodnoty, je pověřenec oprávněn k ujednané Ceně Služeb připočíst daň z přidané hodnoty („DPH“) ve výši stanovené platnými a účinnými právními předpisy k okamžiku uskutečnění zdanitelného plnění.</w:t>
      </w:r>
    </w:p>
    <w:p>
      <w:pPr>
        <w:pStyle w:val="ListParagraph"/>
        <w:numPr>
          <w:ilvl w:val="0"/>
          <w:numId w:val="4"/>
        </w:numPr>
        <w:spacing w:lineRule="auto" w:line="276"/>
        <w:jc w:val="both"/>
        <w:rPr>
          <w:sz w:val="22"/>
          <w:szCs w:val="22"/>
        </w:rPr>
      </w:pPr>
      <w:r>
        <w:rPr>
          <w:sz w:val="22"/>
          <w:szCs w:val="22"/>
        </w:rPr>
        <w:t>Je-li Klient v prodlení s úhradou ceny Služeb, má pověřenec právo na úhradu smluvní pokuty, a to ve výši 0,4 % z dlužné částky za každý den prodlení.</w:t>
      </w:r>
    </w:p>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t>IV. Postavení pověřence</w:t>
      </w:r>
    </w:p>
    <w:p>
      <w:pPr>
        <w:pStyle w:val="ListParagraph"/>
        <w:numPr>
          <w:ilvl w:val="0"/>
          <w:numId w:val="2"/>
        </w:numPr>
        <w:spacing w:lineRule="auto" w:line="276"/>
        <w:jc w:val="both"/>
        <w:rPr>
          <w:sz w:val="22"/>
          <w:szCs w:val="22"/>
        </w:rPr>
      </w:pPr>
      <w:r>
        <w:rPr>
          <w:sz w:val="22"/>
          <w:szCs w:val="22"/>
        </w:rPr>
        <w:t>Výkon funkce pověřence je odborná a specificky zaměřená činnost. Pověřenec pro ochranu osobních údajů je rovnocenným partnerem Klienta, není vůči němu v podřízeném postavení a Klient je povinen při realizaci Služeb pověřence takto k výkonu Služeb přistupovat a respektovat pověřencovu nezávislost.</w:t>
      </w:r>
    </w:p>
    <w:p>
      <w:pPr>
        <w:pStyle w:val="ListParagraph"/>
        <w:numPr>
          <w:ilvl w:val="0"/>
          <w:numId w:val="2"/>
        </w:numPr>
        <w:spacing w:lineRule="auto" w:line="276"/>
        <w:jc w:val="both"/>
        <w:rPr>
          <w:sz w:val="22"/>
          <w:szCs w:val="22"/>
        </w:rPr>
      </w:pPr>
      <w:r>
        <w:rPr>
          <w:sz w:val="22"/>
          <w:szCs w:val="22"/>
        </w:rPr>
        <w:t>Výkon funkce pověřence je činností samostatnou a nezávislou. Klient nesmí dávat pověřenci v rámci výkonu jeho funkce (zejm. při činnosti monitoringu a vypracování stanoviska pro posouzení vlivu na ochranu osobních údajů) jakékoli instrukce či pokyny, které by narušily pověřencovu nezávislost či ho jakkoli sankcionovat způsobem, který by narušoval pověřencovu nezávislost při výkonu své činnosti.</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IV. Práva k duševnímu vlastnictví</w:t>
      </w:r>
    </w:p>
    <w:p>
      <w:pPr>
        <w:pStyle w:val="ListParagraph"/>
        <w:numPr>
          <w:ilvl w:val="0"/>
          <w:numId w:val="6"/>
        </w:numPr>
        <w:spacing w:lineRule="auto" w:line="276"/>
        <w:jc w:val="both"/>
        <w:rPr>
          <w:b/>
          <w:b/>
          <w:sz w:val="22"/>
          <w:szCs w:val="22"/>
        </w:rPr>
      </w:pPr>
      <w:bookmarkStart w:id="1" w:name="_Ref465695724"/>
      <w:r>
        <w:rPr>
          <w:rFonts w:cs="Times New Roman"/>
          <w:sz w:val="22"/>
          <w:szCs w:val="22"/>
        </w:rPr>
        <w:t>V rámci poskytování Služeb pověřencem Klientovi podle Smlouvy může dojít k vytvoření či poskytnutí autorských děl anebo databází Klientovi. V takovém případě se bude jednat o díla vytvořená na objednávku pro Klienta.</w:t>
      </w:r>
    </w:p>
    <w:p>
      <w:pPr>
        <w:pStyle w:val="ListParagraph"/>
        <w:numPr>
          <w:ilvl w:val="0"/>
          <w:numId w:val="6"/>
        </w:numPr>
        <w:spacing w:lineRule="auto" w:line="276"/>
        <w:jc w:val="both"/>
        <w:rPr>
          <w:b/>
          <w:b/>
          <w:sz w:val="22"/>
          <w:szCs w:val="22"/>
        </w:rPr>
      </w:pPr>
      <w:r>
        <w:rPr>
          <w:sz w:val="22"/>
          <w:szCs w:val="22"/>
        </w:rPr>
        <w:t xml:space="preserve">Vznikne-li nebo bude-li Klientovi poskytnuto na základě nebo v souvislosti s plněním Smlouvy autorské dílo, které není databáze, uděluje pověřenec Klientovi dnem předání jakýchkoliv i jednotlivých výstupů plnění Smlouvy nevýhradní výlučné oprávnění dílo užít (nevýhradní licence) v původní i změněné podobě, v neomezeném územním a množstevním rozsahu, v míře neomezené počtem uživatelů nebo mírou užívání, pro jakýkoliv způsob užití a k jakémukoliv účelu, v časovém rozsahu na dobu trvání majetkových autorských práv a v souladu s dalšími podmínkami </w:t>
      </w:r>
      <w:bookmarkStart w:id="2" w:name="_Ref490432725"/>
      <w:bookmarkEnd w:id="1"/>
      <w:r>
        <w:rPr>
          <w:sz w:val="22"/>
          <w:szCs w:val="22"/>
        </w:rPr>
        <w:t>podle Smlouvy.</w:t>
      </w:r>
    </w:p>
    <w:p>
      <w:pPr>
        <w:pStyle w:val="ListParagraph"/>
        <w:spacing w:lineRule="auto" w:line="276"/>
        <w:ind w:left="360" w:hanging="0"/>
        <w:jc w:val="both"/>
        <w:rPr>
          <w:b/>
          <w:b/>
          <w:sz w:val="22"/>
          <w:szCs w:val="22"/>
        </w:rPr>
      </w:pPr>
      <w:r>
        <w:rPr>
          <w:b/>
          <w:sz w:val="22"/>
          <w:szCs w:val="22"/>
        </w:rPr>
      </w:r>
    </w:p>
    <w:p>
      <w:pPr>
        <w:pStyle w:val="ListParagraph"/>
        <w:numPr>
          <w:ilvl w:val="0"/>
          <w:numId w:val="6"/>
        </w:numPr>
        <w:spacing w:lineRule="auto" w:line="276"/>
        <w:jc w:val="both"/>
        <w:rPr>
          <w:b/>
          <w:b/>
          <w:sz w:val="22"/>
          <w:szCs w:val="22"/>
        </w:rPr>
      </w:pPr>
      <w:bookmarkEnd w:id="2"/>
      <w:r>
        <w:rPr>
          <w:sz w:val="22"/>
          <w:szCs w:val="22"/>
        </w:rPr>
        <w:t>Klient je oprávněn v rozsahu udělené licence udělit podlicenci anebo licenci poustoupit (i částečně) jakékoliv třetí osobě pouze s předchozím výslovným a písemným souhlasem pověřence. Souhlasy udělené v souladu se Smlouvou se nevztahují na právní nástupce Klienta.</w:t>
      </w:r>
    </w:p>
    <w:p>
      <w:pPr>
        <w:pStyle w:val="ListParagraph"/>
        <w:numPr>
          <w:ilvl w:val="0"/>
          <w:numId w:val="6"/>
        </w:numPr>
        <w:spacing w:lineRule="auto" w:line="276"/>
        <w:jc w:val="both"/>
        <w:rPr>
          <w:b/>
          <w:b/>
          <w:sz w:val="22"/>
          <w:szCs w:val="22"/>
        </w:rPr>
      </w:pPr>
      <w:r>
        <w:rPr>
          <w:sz w:val="22"/>
          <w:szCs w:val="22"/>
        </w:rPr>
        <w:t>Licence zahrnuje oprávnění Klienta autorské dílo upravovat, měnit, spojit s jiným dílem či zařadit do díla souborného, zpracovávat včetně překladu a dokončovat nehotové autorské dílo. K výkonu těchto svých práv prostřednictvím třetí osoby je Klient povinen získat výslovný souhlas pověřence.</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V. Důvěrné informace a mlčenlivost</w:t>
      </w:r>
    </w:p>
    <w:p>
      <w:pPr>
        <w:pStyle w:val="ListParagraph"/>
        <w:numPr>
          <w:ilvl w:val="0"/>
          <w:numId w:val="7"/>
        </w:numPr>
        <w:spacing w:lineRule="auto" w:line="276"/>
        <w:jc w:val="both"/>
        <w:rPr>
          <w:b/>
          <w:b/>
          <w:sz w:val="22"/>
          <w:szCs w:val="22"/>
        </w:rPr>
      </w:pPr>
      <w:bookmarkStart w:id="3" w:name="_Ref490466540"/>
      <w:bookmarkStart w:id="4" w:name="_Ref464229686"/>
      <w:r>
        <w:rPr>
          <w:sz w:val="22"/>
          <w:szCs w:val="22"/>
        </w:rPr>
        <w:t>Veškeré informace, které se pověřenec dozví v rámci uzavírání a plnění Smlouvy, a informace, které pověřenci Klient sdělí nebo jinak vyplynou z plnění Smlouvy, zejména informace, které se dozvěděl při poskytování Služeb dle Smlouvy bez ohledu na formu informace či způsob jejího získání, anebo které se dozví v souvislosti se zpracováním dat a osobních údajů, se považují za důvěrné</w:t>
      </w:r>
      <w:bookmarkStart w:id="5" w:name="_Ref490460934"/>
      <w:bookmarkEnd w:id="4"/>
      <w:bookmarkEnd w:id="3"/>
      <w:r>
        <w:rPr>
          <w:sz w:val="22"/>
          <w:szCs w:val="22"/>
        </w:rPr>
        <w:t>. Pro zamezení pochybnostem Strany uvádějí, že jakákoliv data, která jsou součástí IT systémů Klienta, v rámci kterých jsou zpracovávány osobní údaje, a současně nejsou veřejně přístupná, jsou důvěrnými informacemi.</w:t>
      </w:r>
    </w:p>
    <w:p>
      <w:pPr>
        <w:pStyle w:val="ListParagraph"/>
        <w:numPr>
          <w:ilvl w:val="0"/>
          <w:numId w:val="7"/>
        </w:numPr>
        <w:spacing w:lineRule="auto" w:line="276"/>
        <w:jc w:val="both"/>
        <w:rPr>
          <w:b/>
          <w:b/>
          <w:sz w:val="22"/>
          <w:szCs w:val="22"/>
        </w:rPr>
      </w:pPr>
      <w:bookmarkEnd w:id="5"/>
      <w:r>
        <w:rPr>
          <w:sz w:val="22"/>
          <w:szCs w:val="22"/>
        </w:rPr>
        <w:t>Pověřenec nesdělí důvěrné informace třetí osobě, bude s nimi nakládat jako s obchodním tajemstvím, zejména uchovávat je v tajnosti, a učiní opatření zabraňující jejich zneužití či prozrazení třetím osobám. Ustanovení předchozí věty se nevztahuje na případy, kdy:</w:t>
      </w:r>
    </w:p>
    <w:p>
      <w:pPr>
        <w:pStyle w:val="ListParagraph"/>
        <w:numPr>
          <w:ilvl w:val="1"/>
          <w:numId w:val="7"/>
        </w:numPr>
        <w:spacing w:lineRule="auto" w:line="276"/>
        <w:jc w:val="both"/>
        <w:rPr>
          <w:b/>
          <w:b/>
          <w:sz w:val="22"/>
          <w:szCs w:val="22"/>
        </w:rPr>
      </w:pPr>
      <w:r>
        <w:rPr>
          <w:sz w:val="22"/>
          <w:szCs w:val="22"/>
        </w:rPr>
        <w:t>mají být zpřístupněny na základě zákona či jiného právního předpisu včetně práva evropského nebo závazného rozhodnutí oprávněného orgánu veřejné moci, například zákona č. 106/1999 Sb., o svobodném přístupu k informacím, ve znění pozdějších předpisů, a Strany si v takovém případě poskytnou nezbytnou součinnost ke splnění takové zákonné povinnosti;</w:t>
      </w:r>
    </w:p>
    <w:p>
      <w:pPr>
        <w:pStyle w:val="ListParagraph"/>
        <w:numPr>
          <w:ilvl w:val="1"/>
          <w:numId w:val="7"/>
        </w:numPr>
        <w:spacing w:lineRule="auto" w:line="276"/>
        <w:jc w:val="both"/>
        <w:rPr>
          <w:b/>
          <w:b/>
          <w:sz w:val="22"/>
          <w:szCs w:val="22"/>
        </w:rPr>
      </w:pPr>
      <w:r>
        <w:rPr>
          <w:sz w:val="22"/>
          <w:szCs w:val="22"/>
        </w:rPr>
        <w:t xml:space="preserve">pověřenec důvěrné informace sdělí osobám, které mají ze zákona stanovenou povinnost mlčenlivosti, za předpokladu, že pověřenec oznámí Klientovi, které třetí osobě byla důvěrná informace zpřístupněna, a zaváže tuto třetí osobou stejnou povinností mlčenlivosti jako má sám; </w:t>
      </w:r>
    </w:p>
    <w:p>
      <w:pPr>
        <w:pStyle w:val="ListParagraph"/>
        <w:numPr>
          <w:ilvl w:val="1"/>
          <w:numId w:val="7"/>
        </w:numPr>
        <w:spacing w:lineRule="auto" w:line="276"/>
        <w:jc w:val="both"/>
        <w:rPr>
          <w:b/>
          <w:b/>
          <w:sz w:val="22"/>
          <w:szCs w:val="22"/>
        </w:rPr>
      </w:pPr>
      <w:r>
        <w:rPr>
          <w:sz w:val="22"/>
          <w:szCs w:val="22"/>
        </w:rPr>
        <w:t>pověřenec takové důvěrné informace sdělí osobám podílejícím se v rámci jeho vnitřní organizace na plnění Služeb pro Klienta, jakož i </w:t>
      </w:r>
      <w:r>
        <w:rPr>
          <w:bCs/>
          <w:iCs/>
          <w:sz w:val="22"/>
          <w:szCs w:val="22"/>
        </w:rPr>
        <w:t>poddodavatelům</w:t>
      </w:r>
      <w:r>
        <w:rPr>
          <w:sz w:val="22"/>
          <w:szCs w:val="22"/>
        </w:rPr>
        <w:t>, je-li to nezbytné k plnění Smlouvy a zavážou-li se takové osoby mlčenlivostí ve stejném rozsahu jako pověřenec;</w:t>
      </w:r>
    </w:p>
    <w:p>
      <w:pPr>
        <w:pStyle w:val="ListParagraph"/>
        <w:numPr>
          <w:ilvl w:val="1"/>
          <w:numId w:val="7"/>
        </w:numPr>
        <w:spacing w:lineRule="auto" w:line="276"/>
        <w:jc w:val="both"/>
        <w:rPr>
          <w:b/>
          <w:b/>
          <w:sz w:val="22"/>
          <w:szCs w:val="22"/>
        </w:rPr>
      </w:pPr>
      <w:r>
        <w:rPr>
          <w:sz w:val="22"/>
          <w:szCs w:val="22"/>
        </w:rPr>
        <w:t>se takové důvěrné informace stanou veřejně známými či dostupnými jinak než porušením povinností vyplývajících ze Smlouvy;</w:t>
      </w:r>
    </w:p>
    <w:p>
      <w:pPr>
        <w:pStyle w:val="ListParagraph"/>
        <w:numPr>
          <w:ilvl w:val="1"/>
          <w:numId w:val="7"/>
        </w:numPr>
        <w:spacing w:lineRule="auto" w:line="276"/>
        <w:jc w:val="both"/>
        <w:rPr>
          <w:b/>
          <w:b/>
          <w:sz w:val="22"/>
          <w:szCs w:val="22"/>
        </w:rPr>
      </w:pPr>
      <w:r>
        <w:rPr>
          <w:sz w:val="22"/>
          <w:szCs w:val="22"/>
        </w:rPr>
        <w:t>Klient dá ke zpřístupnění důvěrných informací písemný souhlas.</w:t>
      </w:r>
    </w:p>
    <w:p>
      <w:pPr>
        <w:pStyle w:val="ListParagraph"/>
        <w:numPr>
          <w:ilvl w:val="0"/>
          <w:numId w:val="7"/>
        </w:numPr>
        <w:spacing w:lineRule="auto" w:line="276"/>
        <w:jc w:val="both"/>
        <w:rPr>
          <w:b/>
          <w:b/>
          <w:sz w:val="22"/>
          <w:szCs w:val="22"/>
        </w:rPr>
      </w:pPr>
      <w:bookmarkStart w:id="6" w:name="_Ref464484026"/>
      <w:r>
        <w:rPr>
          <w:sz w:val="22"/>
          <w:szCs w:val="22"/>
        </w:rPr>
        <w:t xml:space="preserve">Pověřenec vyvine pro zachování jejich důvěrnosti a pro jejich ochranu stejné úsilí, jako by se jednalo o jeho vlastní důvěrné informace. S výjimkou rozsahu, který je nezbytný pro plnění Smlouvy, se pověřenec zavazuje neduplikovat žádným způsobem důvěrné informace, nepředat je třetí straně ani svým vlastním zaměstnancům a zástupcům s výjimkou těch, kteří s nimi potřebují být seznámeni, aby mohli plnit Smlouvu. Pověřenec nebude použít důvěrné informace jinak, než za účelem plnění Smlouvy. </w:t>
      </w:r>
    </w:p>
    <w:p>
      <w:pPr>
        <w:pStyle w:val="ListParagraph"/>
        <w:numPr>
          <w:ilvl w:val="0"/>
          <w:numId w:val="7"/>
        </w:numPr>
        <w:spacing w:lineRule="auto" w:line="276"/>
        <w:jc w:val="both"/>
        <w:rPr>
          <w:b/>
          <w:b/>
          <w:sz w:val="22"/>
          <w:szCs w:val="22"/>
        </w:rPr>
      </w:pPr>
      <w:r>
        <w:rPr>
          <w:sz w:val="22"/>
          <w:szCs w:val="22"/>
        </w:rPr>
        <w:t xml:space="preserve">Budou-li údaje, ke kterým pověřenec získá v souvislosti s poskytováním Služeb dle Smlouvy, mít povahu osobních údajů ve smyslu předpisů na ochranu osobních údajů, je pověřenec povinen přijmout veškerá opatření k tomu, aby nemohlo dojít k neoprávněnému nebo nahodilému přístupu k těmto osobním údajům, jejich změně, zničení či ztrátě, neoprávněným přenosům či jinému zneužití, a zajistit nakládání s osobními údaji druhé Strany v souladu s předpisy na ochranu osobních údajů. Pověřenec může v rámci své činnosti využít zpracovatele osobních údajů. Osobní údaje je pověřenec oprávněn zpracovávat výhradně pro účely a po dobu poskytování Služeb dle Smlouvy. V případě porušení této povinnosti nahradí pověřenec újmu vzniklou </w:t>
      </w:r>
      <w:bookmarkStart w:id="7" w:name="_Ref465717599"/>
      <w:bookmarkEnd w:id="6"/>
      <w:bookmarkEnd w:id="7"/>
      <w:r>
        <w:rPr>
          <w:sz w:val="22"/>
          <w:szCs w:val="22"/>
        </w:rPr>
        <w:t>Klientovi.</w:t>
      </w:r>
    </w:p>
    <w:p>
      <w:pPr>
        <w:pStyle w:val="Normal"/>
        <w:spacing w:lineRule="auto" w:line="276"/>
        <w:rPr>
          <w:sz w:val="22"/>
          <w:szCs w:val="22"/>
        </w:rPr>
      </w:pPr>
      <w:r>
        <w:rPr>
          <w:sz w:val="22"/>
          <w:szCs w:val="22"/>
        </w:rPr>
      </w:r>
    </w:p>
    <w:p>
      <w:pPr>
        <w:pStyle w:val="Normal"/>
        <w:spacing w:lineRule="auto" w:line="276"/>
        <w:rPr>
          <w:b/>
          <w:b/>
          <w:sz w:val="22"/>
          <w:szCs w:val="22"/>
        </w:rPr>
      </w:pPr>
      <w:r>
        <w:rPr>
          <w:b/>
          <w:sz w:val="22"/>
          <w:szCs w:val="22"/>
        </w:rPr>
        <w:t>VI. Realizační tým pověřence</w:t>
      </w:r>
    </w:p>
    <w:p>
      <w:pPr>
        <w:pStyle w:val="ListParagraph"/>
        <w:numPr>
          <w:ilvl w:val="0"/>
          <w:numId w:val="8"/>
        </w:numPr>
        <w:spacing w:lineRule="auto" w:line="276"/>
        <w:jc w:val="both"/>
        <w:rPr>
          <w:b/>
          <w:b/>
          <w:sz w:val="22"/>
          <w:szCs w:val="22"/>
        </w:rPr>
      </w:pPr>
      <w:bookmarkStart w:id="8" w:name="_Ref469639039"/>
      <w:bookmarkStart w:id="9" w:name="_Ref490466658"/>
      <w:r>
        <w:rPr>
          <w:sz w:val="22"/>
          <w:szCs w:val="22"/>
        </w:rPr>
        <w:t>Pověřenec se zavazuje, že Služby budou po celou dobu jejich poskytování prováděny osobami, které splňují kvalifikační požadavky Nařízení GDPR pro výkon funkce pověřence (dále „realizační tým“).</w:t>
      </w:r>
    </w:p>
    <w:p>
      <w:pPr>
        <w:pStyle w:val="ListParagraph"/>
        <w:numPr>
          <w:ilvl w:val="0"/>
          <w:numId w:val="8"/>
        </w:numPr>
        <w:spacing w:lineRule="auto" w:line="276"/>
        <w:jc w:val="both"/>
        <w:rPr>
          <w:b/>
          <w:b/>
          <w:color w:val="000000" w:themeColor="text1"/>
          <w:sz w:val="22"/>
          <w:szCs w:val="22"/>
        </w:rPr>
      </w:pPr>
      <w:r>
        <w:rPr>
          <w:sz w:val="22"/>
          <w:szCs w:val="22"/>
        </w:rPr>
        <w:t xml:space="preserve">Pověřenec Klientovi sdělí v Přípravné fázi jména konkrétních členů Realizačního týmu (dále „pověřený člen realizačního týmu“), kteří budou plnit Služby dle Smlouvy pro Klienta. Přestane-li být pověřený člen realizačního týmu členem Realizačního týmu pověřence, je pověřenec povinen tuto skutečnost oznámit bezodkladně Klientovi a zajistit adekvátní personální náhradu. Pověřenec může určit pověřeným členem realizačního týmu další jinou osobu, a to i na základě jiných skutečností, než že dosavadní pověřený člen </w:t>
      </w:r>
      <w:r>
        <w:rPr>
          <w:color w:val="000000" w:themeColor="text1"/>
          <w:sz w:val="22"/>
          <w:szCs w:val="22"/>
        </w:rPr>
        <w:t>realizačního týmu přestal být členem Realizačního týmu.</w:t>
      </w:r>
    </w:p>
    <w:p>
      <w:pPr>
        <w:pStyle w:val="ListParagraph"/>
        <w:numPr>
          <w:ilvl w:val="0"/>
          <w:numId w:val="8"/>
        </w:numPr>
        <w:spacing w:lineRule="auto" w:line="276"/>
        <w:jc w:val="both"/>
        <w:rPr/>
      </w:pPr>
      <w:r>
        <w:rPr>
          <w:color w:val="000000" w:themeColor="text1"/>
          <w:sz w:val="22"/>
          <w:szCs w:val="22"/>
        </w:rPr>
        <w:t xml:space="preserve">Seznam všech členů realizačního týmu bude dostupný na webovém portálu spravovaným pověřencem, a to na adrese </w:t>
      </w:r>
      <w:hyperlink r:id="rId2">
        <w:r>
          <w:rPr>
            <w:rStyle w:val="Internetovodkaz"/>
            <w:color w:val="000000" w:themeColor="text1"/>
            <w:sz w:val="22"/>
            <w:szCs w:val="22"/>
          </w:rPr>
          <w:t>www.gdprdoskol.cz</w:t>
        </w:r>
      </w:hyperlink>
      <w:bookmarkStart w:id="10" w:name="_Ref490466607"/>
      <w:bookmarkEnd w:id="9"/>
      <w:r>
        <w:rPr>
          <w:color w:val="000000" w:themeColor="text1"/>
          <w:sz w:val="22"/>
          <w:szCs w:val="22"/>
        </w:rPr>
        <w:t>.</w:t>
      </w:r>
    </w:p>
    <w:p>
      <w:pPr>
        <w:pStyle w:val="ListParagraph"/>
        <w:numPr>
          <w:ilvl w:val="0"/>
          <w:numId w:val="8"/>
        </w:numPr>
        <w:spacing w:lineRule="auto" w:line="276"/>
        <w:jc w:val="both"/>
        <w:rPr>
          <w:b/>
          <w:b/>
          <w:color w:val="000000" w:themeColor="text1"/>
          <w:sz w:val="22"/>
          <w:szCs w:val="22"/>
        </w:rPr>
      </w:pPr>
      <w:bookmarkStart w:id="11" w:name="_Ref469639039"/>
      <w:bookmarkEnd w:id="11"/>
      <w:bookmarkEnd w:id="10"/>
      <w:r>
        <w:rPr>
          <w:color w:val="000000" w:themeColor="text1"/>
          <w:sz w:val="22"/>
          <w:szCs w:val="22"/>
        </w:rPr>
        <w:t>Každý člen realizačního týmu musí po celou dobu poskytování Služeb splňovat odbornou kvalifikaci a zkušenosti požadované Nařízením GDPR pro výkon funkce pověřence.</w:t>
      </w:r>
    </w:p>
    <w:p>
      <w:pPr>
        <w:pStyle w:val="Normal"/>
        <w:spacing w:lineRule="auto" w:line="276"/>
        <w:rPr>
          <w:color w:val="000000" w:themeColor="text1"/>
          <w:sz w:val="22"/>
          <w:szCs w:val="22"/>
        </w:rPr>
      </w:pPr>
      <w:r>
        <w:rPr>
          <w:color w:val="000000" w:themeColor="text1"/>
          <w:sz w:val="22"/>
          <w:szCs w:val="22"/>
        </w:rPr>
      </w:r>
    </w:p>
    <w:p>
      <w:pPr>
        <w:pStyle w:val="Normal"/>
        <w:spacing w:lineRule="auto" w:line="276"/>
        <w:rPr>
          <w:b/>
          <w:b/>
          <w:color w:val="000000" w:themeColor="text1"/>
          <w:sz w:val="22"/>
          <w:szCs w:val="22"/>
        </w:rPr>
      </w:pPr>
      <w:r>
        <w:rPr>
          <w:b/>
          <w:color w:val="000000" w:themeColor="text1"/>
          <w:sz w:val="22"/>
          <w:szCs w:val="22"/>
        </w:rPr>
        <w:t>VII. Střet zájmu</w:t>
      </w:r>
    </w:p>
    <w:p>
      <w:pPr>
        <w:pStyle w:val="ListParagraph"/>
        <w:numPr>
          <w:ilvl w:val="0"/>
          <w:numId w:val="5"/>
        </w:numPr>
        <w:spacing w:lineRule="auto" w:line="276"/>
        <w:ind w:left="720" w:hanging="360"/>
        <w:jc w:val="both"/>
        <w:rPr>
          <w:b/>
          <w:b/>
          <w:color w:val="000000" w:themeColor="text1"/>
          <w:sz w:val="22"/>
          <w:szCs w:val="22"/>
        </w:rPr>
      </w:pPr>
      <w:r>
        <w:rPr>
          <w:color w:val="000000" w:themeColor="text1"/>
          <w:sz w:val="22"/>
          <w:szCs w:val="22"/>
        </w:rPr>
        <w:t>Pověřenec se zasazuje o to, aby jeho činnost nebyla ve střetu zájmů. V případě, že střet zájmů nastane (nebo může nastat), je pověřenec povinen oznámit tuto skutečnost Klientovi a nadále vykonávat svou činnost tak, aby nebyla ohrožena odbornost a nezávislost výkonu funkce pověřence. Oznámí-li pověřenec (možný) střet zájmů a Klient nevznese proti další činnosti pověřence námitku, či z tohoto důvodu neukončí Smlouvu (tj. souhlasí s tím, aby pověřenec i nadále vykonával svou funkci), jedná pověřenec v souladu se Smlouvou a je i nadále oprávněn poskytovat Služby dle Smlouvy.</w:t>
      </w:r>
    </w:p>
    <w:p>
      <w:pPr>
        <w:pStyle w:val="Normal"/>
        <w:spacing w:lineRule="auto" w:line="276"/>
        <w:rPr>
          <w:color w:val="000000" w:themeColor="text1"/>
          <w:sz w:val="22"/>
          <w:szCs w:val="22"/>
        </w:rPr>
      </w:pPr>
      <w:r>
        <w:rPr>
          <w:color w:val="000000" w:themeColor="text1"/>
          <w:sz w:val="22"/>
          <w:szCs w:val="22"/>
        </w:rPr>
      </w:r>
    </w:p>
    <w:p>
      <w:pPr>
        <w:pStyle w:val="Normal"/>
        <w:spacing w:lineRule="auto" w:line="276"/>
        <w:rPr>
          <w:b/>
          <w:b/>
          <w:color w:val="000000" w:themeColor="text1"/>
          <w:sz w:val="22"/>
          <w:szCs w:val="22"/>
        </w:rPr>
      </w:pPr>
      <w:r>
        <w:rPr>
          <w:b/>
          <w:color w:val="000000" w:themeColor="text1"/>
          <w:sz w:val="22"/>
          <w:szCs w:val="22"/>
        </w:rPr>
        <w:t>VIII. Závěrečná ustanovení</w:t>
      </w:r>
    </w:p>
    <w:p>
      <w:pPr>
        <w:pStyle w:val="ListParagraph"/>
        <w:numPr>
          <w:ilvl w:val="0"/>
          <w:numId w:val="11"/>
        </w:numPr>
        <w:spacing w:lineRule="auto" w:line="276"/>
        <w:jc w:val="both"/>
        <w:rPr/>
      </w:pPr>
      <w:r>
        <w:rPr>
          <w:color w:val="000000" w:themeColor="text1"/>
          <w:sz w:val="22"/>
          <w:szCs w:val="22"/>
        </w:rPr>
        <w:t xml:space="preserve">Vyřizování stížností Klientů zajišťuje pověřenec prostřednictvím elektronické adresy </w:t>
      </w:r>
      <w:hyperlink r:id="rId3">
        <w:r>
          <w:rPr>
            <w:rStyle w:val="Internetovodkaz"/>
            <w:color w:val="000000" w:themeColor="text1"/>
            <w:sz w:val="22"/>
            <w:szCs w:val="22"/>
          </w:rPr>
          <w:t>info@scholaservis.cz</w:t>
        </w:r>
      </w:hyperlink>
      <w:r>
        <w:rPr>
          <w:color w:val="000000" w:themeColor="text1"/>
          <w:sz w:val="22"/>
          <w:szCs w:val="22"/>
        </w:rPr>
        <w:t>. Informace o vyřízení stížnosti Klienta zašle pověřenec na elektronickou adresu Klienta.</w:t>
      </w:r>
    </w:p>
    <w:p>
      <w:pPr>
        <w:pStyle w:val="ListParagraph"/>
        <w:numPr>
          <w:ilvl w:val="0"/>
          <w:numId w:val="11"/>
        </w:numPr>
        <w:spacing w:lineRule="auto" w:line="276"/>
        <w:jc w:val="both"/>
        <w:rPr>
          <w:b/>
          <w:b/>
          <w:color w:val="000000" w:themeColor="text1"/>
          <w:sz w:val="22"/>
          <w:szCs w:val="22"/>
        </w:rPr>
      </w:pPr>
      <w:r>
        <w:rPr>
          <w:rFonts w:cs="Arial"/>
          <w:color w:val="000000" w:themeColor="text1"/>
          <w:sz w:val="22"/>
          <w:szCs w:val="22"/>
        </w:rPr>
        <w:t>Pověřenec je oprávněn k poskytování Služeb na základě živnostenského oprávnění. Živnostenskou kontrolu provádí v rámci své působnosti příslušný živnostenský úřad. Dozor nad oblastí ochrany osobních údajů vykonává Úřad pro ochranu osobních údajů.</w:t>
      </w:r>
    </w:p>
    <w:p>
      <w:pPr>
        <w:pStyle w:val="ListParagraph"/>
        <w:numPr>
          <w:ilvl w:val="0"/>
          <w:numId w:val="11"/>
        </w:numPr>
        <w:spacing w:lineRule="auto" w:line="276"/>
        <w:jc w:val="both"/>
        <w:rPr>
          <w:b/>
          <w:b/>
          <w:color w:val="000000" w:themeColor="text1"/>
          <w:sz w:val="22"/>
          <w:szCs w:val="22"/>
        </w:rPr>
      </w:pPr>
      <w:r>
        <w:rPr>
          <w:rFonts w:cs="Arial"/>
          <w:color w:val="000000" w:themeColor="text1"/>
          <w:sz w:val="22"/>
          <w:szCs w:val="22"/>
        </w:rPr>
        <w:t>Tyto VOP platí ve znění uvedeném při podpisu Smlouvy, v den uzavření Smlouvy.</w:t>
      </w:r>
    </w:p>
    <w:p>
      <w:pPr>
        <w:pStyle w:val="ListParagraph"/>
        <w:numPr>
          <w:ilvl w:val="0"/>
          <w:numId w:val="11"/>
        </w:numPr>
        <w:spacing w:lineRule="auto" w:line="276"/>
        <w:jc w:val="both"/>
        <w:rPr>
          <w:b/>
          <w:b/>
          <w:color w:val="000000" w:themeColor="text1"/>
          <w:sz w:val="22"/>
          <w:szCs w:val="22"/>
        </w:rPr>
      </w:pPr>
      <w:bookmarkStart w:id="12" w:name="_GoBack"/>
      <w:bookmarkEnd w:id="12"/>
      <w:r>
        <w:rPr>
          <w:rFonts w:cs="Arial"/>
          <w:color w:val="000000" w:themeColor="text1"/>
          <w:sz w:val="22"/>
          <w:szCs w:val="22"/>
        </w:rPr>
        <w:t>Tyto VOP jsou pro poskytování služeb pověřence dle Smlouvy platné a účinné od 1. 11. 2017</w:t>
      </w:r>
    </w:p>
    <w:p>
      <w:pPr>
        <w:pStyle w:val="Normal"/>
        <w:spacing w:lineRule="auto" w:line="276"/>
        <w:rPr/>
      </w:pPr>
      <w:r>
        <w:rPr/>
      </w:r>
    </w:p>
    <w:sectPr>
      <w:headerReference w:type="default" r:id="rId4"/>
      <w:type w:val="nextPage"/>
      <w:pgSz w:w="11906" w:h="16838"/>
      <w:pgMar w:left="851" w:right="851" w:header="709"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pPr>
    <w:r>
      <w:rPr/>
      <w:drawing>
        <wp:inline distT="0" distB="0" distL="0" distR="1905">
          <wp:extent cx="1776730" cy="563245"/>
          <wp:effectExtent l="0" t="0" r="0" b="0"/>
          <wp:docPr id="1" name="Obrázek 2" descr="/Users/ondrejfiala/Documents/Kancelář/Projekty/GDPR-do-škol.cz/ŠKOLENÍ/Snímek obrazovky 2017-09-13 v 20.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Users/ondrejfiala/Documents/Kancelář/Projekty/GDPR-do-škol.cz/ŠKOLENÍ/Snímek obrazovky 2017-09-13 v 20.22.17.png"/>
                  <pic:cNvPicPr>
                    <a:picLocks noChangeAspect="1" noChangeArrowheads="1"/>
                  </pic:cNvPicPr>
                </pic:nvPicPr>
                <pic:blipFill>
                  <a:blip r:embed="rId1"/>
                  <a:stretch>
                    <a:fillRect/>
                  </a:stretch>
                </pic:blipFill>
                <pic:spPr bwMode="auto">
                  <a:xfrm>
                    <a:off x="0" y="0"/>
                    <a:ext cx="1776730" cy="563245"/>
                  </a:xfrm>
                  <a:prstGeom prst="rect">
                    <a:avLst/>
                  </a:prstGeom>
                </pic:spPr>
              </pic:pic>
            </a:graphicData>
          </a:graphic>
        </wp:inline>
      </w:drawing>
    </w:r>
    <w:r>
      <w:rPr/>
      <w:tab/>
      <w:t xml:space="preserve">                                                         </w:t>
      <w:tab/>
    </w:r>
    <w:r>
      <w:rPr/>
      <w:drawing>
        <wp:inline distT="0" distB="8255" distL="0" distR="635">
          <wp:extent cx="1624965" cy="576580"/>
          <wp:effectExtent l="0" t="0" r="0" b="0"/>
          <wp:docPr id="2" name="Obrázek 1" descr="/Users/ondrejfiala/Documents/Kancelář/Projekty/GDPR-do-škol.cz/ŠKOLENÍ/logo_GDPR_do_š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Users/ondrejfiala/Documents/Kancelář/Projekty/GDPR-do-škol.cz/ŠKOLENÍ/logo_GDPR_do_škol.jpg"/>
                  <pic:cNvPicPr>
                    <a:picLocks noChangeAspect="1" noChangeArrowheads="1"/>
                  </pic:cNvPicPr>
                </pic:nvPicPr>
                <pic:blipFill>
                  <a:blip r:embed="rId2"/>
                  <a:stretch>
                    <a:fillRect/>
                  </a:stretch>
                </pic:blipFill>
                <pic:spPr bwMode="auto">
                  <a:xfrm>
                    <a:off x="0" y="0"/>
                    <a:ext cx="1624965" cy="576580"/>
                  </a:xfrm>
                  <a:prstGeom prst="rect">
                    <a:avLst/>
                  </a:prstGeom>
                </pic:spPr>
              </pic:pic>
            </a:graphicData>
          </a:graphic>
        </wp:inline>
      </w:drawing>
    </w:r>
  </w:p>
  <w:p>
    <w:pPr>
      <w:pStyle w:val="Zhlav"/>
      <w:jc w:val="right"/>
      <w:rPr/>
    </w:pPr>
    <w:r>
      <w:rPr/>
      <mc:AlternateContent>
        <mc:Choice Requires="wps">
          <w:drawing>
            <wp:inline distT="0" distB="0" distL="114300" distR="114300">
              <wp:extent cx="1270" cy="19685"/>
              <wp:effectExtent l="0" t="0" r="0" b="0"/>
              <wp:docPr id="3"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567" w:hanging="567"/>
      </w:pPr>
      <w:rPr>
        <w:sz w:val="22"/>
        <w:i w:val="false"/>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85" w:hanging="360"/>
      </w:pPr>
      <w:rPr>
        <w:sz w:val="22"/>
        <w:b w:val="false"/>
      </w:r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3">
    <w:lvl w:ilvl="0">
      <w:start w:val="1"/>
      <w:numFmt w:val="decimal"/>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85" w:hanging="360"/>
      </w:pPr>
      <w:rPr>
        <w:sz w:val="22"/>
        <w:b w:val="false"/>
      </w:rPr>
    </w:lvl>
    <w:lvl w:ilvl="1">
      <w:start w:val="1"/>
      <w:numFmt w:val="lowerLetter"/>
      <w:lvlText w:val="%2)"/>
      <w:lvlJc w:val="left"/>
      <w:pPr>
        <w:ind w:left="1145" w:hanging="360"/>
      </w:pPr>
      <w:rPr>
        <w:b w:val="false"/>
      </w:r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5">
    <w:lvl w:ilvl="0">
      <w:start w:val="1"/>
      <w:numFmt w:val="decimal"/>
      <w:lvlText w:val="%1)"/>
      <w:lvlJc w:val="left"/>
      <w:pPr>
        <w:ind w:left="360" w:hanging="360"/>
      </w:pPr>
      <w:rPr>
        <w:sz w:val="22"/>
        <w:b/>
      </w:rPr>
    </w:lvl>
    <w:lvl w:ilvl="1">
      <w:start w:val="1"/>
      <w:numFmt w:val="lowerLetter"/>
      <w:lvlText w:val="%2)"/>
      <w:lvlJc w:val="left"/>
      <w:pPr>
        <w:ind w:left="720" w:hanging="360"/>
      </w:pPr>
      <w:rPr>
        <w:b w:val="fals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decimal"/>
      <w:lvlText w:val="%1)"/>
      <w:lvlJc w:val="left"/>
      <w:pPr>
        <w:ind w:left="785" w:hanging="360"/>
      </w:pPr>
      <w:rPr>
        <w:sz w:val="22"/>
        <w:b/>
      </w:rPr>
    </w:lvl>
    <w:lvl w:ilvl="1">
      <w:start w:val="1"/>
      <w:numFmt w:val="lowerLetter"/>
      <w:lvlText w:val="%2)"/>
      <w:lvlJc w:val="left"/>
      <w:pPr>
        <w:ind w:left="1145" w:hanging="360"/>
      </w:pPr>
      <w:rPr>
        <w:b w:val="false"/>
      </w:r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7">
    <w:lvl w:ilvl="0">
      <w:start w:val="1"/>
      <w:numFmt w:val="decimal"/>
      <w:lvlText w:val="%1)"/>
      <w:lvlJc w:val="left"/>
      <w:pPr>
        <w:ind w:left="785" w:hanging="360"/>
      </w:pPr>
      <w:rPr>
        <w:sz w:val="22"/>
        <w:b/>
      </w:rPr>
    </w:lvl>
    <w:lvl w:ilvl="1">
      <w:start w:val="1"/>
      <w:numFmt w:val="lowerLetter"/>
      <w:lvlText w:val="%2)"/>
      <w:lvlJc w:val="left"/>
      <w:pPr>
        <w:ind w:left="1636" w:hanging="360"/>
      </w:pPr>
      <w:rPr>
        <w:sz w:val="22"/>
        <w:b/>
      </w:r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8">
    <w:lvl w:ilvl="0">
      <w:start w:val="1"/>
      <w:numFmt w:val="decimal"/>
      <w:lvlText w:val="%1)"/>
      <w:lvlJc w:val="left"/>
      <w:pPr>
        <w:ind w:left="785" w:hanging="360"/>
      </w:pPr>
      <w:rPr>
        <w:sz w:val="22"/>
        <w:b/>
      </w:r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9">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lvl w:ilvl="0">
      <w:start w:val="1"/>
      <w:numFmt w:val="decimal"/>
      <w:lvlText w:val="%1)"/>
      <w:lvlJc w:val="left"/>
      <w:pPr>
        <w:ind w:left="786" w:hanging="360"/>
      </w:pPr>
      <w:rPr>
        <w:sz w:val="22"/>
        <w:b/>
      </w:rPr>
    </w:lvl>
    <w:lvl w:ilvl="1">
      <w:start w:val="1"/>
      <w:numFmt w:val="lowerLetter"/>
      <w:lvlText w:val="%2)"/>
      <w:lvlJc w:val="left"/>
      <w:pPr>
        <w:ind w:left="1146" w:hanging="360"/>
      </w:pPr>
      <w:rPr>
        <w:b w:val="false"/>
      </w:r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cs-CZ" w:eastAsia="en-US" w:bidi="ar-SA"/>
    </w:rPr>
  </w:style>
  <w:style w:type="paragraph" w:styleId="Nadpis1">
    <w:name w:val="Heading 1"/>
    <w:basedOn w:val="Normal"/>
    <w:link w:val="Nadpis1Char"/>
    <w:qFormat/>
    <w:rsid w:val="006d60fd"/>
    <w:pPr>
      <w:keepNext/>
      <w:numPr>
        <w:ilvl w:val="0"/>
        <w:numId w:val="1"/>
      </w:numPr>
      <w:spacing w:before="240" w:after="0"/>
      <w:jc w:val="both"/>
      <w:outlineLvl w:val="0"/>
      <w:outlineLvl w:val="0"/>
    </w:pPr>
    <w:rPr>
      <w:rFonts w:ascii="Times New Roman" w:hAnsi="Times New Roman" w:eastAsia="Times New Roman" w:cs="Arial"/>
      <w:b/>
      <w:bCs/>
      <w:caps/>
      <w:sz w:val="22"/>
      <w:szCs w:val="32"/>
    </w:rPr>
  </w:style>
  <w:style w:type="paragraph" w:styleId="Nadpis2">
    <w:name w:val="Heading 2"/>
    <w:basedOn w:val="Normal"/>
    <w:link w:val="Nadpis2Char"/>
    <w:uiPriority w:val="9"/>
    <w:semiHidden/>
    <w:unhideWhenUsed/>
    <w:qFormat/>
    <w:rsid w:val="006d60fd"/>
    <w:pPr>
      <w:keepNext/>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5f6826"/>
    <w:rPr/>
  </w:style>
  <w:style w:type="character" w:styleId="ZpatChar" w:customStyle="1">
    <w:name w:val="Zápatí Char"/>
    <w:basedOn w:val="DefaultParagraphFont"/>
    <w:link w:val="Zpat"/>
    <w:uiPriority w:val="99"/>
    <w:qFormat/>
    <w:rsid w:val="005f6826"/>
    <w:rPr/>
  </w:style>
  <w:style w:type="character" w:styleId="Internetovodkaz">
    <w:name w:val="Internetový odkaz"/>
    <w:basedOn w:val="DefaultParagraphFont"/>
    <w:uiPriority w:val="99"/>
    <w:unhideWhenUsed/>
    <w:rsid w:val="00fd10cd"/>
    <w:rPr>
      <w:color w:val="0563C1" w:themeColor="hyperlink"/>
      <w:u w:val="single"/>
    </w:rPr>
  </w:style>
  <w:style w:type="character" w:styleId="Nadpis1Char" w:customStyle="1">
    <w:name w:val="Nadpis 1 Char"/>
    <w:basedOn w:val="DefaultParagraphFont"/>
    <w:link w:val="Nadpis1"/>
    <w:qFormat/>
    <w:rsid w:val="006d60fd"/>
    <w:rPr>
      <w:rFonts w:ascii="Times New Roman" w:hAnsi="Times New Roman" w:eastAsia="Times New Roman" w:cs="Arial"/>
      <w:b/>
      <w:bCs/>
      <w:caps/>
      <w:sz w:val="22"/>
      <w:szCs w:val="32"/>
    </w:rPr>
  </w:style>
  <w:style w:type="character" w:styleId="Clanek11Char" w:customStyle="1">
    <w:name w:val="Clanek 1.1 Char"/>
    <w:link w:val="Clanek11"/>
    <w:qFormat/>
    <w:locked/>
    <w:rsid w:val="006d60fd"/>
    <w:rPr>
      <w:rFonts w:ascii="Times New Roman" w:hAnsi="Times New Roman" w:eastAsia="Times New Roman" w:cs="Arial"/>
      <w:bCs/>
      <w:iCs/>
      <w:sz w:val="22"/>
      <w:szCs w:val="28"/>
    </w:rPr>
  </w:style>
  <w:style w:type="character" w:styleId="Nadpis2Char" w:customStyle="1">
    <w:name w:val="Nadpis 2 Char"/>
    <w:basedOn w:val="DefaultParagraphFont"/>
    <w:link w:val="Nadpis2"/>
    <w:uiPriority w:val="9"/>
    <w:semiHidden/>
    <w:qFormat/>
    <w:rsid w:val="006d60fd"/>
    <w:rPr>
      <w:rFonts w:ascii="Calibri Light" w:hAnsi="Calibri Light" w:eastAsia="" w:cs="" w:asciiTheme="majorHAnsi" w:cstheme="majorBidi" w:eastAsiaTheme="majorEastAsia" w:hAnsiTheme="majorHAnsi"/>
      <w:color w:val="2F5496" w:themeColor="accent1" w:themeShade="bf"/>
      <w:sz w:val="26"/>
      <w:szCs w:val="26"/>
    </w:rPr>
  </w:style>
  <w:style w:type="character" w:styleId="RLTextlnkuslovanChar" w:customStyle="1">
    <w:name w:val="RL Text článku číslovaný Char"/>
    <w:link w:val="RLTextlnkuslovan"/>
    <w:qFormat/>
    <w:rsid w:val="00121f3f"/>
    <w:rPr>
      <w:rFonts w:ascii="Calibri" w:hAnsi="Calibri" w:eastAsia="Times New Roman" w:cs="Times New Roman"/>
      <w:sz w:val="22"/>
    </w:rPr>
  </w:style>
  <w:style w:type="character" w:styleId="OdstavecseseznamemChar" w:customStyle="1">
    <w:name w:val="Odstavec se seznamem Char"/>
    <w:link w:val="Odstavecseseznamem"/>
    <w:uiPriority w:val="99"/>
    <w:qFormat/>
    <w:rsid w:val="0083151a"/>
    <w:rPr/>
  </w:style>
  <w:style w:type="character" w:styleId="Appleconvertedspace" w:customStyle="1">
    <w:name w:val="apple-converted-space"/>
    <w:basedOn w:val="DefaultParagraphFont"/>
    <w:qFormat/>
    <w:rsid w:val="00e05781"/>
    <w:rPr/>
  </w:style>
  <w:style w:type="character" w:styleId="ListLabel1">
    <w:name w:val="ListLabel 1"/>
    <w:qFormat/>
    <w:rPr>
      <w:b w:val="false"/>
    </w:rPr>
  </w:style>
  <w:style w:type="character" w:styleId="ListLabel2">
    <w:name w:val="ListLabel 2"/>
    <w:qFormat/>
    <w:rPr>
      <w:rFonts w:eastAsia="Calibri" w:cs=""/>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b w:val="false"/>
      <w:sz w:val="22"/>
    </w:rPr>
  </w:style>
  <w:style w:type="character" w:styleId="ListLabel13">
    <w:name w:val="ListLabel 13"/>
    <w:qFormat/>
    <w:rPr>
      <w:b/>
      <w:sz w:val="24"/>
      <w:szCs w:val="26"/>
      <w:u w:val="non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rPr>
  </w:style>
  <w:style w:type="character" w:styleId="ListLabel20">
    <w:name w:val="ListLabel 20"/>
    <w:qFormat/>
    <w:rPr>
      <w:b/>
      <w:i w:val="false"/>
      <w:sz w:val="22"/>
    </w:rPr>
  </w:style>
  <w:style w:type="character" w:styleId="ListLabel21">
    <w:name w:val="ListLabel 21"/>
    <w:qFormat/>
    <w:rPr>
      <w:b/>
      <w:i w:val="false"/>
      <w:sz w:val="22"/>
    </w:rPr>
  </w:style>
  <w:style w:type="character" w:styleId="ListLabel22">
    <w:name w:val="ListLabel 22"/>
    <w:qFormat/>
    <w:rPr>
      <w:b w:val="false"/>
    </w:rPr>
  </w:style>
  <w:style w:type="character" w:styleId="ListLabel23">
    <w:name w:val="ListLabel 23"/>
    <w:qFormat/>
    <w:rPr>
      <w:b/>
      <w:sz w:val="22"/>
    </w:rPr>
  </w:style>
  <w:style w:type="character" w:styleId="ListLabel24">
    <w:name w:val="ListLabel 24"/>
    <w:qFormat/>
    <w:rPr>
      <w:b/>
      <w:i w:val="false"/>
      <w:color w:val="00000A"/>
      <w:sz w:val="22"/>
    </w:rPr>
  </w:style>
  <w:style w:type="character" w:styleId="ListLabel25">
    <w:name w:val="ListLabel 25"/>
    <w:qFormat/>
    <w:rPr>
      <w:rFonts w:cs="Times New Roman"/>
      <w:b w:val="false"/>
      <w:caps w:val="false"/>
      <w:smallCaps w:val="false"/>
      <w:color w:val="00000A"/>
    </w:rPr>
  </w:style>
  <w:style w:type="character" w:styleId="ListLabel26">
    <w:name w:val="ListLabel 26"/>
    <w:qFormat/>
    <w:rPr>
      <w:rFonts w:cs="Times New Roman"/>
    </w:rPr>
  </w:style>
  <w:style w:type="character" w:styleId="ListLabel27">
    <w:name w:val="ListLabel 27"/>
    <w:qFormat/>
    <w:rPr>
      <w:b w:val="false"/>
    </w:rPr>
  </w:style>
  <w:style w:type="character" w:styleId="ListLabel28">
    <w:name w:val="ListLabel 28"/>
    <w:qFormat/>
    <w:rPr>
      <w:b w:val="false"/>
    </w:rPr>
  </w:style>
  <w:style w:type="character" w:styleId="ListLabel29">
    <w:name w:val="ListLabel 29"/>
    <w:qFormat/>
    <w:rPr>
      <w:b w:val="false"/>
      <w:sz w:val="22"/>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i w:val="false"/>
      <w:sz w:val="22"/>
    </w:rPr>
  </w:style>
  <w:style w:type="character" w:styleId="ListLabel35">
    <w:name w:val="ListLabel 35"/>
    <w:qFormat/>
    <w:rPr>
      <w:b/>
      <w:i w:val="false"/>
      <w:sz w:val="22"/>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sz w:val="22"/>
    </w:rPr>
  </w:style>
  <w:style w:type="character" w:styleId="ListLabel40">
    <w:name w:val="ListLabel 40"/>
    <w:qFormat/>
    <w:rPr>
      <w:b w:val="false"/>
    </w:rPr>
  </w:style>
  <w:style w:type="character" w:styleId="ListLabel41">
    <w:name w:val="ListLabel 41"/>
    <w:qFormat/>
    <w:rPr>
      <w:b/>
      <w:i w:val="false"/>
      <w:caps/>
      <w:strike w:val="false"/>
      <w:dstrike w:val="false"/>
      <w:vanish w:val="false"/>
      <w:color w:val="000000"/>
      <w:position w:val="0"/>
      <w:sz w:val="22"/>
      <w:sz w:val="22"/>
      <w:szCs w:val="22"/>
      <w:vertAlign w:val="baseline"/>
    </w:rPr>
  </w:style>
  <w:style w:type="character" w:styleId="ListLabel42">
    <w:name w:val="ListLabel 42"/>
    <w:qFormat/>
    <w:rPr>
      <w:rFonts w:cs="Times New Roman"/>
      <w:b w:val="false"/>
      <w:bCs w:val="false"/>
      <w:i w:val="false"/>
      <w:iCs w:val="false"/>
      <w:caps w:val="false"/>
      <w:smallCaps w:val="false"/>
      <w:strike w:val="false"/>
      <w:dstrike w:val="false"/>
      <w:outline w:val="false"/>
      <w:shadow w:val="false"/>
      <w:emboss w:val="false"/>
      <w:imprint w:val="false"/>
      <w:vanish w:val="false"/>
      <w:spacing w:val="0"/>
      <w:position w:val="0"/>
      <w:sz w:val="24"/>
      <w:u w:val="none"/>
      <w:effect w:val="none"/>
      <w:vertAlign w:val="baseline"/>
      <w:em w:val="none"/>
    </w:rPr>
  </w:style>
  <w:style w:type="character" w:styleId="ListLabel43">
    <w:name w:val="ListLabel 43"/>
    <w:qFormat/>
    <w:rPr>
      <w:b/>
      <w:sz w:val="22"/>
    </w:rPr>
  </w:style>
  <w:style w:type="character" w:styleId="ListLabel44">
    <w:name w:val="ListLabel 44"/>
    <w:qFormat/>
    <w:rPr>
      <w:b/>
      <w:i w:val="false"/>
      <w:color w:val="00000A"/>
      <w:sz w:val="22"/>
    </w:rPr>
  </w:style>
  <w:style w:type="character" w:styleId="ListLabel45">
    <w:name w:val="ListLabel 45"/>
    <w:qFormat/>
    <w:rPr>
      <w:rFonts w:cs="Times New Roman"/>
      <w:b w:val="false"/>
      <w:caps w:val="false"/>
      <w:smallCaps w:val="false"/>
      <w:color w:val="00000A"/>
    </w:rPr>
  </w:style>
  <w:style w:type="character" w:styleId="ListLabel46">
    <w:name w:val="ListLabel 46"/>
    <w:qFormat/>
    <w:rPr>
      <w:rFonts w:cs="Times New Roman"/>
    </w:rPr>
  </w:style>
  <w:style w:type="character" w:styleId="ListLabel47">
    <w:name w:val="ListLabel 47"/>
    <w:qFormat/>
    <w:rPr>
      <w:b/>
      <w:sz w:val="22"/>
    </w:rPr>
  </w:style>
  <w:style w:type="character" w:styleId="ListLabel48">
    <w:name w:val="ListLabel 48"/>
    <w:qFormat/>
    <w:rPr>
      <w:b w:val="false"/>
    </w:rPr>
  </w:style>
  <w:style w:type="character" w:styleId="ListLabel49">
    <w:name w:val="ListLabel 49"/>
    <w:qFormat/>
    <w:rPr>
      <w:b/>
      <w:sz w:val="22"/>
    </w:rPr>
  </w:style>
  <w:style w:type="character" w:styleId="ListLabel50">
    <w:name w:val="ListLabel 50"/>
    <w:qFormat/>
    <w:rPr>
      <w:b/>
      <w:i w:val="false"/>
      <w:color w:val="00000A"/>
      <w:sz w:val="22"/>
    </w:rPr>
  </w:style>
  <w:style w:type="character" w:styleId="ListLabel51">
    <w:name w:val="ListLabel 51"/>
    <w:qFormat/>
    <w:rPr>
      <w:rFonts w:cs="Times New Roman"/>
      <w:b w:val="false"/>
      <w:caps w:val="false"/>
      <w:smallCaps w:val="false"/>
      <w:color w:val="00000A"/>
    </w:rPr>
  </w:style>
  <w:style w:type="character" w:styleId="ListLabel52">
    <w:name w:val="ListLabel 52"/>
    <w:qFormat/>
    <w:rPr>
      <w:rFonts w:cs="Times New Roman"/>
    </w:rPr>
  </w:style>
  <w:style w:type="character" w:styleId="ListLabel53">
    <w:name w:val="ListLabel 53"/>
    <w:qFormat/>
    <w:rPr>
      <w:b/>
      <w:sz w:val="22"/>
    </w:rPr>
  </w:style>
  <w:style w:type="character" w:styleId="ListLabel54">
    <w:name w:val="ListLabel 54"/>
    <w:qFormat/>
    <w:rPr>
      <w:b/>
      <w:sz w:val="22"/>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b/>
      <w:sz w:val="22"/>
    </w:rPr>
  </w:style>
  <w:style w:type="character" w:styleId="ListLabel60">
    <w:name w:val="ListLabel 60"/>
    <w:qFormat/>
    <w:rPr>
      <w:b w:val="false"/>
    </w:rPr>
  </w:style>
  <w:style w:type="character" w:styleId="ListLabel61">
    <w:name w:val="ListLabel 61"/>
    <w:qFormat/>
    <w:rPr>
      <w:b w:val="false"/>
    </w:rPr>
  </w:style>
  <w:style w:type="character" w:styleId="ListLabel62">
    <w:name w:val="ListLabel 62"/>
    <w:qFormat/>
    <w:rPr>
      <w:b/>
      <w:sz w:val="22"/>
    </w:rPr>
  </w:style>
  <w:style w:type="character" w:styleId="ListLabel63">
    <w:name w:val="ListLabel 63"/>
    <w:qFormat/>
    <w:rPr>
      <w:b/>
      <w:i w:val="false"/>
      <w:color w:val="00000A"/>
      <w:sz w:val="22"/>
    </w:rPr>
  </w:style>
  <w:style w:type="character" w:styleId="ListLabel64">
    <w:name w:val="ListLabel 64"/>
    <w:qFormat/>
    <w:rPr>
      <w:rFonts w:cs="Times New Roman"/>
      <w:b w:val="false"/>
      <w:caps w:val="false"/>
      <w:smallCaps w:val="false"/>
      <w:color w:val="00000A"/>
    </w:rPr>
  </w:style>
  <w:style w:type="character" w:styleId="ListLabel65">
    <w:name w:val="ListLabel 65"/>
    <w:qFormat/>
    <w:rPr>
      <w:rFonts w:cs="Times New Roman"/>
    </w:rPr>
  </w:style>
  <w:style w:type="character" w:styleId="ListLabel66">
    <w:name w:val="ListLabel 66"/>
    <w:qFormat/>
    <w:rPr>
      <w:b/>
      <w:sz w:val="22"/>
    </w:rPr>
  </w:style>
  <w:style w:type="character" w:styleId="ListLabel67">
    <w:name w:val="ListLabel 67"/>
    <w:qFormat/>
    <w:rPr>
      <w:b/>
      <w:i w:val="false"/>
      <w:color w:val="00000A"/>
      <w:sz w:val="22"/>
    </w:rPr>
  </w:style>
  <w:style w:type="character" w:styleId="ListLabel68">
    <w:name w:val="ListLabel 68"/>
    <w:qFormat/>
    <w:rPr>
      <w:rFonts w:cs="Times New Roman"/>
      <w:b w:val="false"/>
      <w:caps w:val="false"/>
      <w:smallCaps w:val="false"/>
      <w:color w:val="00000A"/>
    </w:rPr>
  </w:style>
  <w:style w:type="character" w:styleId="ListLabel69">
    <w:name w:val="ListLabel 69"/>
    <w:qFormat/>
    <w:rPr>
      <w:rFonts w:cs="Times New Roman"/>
    </w:rPr>
  </w:style>
  <w:style w:type="character" w:styleId="ListLabel70">
    <w:name w:val="ListLabel 70"/>
    <w:qFormat/>
    <w:rPr>
      <w:b w:val="false"/>
    </w:rPr>
  </w:style>
  <w:style w:type="character" w:styleId="ListLabel71">
    <w:name w:val="ListLabel 71"/>
    <w:qFormat/>
    <w:rPr>
      <w:b/>
      <w:sz w:val="22"/>
    </w:rPr>
  </w:style>
  <w:style w:type="character" w:styleId="ListLabel72">
    <w:name w:val="ListLabel 72"/>
    <w:qFormat/>
    <w:rPr>
      <w:b w:val="false"/>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
    <w:name w:val="Header"/>
    <w:basedOn w:val="Normal"/>
    <w:link w:val="ZhlavChar"/>
    <w:uiPriority w:val="99"/>
    <w:unhideWhenUsed/>
    <w:rsid w:val="005f6826"/>
    <w:pPr>
      <w:tabs>
        <w:tab w:val="center" w:pos="4536" w:leader="none"/>
        <w:tab w:val="right" w:pos="9072" w:leader="none"/>
      </w:tabs>
    </w:pPr>
    <w:rPr/>
  </w:style>
  <w:style w:type="paragraph" w:styleId="Zpat">
    <w:name w:val="Footer"/>
    <w:basedOn w:val="Normal"/>
    <w:link w:val="ZpatChar"/>
    <w:uiPriority w:val="99"/>
    <w:unhideWhenUsed/>
    <w:rsid w:val="005f6826"/>
    <w:pPr>
      <w:tabs>
        <w:tab w:val="center" w:pos="4536" w:leader="none"/>
        <w:tab w:val="right" w:pos="9072" w:leader="none"/>
      </w:tabs>
    </w:pPr>
    <w:rPr/>
  </w:style>
  <w:style w:type="paragraph" w:styleId="ListParagraph">
    <w:name w:val="List Paragraph"/>
    <w:basedOn w:val="Normal"/>
    <w:link w:val="OdstavecseseznamemChar"/>
    <w:uiPriority w:val="99"/>
    <w:qFormat/>
    <w:rsid w:val="0067599b"/>
    <w:pPr>
      <w:spacing w:before="0" w:after="0"/>
      <w:ind w:left="720" w:hanging="0"/>
      <w:contextualSpacing/>
    </w:pPr>
    <w:rPr/>
  </w:style>
  <w:style w:type="paragraph" w:styleId="Clanek11" w:customStyle="1">
    <w:name w:val="Clanek 1.1"/>
    <w:basedOn w:val="Nadpis2"/>
    <w:link w:val="Clanek11Char"/>
    <w:qFormat/>
    <w:rsid w:val="006d60fd"/>
    <w:pPr>
      <w:keepNext/>
      <w:keepLines w:val="false"/>
      <w:widowControl w:val="false"/>
      <w:spacing w:before="120" w:after="120"/>
      <w:jc w:val="both"/>
    </w:pPr>
    <w:rPr>
      <w:rFonts w:ascii="Times New Roman" w:hAnsi="Times New Roman" w:eastAsia="Times New Roman" w:cs="Arial"/>
      <w:bCs/>
      <w:iCs/>
      <w:color w:val="00000A"/>
      <w:sz w:val="22"/>
      <w:szCs w:val="28"/>
    </w:rPr>
  </w:style>
  <w:style w:type="paragraph" w:styleId="Claneka" w:customStyle="1">
    <w:name w:val="Clanek (a)"/>
    <w:basedOn w:val="Normal"/>
    <w:qFormat/>
    <w:rsid w:val="006d60fd"/>
    <w:pPr>
      <w:keepLines/>
      <w:widowControl w:val="false"/>
      <w:spacing w:before="120" w:after="120"/>
      <w:jc w:val="both"/>
    </w:pPr>
    <w:rPr>
      <w:rFonts w:ascii="Times New Roman" w:hAnsi="Times New Roman" w:eastAsia="Times New Roman" w:cs="Times New Roman"/>
      <w:sz w:val="22"/>
    </w:rPr>
  </w:style>
  <w:style w:type="paragraph" w:styleId="Claneki" w:customStyle="1">
    <w:name w:val="Clanek (i)"/>
    <w:basedOn w:val="Normal"/>
    <w:qFormat/>
    <w:rsid w:val="006d60fd"/>
    <w:pPr>
      <w:keepNext/>
      <w:spacing w:before="120" w:after="120"/>
      <w:jc w:val="both"/>
    </w:pPr>
    <w:rPr>
      <w:rFonts w:ascii="Times New Roman" w:hAnsi="Times New Roman" w:eastAsia="Times New Roman" w:cs="Times New Roman"/>
      <w:color w:val="000000"/>
      <w:sz w:val="22"/>
    </w:rPr>
  </w:style>
  <w:style w:type="paragraph" w:styleId="RLTextlnkuslovan" w:customStyle="1">
    <w:name w:val="RL Text článku číslovaný"/>
    <w:basedOn w:val="Normal"/>
    <w:link w:val="RLTextlnkuslovanChar"/>
    <w:qFormat/>
    <w:rsid w:val="00121f3f"/>
    <w:pPr>
      <w:spacing w:lineRule="exact" w:line="280" w:before="0" w:after="120"/>
      <w:jc w:val="both"/>
    </w:pPr>
    <w:rPr>
      <w:rFonts w:ascii="Calibri" w:hAnsi="Calibri" w:eastAsia="Times New Roman" w:cs="Times New Roman"/>
      <w:sz w:val="22"/>
    </w:rPr>
  </w:style>
  <w:style w:type="paragraph" w:styleId="RLlneksmlouvy" w:customStyle="1">
    <w:name w:val="RL Článek smlouvy"/>
    <w:basedOn w:val="Normal"/>
    <w:qFormat/>
    <w:rsid w:val="00121f3f"/>
    <w:pPr>
      <w:keepNext/>
      <w:suppressAutoHyphens w:val="true"/>
      <w:spacing w:lineRule="exact" w:line="280" w:before="360" w:after="120"/>
      <w:jc w:val="both"/>
      <w:outlineLvl w:val="0"/>
    </w:pPr>
    <w:rPr>
      <w:rFonts w:ascii="Calibri" w:hAnsi="Calibri" w:eastAsia="Times New Roman" w:cs="Times New Roman"/>
      <w:b/>
      <w:sz w:val="22"/>
    </w:rPr>
  </w:style>
  <w:style w:type="paragraph" w:styleId="NormalWeb">
    <w:name w:val="Normal (Web)"/>
    <w:basedOn w:val="Normal"/>
    <w:uiPriority w:val="99"/>
    <w:semiHidden/>
    <w:unhideWhenUsed/>
    <w:qFormat/>
    <w:rsid w:val="00e05781"/>
    <w:pPr>
      <w:spacing w:beforeAutospacing="1" w:afterAutospacing="1"/>
    </w:pPr>
    <w:rPr>
      <w:rFonts w:ascii="Times New Roman" w:hAnsi="Times New Roman" w:cs="Times New Roman"/>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dprdoskol.cz/" TargetMode="External"/><Relationship Id="rId3" Type="http://schemas.openxmlformats.org/officeDocument/2006/relationships/hyperlink" Target="mailto:info@scholaservis.cz"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BAEEDA-8998-B24A-A0E7-0EF4083F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Application>LibreOffice/5.3.4.2$Windows_x86 LibreOffice_project/f82d347ccc0be322489bf7da61d7e4ad13fe2ff3</Application>
  <Pages>3</Pages>
  <Words>1729</Words>
  <Characters>10241</Characters>
  <CharactersWithSpaces>11938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2017-10-12T07:02:00Z</dcterms:created>
  <dc:creator>Fiala Ondrej</dc:creator>
  <dc:description/>
  <dc:language>cs-CZ</dc:language>
  <cp:lastModifiedBy>Fiala Ondrej</cp:lastModifiedBy>
  <dcterms:modified xsi:type="dcterms:W3CDTF">2017-11-26T18:02:00Z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