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4741F5" w:rsidP="004741F5">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r w:rsidR="001E08C9">
        <w:rPr>
          <w:rFonts w:ascii="Arial" w:hAnsi="Arial" w:cs="Arial"/>
          <w:b/>
          <w:sz w:val="22"/>
          <w:szCs w:val="22"/>
        </w:rPr>
        <w:t>01/2018</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4741F5">
        <w:rPr>
          <w:rFonts w:ascii="Arial" w:hAnsi="Arial" w:cs="Arial"/>
          <w:b/>
          <w:sz w:val="22"/>
          <w:szCs w:val="22"/>
        </w:rPr>
        <w:t xml:space="preserve">: </w:t>
      </w:r>
      <w:r w:rsidR="004741F5" w:rsidRPr="004741F5">
        <w:rPr>
          <w:rFonts w:ascii="Arial" w:hAnsi="Arial" w:cs="Arial"/>
          <w:b/>
          <w:sz w:val="22"/>
          <w:szCs w:val="22"/>
        </w:rPr>
        <w:t>519</w:t>
      </w:r>
      <w:r w:rsidRPr="004741F5">
        <w:rPr>
          <w:rFonts w:ascii="Arial" w:hAnsi="Arial" w:cs="Arial"/>
          <w:b/>
          <w:sz w:val="22"/>
          <w:szCs w:val="22"/>
        </w:rPr>
        <w:t>/20</w:t>
      </w:r>
      <w:r w:rsidR="004741F5" w:rsidRPr="004741F5">
        <w:rPr>
          <w:rFonts w:ascii="Arial" w:hAnsi="Arial" w:cs="Arial"/>
          <w:b/>
          <w:sz w:val="22"/>
          <w:szCs w:val="22"/>
        </w:rPr>
        <w:t>18</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7B7F4D" w:rsidRDefault="007B7F4D" w:rsidP="002A01A5">
      <w:pPr>
        <w:tabs>
          <w:tab w:val="left" w:pos="4080"/>
        </w:tabs>
        <w:jc w:val="center"/>
        <w:rPr>
          <w:rFonts w:ascii="Arial" w:hAnsi="Arial" w:cs="Arial"/>
          <w:b/>
          <w:sz w:val="28"/>
          <w:szCs w:val="28"/>
        </w:rPr>
      </w:pPr>
      <w:r w:rsidRPr="007B7F4D">
        <w:rPr>
          <w:rFonts w:ascii="Arial" w:hAnsi="Arial" w:cs="Arial"/>
          <w:b/>
          <w:sz w:val="28"/>
          <w:szCs w:val="28"/>
        </w:rPr>
        <w:t xml:space="preserve">Oprava Rožanského potoka v Království podél komunikace – </w:t>
      </w:r>
    </w:p>
    <w:p w:rsidR="00EC7CFB" w:rsidRDefault="007B7F4D" w:rsidP="002A01A5">
      <w:pPr>
        <w:tabs>
          <w:tab w:val="left" w:pos="4080"/>
        </w:tabs>
        <w:jc w:val="center"/>
        <w:rPr>
          <w:rFonts w:ascii="Arial" w:hAnsi="Arial" w:cs="Arial"/>
          <w:b/>
          <w:sz w:val="28"/>
          <w:szCs w:val="28"/>
        </w:rPr>
      </w:pPr>
      <w:r w:rsidRPr="007B7F4D">
        <w:rPr>
          <w:rFonts w:ascii="Arial" w:hAnsi="Arial" w:cs="Arial"/>
          <w:b/>
          <w:sz w:val="28"/>
          <w:szCs w:val="28"/>
        </w:rPr>
        <w:t>II. etapa</w:t>
      </w:r>
    </w:p>
    <w:p w:rsidR="007B7F4D" w:rsidRPr="00386410" w:rsidRDefault="007B7F4D"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547DC4"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Pr="00547DC4" w:rsidRDefault="00B015A5" w:rsidP="00B015A5">
      <w:pPr>
        <w:tabs>
          <w:tab w:val="left" w:pos="3960"/>
        </w:tabs>
        <w:jc w:val="both"/>
        <w:rPr>
          <w:rFonts w:ascii="Arial" w:hAnsi="Arial" w:cs="Arial"/>
          <w:sz w:val="22"/>
          <w:szCs w:val="22"/>
        </w:rPr>
      </w:pPr>
      <w:r w:rsidRPr="00547DC4">
        <w:rPr>
          <w:rFonts w:ascii="Arial" w:hAnsi="Arial" w:cs="Arial"/>
          <w:sz w:val="22"/>
          <w:szCs w:val="22"/>
        </w:rPr>
        <w:tab/>
      </w:r>
    </w:p>
    <w:p w:rsidR="00B015A5" w:rsidRPr="00547DC4" w:rsidRDefault="00B015A5" w:rsidP="00B015A5">
      <w:pPr>
        <w:tabs>
          <w:tab w:val="left" w:pos="3960"/>
        </w:tabs>
        <w:jc w:val="both"/>
        <w:rPr>
          <w:rFonts w:ascii="Arial" w:hAnsi="Arial" w:cs="Arial"/>
          <w:b/>
          <w:sz w:val="22"/>
          <w:szCs w:val="22"/>
        </w:rPr>
      </w:pPr>
      <w:r w:rsidRPr="00547DC4">
        <w:rPr>
          <w:rFonts w:ascii="Arial" w:hAnsi="Arial" w:cs="Arial"/>
          <w:b/>
          <w:sz w:val="22"/>
          <w:szCs w:val="22"/>
        </w:rPr>
        <w:t>bankovní spojení:</w:t>
      </w:r>
      <w:r w:rsidRPr="00547DC4">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547DC4">
        <w:rPr>
          <w:rFonts w:ascii="Arial" w:hAnsi="Arial" w:cs="Arial"/>
          <w:b/>
          <w:sz w:val="22"/>
          <w:szCs w:val="22"/>
        </w:rPr>
        <w:t>číslo účtu:</w:t>
      </w:r>
      <w:r w:rsidRPr="00547DC4">
        <w:rPr>
          <w:rFonts w:ascii="Arial" w:hAnsi="Arial" w:cs="Arial"/>
          <w:b/>
          <w:sz w:val="22"/>
          <w:szCs w:val="22"/>
        </w:rPr>
        <w:tab/>
      </w:r>
    </w:p>
    <w:p w:rsidR="001E08C9" w:rsidRPr="00D74A50" w:rsidRDefault="001E08C9"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4741F5" w:rsidRPr="004741F5" w:rsidRDefault="00281A52" w:rsidP="004741F5">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4741F5" w:rsidRPr="004741F5">
        <w:rPr>
          <w:rFonts w:ascii="Arial" w:hAnsi="Arial" w:cs="Arial"/>
          <w:sz w:val="22"/>
          <w:szCs w:val="22"/>
        </w:rPr>
        <w:t>NOPESTAV s.r.o.</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sz w:val="22"/>
          <w:szCs w:val="22"/>
        </w:rPr>
        <w:t xml:space="preserve">                                                            Janáčkova 406/5a, Krásné Březno, </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sz w:val="22"/>
          <w:szCs w:val="22"/>
        </w:rPr>
        <w:tab/>
        <w:t>400 07 Ústí nad Labem</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b/>
          <w:sz w:val="22"/>
          <w:szCs w:val="22"/>
        </w:rPr>
        <w:t>IČO:</w:t>
      </w:r>
      <w:r w:rsidRPr="004741F5">
        <w:rPr>
          <w:rFonts w:ascii="Arial" w:hAnsi="Arial" w:cs="Arial"/>
          <w:sz w:val="22"/>
          <w:szCs w:val="22"/>
        </w:rPr>
        <w:tab/>
        <w:t>04952049</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b/>
          <w:sz w:val="22"/>
          <w:szCs w:val="22"/>
        </w:rPr>
        <w:t>DIČ:</w:t>
      </w:r>
      <w:r w:rsidRPr="004741F5">
        <w:rPr>
          <w:rFonts w:ascii="Arial" w:hAnsi="Arial" w:cs="Arial"/>
          <w:sz w:val="22"/>
          <w:szCs w:val="22"/>
        </w:rPr>
        <w:tab/>
        <w:t>CZ04952049</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b/>
          <w:sz w:val="22"/>
          <w:szCs w:val="22"/>
        </w:rPr>
        <w:t>zastoupený:</w:t>
      </w:r>
      <w:r w:rsidRPr="004741F5">
        <w:rPr>
          <w:rFonts w:ascii="Arial" w:hAnsi="Arial" w:cs="Arial"/>
          <w:sz w:val="22"/>
          <w:szCs w:val="22"/>
        </w:rPr>
        <w:tab/>
        <w:t>Petrem Novotným, jednatelem</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b/>
          <w:sz w:val="22"/>
          <w:szCs w:val="22"/>
        </w:rPr>
        <w:t>zástupce ve věcech smluvních:</w:t>
      </w:r>
      <w:r w:rsidRPr="004741F5">
        <w:rPr>
          <w:rFonts w:ascii="Arial" w:hAnsi="Arial" w:cs="Arial"/>
          <w:sz w:val="22"/>
          <w:szCs w:val="22"/>
        </w:rPr>
        <w:tab/>
        <w:t>Petr Novotný, jednatel</w:t>
      </w:r>
    </w:p>
    <w:p w:rsidR="001E08C9" w:rsidRDefault="004741F5" w:rsidP="004741F5">
      <w:pPr>
        <w:tabs>
          <w:tab w:val="left" w:pos="3960"/>
        </w:tabs>
        <w:jc w:val="both"/>
        <w:rPr>
          <w:rFonts w:ascii="Arial" w:hAnsi="Arial" w:cs="Arial"/>
          <w:sz w:val="22"/>
          <w:szCs w:val="22"/>
        </w:rPr>
      </w:pPr>
      <w:r w:rsidRPr="004741F5">
        <w:rPr>
          <w:rFonts w:ascii="Arial" w:hAnsi="Arial" w:cs="Arial"/>
          <w:b/>
          <w:sz w:val="22"/>
          <w:szCs w:val="22"/>
        </w:rPr>
        <w:t>zástupce ve věcech technických:</w:t>
      </w:r>
      <w:r w:rsidRPr="004741F5">
        <w:rPr>
          <w:rFonts w:ascii="Arial" w:hAnsi="Arial" w:cs="Arial"/>
          <w:sz w:val="22"/>
          <w:szCs w:val="22"/>
        </w:rPr>
        <w:tab/>
      </w:r>
    </w:p>
    <w:p w:rsidR="001E08C9" w:rsidRDefault="004741F5" w:rsidP="004741F5">
      <w:pPr>
        <w:tabs>
          <w:tab w:val="left" w:pos="3960"/>
        </w:tabs>
        <w:jc w:val="both"/>
        <w:rPr>
          <w:rFonts w:ascii="Arial" w:hAnsi="Arial" w:cs="Arial"/>
          <w:sz w:val="22"/>
          <w:szCs w:val="22"/>
        </w:rPr>
      </w:pPr>
      <w:r w:rsidRPr="004741F5">
        <w:rPr>
          <w:rFonts w:ascii="Arial" w:hAnsi="Arial" w:cs="Arial"/>
          <w:b/>
          <w:sz w:val="22"/>
          <w:szCs w:val="22"/>
        </w:rPr>
        <w:t>stavbyvedoucí:</w:t>
      </w:r>
      <w:r w:rsidRPr="004741F5">
        <w:rPr>
          <w:rFonts w:ascii="Arial" w:hAnsi="Arial" w:cs="Arial"/>
          <w:sz w:val="22"/>
          <w:szCs w:val="22"/>
        </w:rPr>
        <w:tab/>
      </w:r>
    </w:p>
    <w:p w:rsidR="001E08C9" w:rsidRDefault="004741F5" w:rsidP="004741F5">
      <w:pPr>
        <w:tabs>
          <w:tab w:val="left" w:pos="3960"/>
        </w:tabs>
        <w:jc w:val="both"/>
        <w:rPr>
          <w:rFonts w:ascii="Arial" w:hAnsi="Arial" w:cs="Arial"/>
          <w:sz w:val="22"/>
          <w:szCs w:val="22"/>
        </w:rPr>
      </w:pPr>
      <w:r w:rsidRPr="004741F5">
        <w:rPr>
          <w:rFonts w:ascii="Arial" w:hAnsi="Arial" w:cs="Arial"/>
          <w:b/>
          <w:sz w:val="22"/>
          <w:szCs w:val="22"/>
        </w:rPr>
        <w:t>manažer stavby:</w:t>
      </w:r>
      <w:r w:rsidRPr="004741F5">
        <w:rPr>
          <w:rFonts w:ascii="Arial" w:hAnsi="Arial" w:cs="Arial"/>
          <w:sz w:val="22"/>
          <w:szCs w:val="22"/>
        </w:rPr>
        <w:tab/>
      </w:r>
    </w:p>
    <w:p w:rsidR="001E08C9" w:rsidRPr="004741F5" w:rsidRDefault="004741F5" w:rsidP="004741F5">
      <w:pPr>
        <w:tabs>
          <w:tab w:val="left" w:pos="3960"/>
        </w:tabs>
        <w:jc w:val="both"/>
        <w:rPr>
          <w:rFonts w:ascii="Arial" w:hAnsi="Arial" w:cs="Arial"/>
          <w:sz w:val="22"/>
          <w:szCs w:val="22"/>
        </w:rPr>
      </w:pPr>
      <w:r w:rsidRPr="004741F5">
        <w:rPr>
          <w:rFonts w:ascii="Arial" w:hAnsi="Arial" w:cs="Arial"/>
          <w:sz w:val="22"/>
          <w:szCs w:val="22"/>
        </w:rPr>
        <w:tab/>
      </w:r>
    </w:p>
    <w:p w:rsidR="001E08C9" w:rsidRPr="004741F5" w:rsidRDefault="004741F5" w:rsidP="004741F5">
      <w:pPr>
        <w:tabs>
          <w:tab w:val="left" w:pos="3960"/>
        </w:tabs>
        <w:jc w:val="both"/>
        <w:rPr>
          <w:rFonts w:ascii="Arial" w:hAnsi="Arial" w:cs="Arial"/>
          <w:sz w:val="22"/>
          <w:szCs w:val="22"/>
        </w:rPr>
      </w:pPr>
      <w:r w:rsidRPr="004741F5">
        <w:rPr>
          <w:rFonts w:ascii="Arial" w:hAnsi="Arial" w:cs="Arial"/>
          <w:b/>
          <w:sz w:val="22"/>
          <w:szCs w:val="22"/>
        </w:rPr>
        <w:t>bankovní spojení:</w:t>
      </w:r>
      <w:r w:rsidRPr="004741F5">
        <w:rPr>
          <w:rFonts w:ascii="Arial" w:hAnsi="Arial" w:cs="Arial"/>
          <w:sz w:val="22"/>
          <w:szCs w:val="22"/>
        </w:rPr>
        <w:tab/>
      </w:r>
    </w:p>
    <w:p w:rsidR="004741F5" w:rsidRPr="004741F5" w:rsidRDefault="004741F5" w:rsidP="004741F5">
      <w:pPr>
        <w:tabs>
          <w:tab w:val="left" w:pos="3960"/>
        </w:tabs>
        <w:jc w:val="both"/>
        <w:rPr>
          <w:rFonts w:ascii="Arial" w:hAnsi="Arial" w:cs="Arial"/>
          <w:sz w:val="22"/>
          <w:szCs w:val="22"/>
        </w:rPr>
      </w:pPr>
      <w:r w:rsidRPr="004741F5">
        <w:rPr>
          <w:rFonts w:ascii="Arial" w:hAnsi="Arial" w:cs="Arial"/>
          <w:b/>
          <w:sz w:val="22"/>
          <w:szCs w:val="22"/>
        </w:rPr>
        <w:t>číslo účtu:</w:t>
      </w:r>
      <w:r w:rsidRPr="004741F5">
        <w:rPr>
          <w:rFonts w:ascii="Arial" w:hAnsi="Arial" w:cs="Arial"/>
          <w:sz w:val="22"/>
          <w:szCs w:val="22"/>
        </w:rPr>
        <w:tab/>
      </w:r>
    </w:p>
    <w:p w:rsidR="004741F5" w:rsidRPr="004741F5" w:rsidRDefault="004741F5" w:rsidP="004741F5">
      <w:pPr>
        <w:tabs>
          <w:tab w:val="left" w:pos="3960"/>
        </w:tabs>
        <w:jc w:val="both"/>
        <w:rPr>
          <w:rFonts w:ascii="Arial" w:hAnsi="Arial" w:cs="Arial"/>
          <w:sz w:val="22"/>
          <w:szCs w:val="22"/>
        </w:rPr>
      </w:pPr>
      <w:r w:rsidRPr="004741F5">
        <w:rPr>
          <w:rFonts w:ascii="Arial" w:hAnsi="Arial" w:cs="Arial"/>
          <w:sz w:val="22"/>
          <w:szCs w:val="22"/>
        </w:rPr>
        <w:t>zapsán v Obchodním rejstříku v Ústí nad Labem, v oddílu C, vložce č. 37320</w:t>
      </w:r>
    </w:p>
    <w:p w:rsidR="004741F5" w:rsidRPr="004741F5" w:rsidRDefault="004741F5" w:rsidP="004741F5">
      <w:pPr>
        <w:tabs>
          <w:tab w:val="left" w:pos="3960"/>
        </w:tabs>
        <w:jc w:val="both"/>
        <w:rPr>
          <w:rFonts w:ascii="Arial" w:hAnsi="Arial" w:cs="Arial"/>
          <w:sz w:val="22"/>
          <w:szCs w:val="22"/>
        </w:rPr>
      </w:pPr>
      <w:r w:rsidRPr="004741F5">
        <w:rPr>
          <w:rFonts w:ascii="Arial" w:hAnsi="Arial" w:cs="Arial"/>
          <w:sz w:val="22"/>
          <w:szCs w:val="22"/>
        </w:rPr>
        <w:t xml:space="preserve">držitel ŽL vydaného Magistrátem města Ústí nad Labem </w:t>
      </w:r>
      <w:proofErr w:type="gramStart"/>
      <w:r w:rsidRPr="004741F5">
        <w:rPr>
          <w:rFonts w:ascii="Arial" w:hAnsi="Arial" w:cs="Arial"/>
          <w:sz w:val="22"/>
          <w:szCs w:val="22"/>
        </w:rPr>
        <w:t>pod e.č.</w:t>
      </w:r>
      <w:proofErr w:type="gramEnd"/>
      <w:r w:rsidRPr="004741F5">
        <w:rPr>
          <w:rFonts w:ascii="Arial" w:hAnsi="Arial" w:cs="Arial"/>
          <w:sz w:val="22"/>
          <w:szCs w:val="22"/>
        </w:rPr>
        <w:t xml:space="preserve"> ŽO/2339/2016/Be</w:t>
      </w:r>
    </w:p>
    <w:p w:rsidR="004741F5" w:rsidRPr="004741F5" w:rsidRDefault="004741F5" w:rsidP="004741F5">
      <w:pPr>
        <w:tabs>
          <w:tab w:val="left" w:pos="3960"/>
        </w:tabs>
        <w:jc w:val="both"/>
        <w:rPr>
          <w:rFonts w:ascii="Arial" w:hAnsi="Arial" w:cs="Arial"/>
          <w:sz w:val="22"/>
          <w:szCs w:val="22"/>
        </w:rPr>
      </w:pPr>
    </w:p>
    <w:p w:rsidR="003755DC" w:rsidRPr="00386410" w:rsidRDefault="004741F5" w:rsidP="004741F5">
      <w:pPr>
        <w:tabs>
          <w:tab w:val="left" w:pos="3960"/>
        </w:tabs>
        <w:jc w:val="both"/>
        <w:rPr>
          <w:rFonts w:ascii="Arial" w:hAnsi="Arial" w:cs="Arial"/>
          <w:sz w:val="22"/>
          <w:szCs w:val="22"/>
        </w:rPr>
      </w:pPr>
      <w:r w:rsidRPr="004741F5">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547DC4" w:rsidRPr="00547DC4" w:rsidRDefault="00547DC4" w:rsidP="00547DC4">
      <w:pPr>
        <w:jc w:val="center"/>
        <w:rPr>
          <w:rFonts w:ascii="Arial" w:hAnsi="Arial" w:cs="Arial"/>
          <w:b/>
          <w:szCs w:val="24"/>
        </w:rPr>
      </w:pPr>
      <w:r w:rsidRPr="00547DC4">
        <w:rPr>
          <w:rFonts w:ascii="Arial" w:hAnsi="Arial" w:cs="Arial"/>
          <w:b/>
          <w:szCs w:val="24"/>
        </w:rPr>
        <w:t>Oprava Rožanského potoka v Království podél komunikace –</w:t>
      </w:r>
    </w:p>
    <w:p w:rsidR="00547DC4" w:rsidRPr="00547DC4" w:rsidRDefault="00547DC4" w:rsidP="00547DC4">
      <w:pPr>
        <w:jc w:val="center"/>
        <w:rPr>
          <w:rFonts w:ascii="Arial" w:hAnsi="Arial" w:cs="Arial"/>
          <w:b/>
          <w:szCs w:val="24"/>
        </w:rPr>
      </w:pPr>
      <w:r w:rsidRPr="00547DC4">
        <w:rPr>
          <w:rFonts w:ascii="Arial" w:hAnsi="Arial" w:cs="Arial"/>
          <w:b/>
          <w:szCs w:val="24"/>
        </w:rPr>
        <w:t>II. etapa</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342B91" w:rsidRPr="00815F98" w:rsidRDefault="00342B91" w:rsidP="00342B91">
      <w:pPr>
        <w:ind w:left="426"/>
        <w:rPr>
          <w:rFonts w:ascii="Arial" w:hAnsi="Arial" w:cs="Arial"/>
          <w:b/>
          <w:sz w:val="22"/>
          <w:szCs w:val="22"/>
        </w:rPr>
      </w:pPr>
      <w:r w:rsidRPr="00815F98">
        <w:rPr>
          <w:rFonts w:ascii="Arial" w:hAnsi="Arial" w:cs="Arial"/>
          <w:b/>
          <w:sz w:val="22"/>
          <w:szCs w:val="22"/>
        </w:rPr>
        <w:t>Zahájení díla:</w:t>
      </w:r>
      <w:r w:rsidRPr="00815F98">
        <w:rPr>
          <w:rFonts w:ascii="Arial" w:hAnsi="Arial" w:cs="Arial"/>
          <w:b/>
          <w:sz w:val="22"/>
          <w:szCs w:val="22"/>
        </w:rPr>
        <w:tab/>
      </w:r>
      <w:r w:rsidRPr="00815F98">
        <w:rPr>
          <w:rFonts w:ascii="Arial" w:hAnsi="Arial" w:cs="Arial"/>
          <w:b/>
          <w:sz w:val="22"/>
          <w:szCs w:val="22"/>
        </w:rPr>
        <w:tab/>
        <w:t xml:space="preserve">bez zbytečného odkladu po nabytí účinnosti této smlouvy </w:t>
      </w:r>
    </w:p>
    <w:p w:rsidR="00342B91" w:rsidRPr="00741C05" w:rsidRDefault="00342B91" w:rsidP="00342B91">
      <w:pPr>
        <w:ind w:left="426"/>
        <w:rPr>
          <w:rFonts w:ascii="Arial" w:hAnsi="Arial" w:cs="Arial"/>
          <w:b/>
          <w:sz w:val="22"/>
          <w:szCs w:val="22"/>
        </w:rPr>
      </w:pPr>
      <w:r w:rsidRPr="00815F98">
        <w:rPr>
          <w:rFonts w:ascii="Arial" w:hAnsi="Arial" w:cs="Arial"/>
          <w:b/>
          <w:sz w:val="22"/>
          <w:szCs w:val="22"/>
        </w:rPr>
        <w:t>Ukončení díla:</w:t>
      </w:r>
      <w:r w:rsidRPr="00815F98">
        <w:rPr>
          <w:rFonts w:ascii="Arial" w:hAnsi="Arial" w:cs="Arial"/>
          <w:b/>
          <w:sz w:val="22"/>
          <w:szCs w:val="22"/>
        </w:rPr>
        <w:tab/>
      </w:r>
      <w:r w:rsidRPr="00815F98">
        <w:rPr>
          <w:rFonts w:ascii="Arial" w:hAnsi="Arial" w:cs="Arial"/>
          <w:b/>
          <w:sz w:val="22"/>
          <w:szCs w:val="22"/>
        </w:rPr>
        <w:tab/>
      </w:r>
      <w:r w:rsidR="00815F98" w:rsidRPr="00815F98">
        <w:rPr>
          <w:rFonts w:ascii="Arial" w:hAnsi="Arial" w:cs="Arial"/>
          <w:b/>
          <w:sz w:val="22"/>
          <w:szCs w:val="22"/>
        </w:rPr>
        <w:t xml:space="preserve">nejpozději do </w:t>
      </w:r>
      <w:proofErr w:type="gramStart"/>
      <w:r w:rsidR="00815F98" w:rsidRPr="00815F98">
        <w:rPr>
          <w:rFonts w:ascii="Arial" w:hAnsi="Arial" w:cs="Arial"/>
          <w:b/>
          <w:sz w:val="22"/>
          <w:szCs w:val="22"/>
        </w:rPr>
        <w:t>31.07.2018</w:t>
      </w:r>
      <w:proofErr w:type="gramEnd"/>
    </w:p>
    <w:p w:rsidR="00F20ECC" w:rsidRDefault="00F20ECC" w:rsidP="0095748D">
      <w:pPr>
        <w:overflowPunct/>
        <w:autoSpaceDE/>
        <w:autoSpaceDN/>
        <w:adjustRightInd/>
        <w:ind w:left="426"/>
        <w:textAlignment w:val="auto"/>
        <w:rPr>
          <w:rFonts w:ascii="Arial" w:hAnsi="Arial" w:cs="Arial"/>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Pr="004741F5" w:rsidRDefault="00EB40F3" w:rsidP="00EB40F3">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741F5">
        <w:rPr>
          <w:rFonts w:ascii="Arial" w:hAnsi="Arial" w:cs="Arial"/>
          <w:b/>
          <w:sz w:val="22"/>
          <w:szCs w:val="22"/>
        </w:rPr>
        <w:t>762 728,46</w:t>
      </w:r>
      <w:r>
        <w:rPr>
          <w:rFonts w:ascii="Arial" w:hAnsi="Arial" w:cs="Arial"/>
          <w:sz w:val="22"/>
          <w:szCs w:val="22"/>
        </w:rPr>
        <w:t xml:space="preserve"> </w:t>
      </w:r>
      <w:r w:rsidRPr="004741F5">
        <w:rPr>
          <w:rFonts w:ascii="Arial" w:hAnsi="Arial" w:cs="Arial"/>
          <w:b/>
          <w:sz w:val="22"/>
          <w:szCs w:val="22"/>
        </w:rPr>
        <w:t>Kč</w:t>
      </w:r>
    </w:p>
    <w:p w:rsidR="00EB40F3" w:rsidRPr="00547DC4" w:rsidRDefault="00815F98" w:rsidP="00EB40F3">
      <w:pPr>
        <w:ind w:left="360"/>
        <w:jc w:val="both"/>
        <w:rPr>
          <w:rFonts w:ascii="Arial" w:hAnsi="Arial" w:cs="Arial"/>
          <w:sz w:val="22"/>
          <w:szCs w:val="22"/>
        </w:rPr>
      </w:pPr>
      <w:r>
        <w:rPr>
          <w:rFonts w:ascii="Arial" w:hAnsi="Arial" w:cs="Arial"/>
          <w:sz w:val="22"/>
          <w:szCs w:val="22"/>
        </w:rPr>
        <w:t>složena z</w:t>
      </w:r>
      <w:r w:rsidR="00EB40F3" w:rsidRPr="00547DC4">
        <w:rPr>
          <w:rFonts w:ascii="Arial" w:hAnsi="Arial" w:cs="Arial"/>
          <w:sz w:val="22"/>
          <w:szCs w:val="22"/>
        </w:rPr>
        <w:t xml:space="preserve">: </w:t>
      </w:r>
    </w:p>
    <w:p w:rsidR="00EB40F3" w:rsidRPr="00547DC4" w:rsidRDefault="00547DC4" w:rsidP="00EB40F3">
      <w:pPr>
        <w:spacing w:before="120"/>
        <w:ind w:left="360"/>
        <w:jc w:val="both"/>
        <w:rPr>
          <w:rFonts w:ascii="Arial" w:hAnsi="Arial" w:cs="Arial"/>
          <w:sz w:val="22"/>
          <w:szCs w:val="22"/>
        </w:rPr>
      </w:pPr>
      <w:r w:rsidRPr="00547DC4">
        <w:rPr>
          <w:rFonts w:ascii="Arial" w:hAnsi="Arial" w:cs="Arial"/>
          <w:sz w:val="22"/>
          <w:szCs w:val="22"/>
        </w:rPr>
        <w:t>SO + VON</w:t>
      </w:r>
      <w:r w:rsidR="00EB40F3" w:rsidRPr="00547DC4">
        <w:rPr>
          <w:rFonts w:ascii="Arial" w:hAnsi="Arial" w:cs="Arial"/>
          <w:sz w:val="22"/>
          <w:szCs w:val="22"/>
        </w:rPr>
        <w:tab/>
        <w:t xml:space="preserve"> </w:t>
      </w:r>
      <w:r w:rsidR="00EB40F3" w:rsidRPr="00547DC4">
        <w:rPr>
          <w:rFonts w:ascii="Arial" w:hAnsi="Arial" w:cs="Arial"/>
          <w:sz w:val="22"/>
          <w:szCs w:val="22"/>
        </w:rPr>
        <w:tab/>
        <w:t xml:space="preserve">        </w:t>
      </w:r>
      <w:r w:rsidR="00EB40F3" w:rsidRPr="00547DC4">
        <w:rPr>
          <w:rFonts w:ascii="Arial" w:hAnsi="Arial" w:cs="Arial"/>
          <w:sz w:val="22"/>
          <w:szCs w:val="22"/>
        </w:rPr>
        <w:tab/>
      </w:r>
      <w:r w:rsidR="00EB40F3" w:rsidRPr="00547DC4">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EB40F3" w:rsidRDefault="00EB40F3" w:rsidP="0060531F">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w:t>
      </w:r>
      <w:proofErr w:type="gramStart"/>
      <w:r w:rsidR="0001739A" w:rsidRPr="00DD0E1B">
        <w:rPr>
          <w:rFonts w:ascii="Arial" w:hAnsi="Arial" w:cs="Arial"/>
          <w:color w:val="000000"/>
          <w:sz w:val="22"/>
          <w:szCs w:val="22"/>
        </w:rPr>
        <w:t>504 z.č.</w:t>
      </w:r>
      <w:proofErr w:type="gramEnd"/>
      <w:r w:rsidR="0001739A" w:rsidRPr="00DD0E1B">
        <w:rPr>
          <w:rFonts w:ascii="Arial" w:hAnsi="Arial" w:cs="Arial"/>
          <w:color w:val="000000"/>
          <w:sz w:val="22"/>
          <w:szCs w:val="22"/>
        </w:rPr>
        <w:t xml:space="preserve"> 89/2012 Sb. občanského zákoníku </w:t>
      </w:r>
      <w:r w:rsidR="0001739A" w:rsidRPr="00DD0E1B">
        <w:rPr>
          <w:rFonts w:ascii="Arial" w:hAnsi="Arial" w:cs="Arial"/>
          <w:sz w:val="22"/>
          <w:szCs w:val="22"/>
        </w:rPr>
        <w:t>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lastRenderedPageBreak/>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661EDA" w:rsidRPr="00547DC4" w:rsidRDefault="00661EDA" w:rsidP="00661EDA">
      <w:pPr>
        <w:numPr>
          <w:ilvl w:val="3"/>
          <w:numId w:val="13"/>
        </w:numPr>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81A52">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 xml:space="preserve">soupisu provedených </w:t>
      </w:r>
      <w:r w:rsidRPr="00547DC4">
        <w:rPr>
          <w:rFonts w:ascii="Arial" w:hAnsi="Arial" w:cs="Arial"/>
          <w:sz w:val="22"/>
          <w:szCs w:val="22"/>
        </w:rPr>
        <w:t>prací.</w:t>
      </w:r>
    </w:p>
    <w:p w:rsidR="00321D5C" w:rsidRPr="00547DC4" w:rsidRDefault="00321D5C" w:rsidP="00321D5C">
      <w:pPr>
        <w:ind w:left="426"/>
        <w:jc w:val="both"/>
        <w:rPr>
          <w:rFonts w:ascii="Arial" w:hAnsi="Arial" w:cs="Arial"/>
          <w:sz w:val="22"/>
          <w:szCs w:val="22"/>
        </w:rPr>
      </w:pPr>
    </w:p>
    <w:p w:rsidR="000A28F1" w:rsidRPr="00547DC4" w:rsidRDefault="000A28F1" w:rsidP="000A28F1">
      <w:pPr>
        <w:numPr>
          <w:ilvl w:val="3"/>
          <w:numId w:val="13"/>
        </w:numPr>
        <w:ind w:left="426" w:hanging="426"/>
        <w:jc w:val="both"/>
        <w:textAlignment w:val="auto"/>
        <w:rPr>
          <w:rFonts w:ascii="Arial" w:hAnsi="Arial" w:cs="Arial"/>
          <w:sz w:val="22"/>
          <w:szCs w:val="22"/>
        </w:rPr>
      </w:pPr>
      <w:r w:rsidRPr="00547DC4">
        <w:rPr>
          <w:rFonts w:ascii="Arial" w:hAnsi="Arial" w:cs="Arial"/>
          <w:sz w:val="22"/>
          <w:szCs w:val="22"/>
        </w:rPr>
        <w:t>Samostatně budou vystaveny faktury za případné vícepráce.</w:t>
      </w:r>
    </w:p>
    <w:p w:rsidR="00321D5C" w:rsidRDefault="00321D5C" w:rsidP="00984678">
      <w:pPr>
        <w:ind w:left="426"/>
        <w:jc w:val="both"/>
        <w:rPr>
          <w:rFonts w:ascii="Arial" w:hAnsi="Arial" w:cs="Arial"/>
          <w:sz w:val="22"/>
          <w:szCs w:val="22"/>
        </w:rPr>
      </w:pPr>
    </w:p>
    <w:p w:rsidR="00984678" w:rsidRPr="00905EAD"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Odsouhlasený soupis provedených prací je </w:t>
      </w:r>
      <w:r w:rsidR="00281A52">
        <w:rPr>
          <w:rFonts w:ascii="Arial" w:hAnsi="Arial" w:cs="Arial"/>
          <w:color w:val="auto"/>
          <w:sz w:val="22"/>
          <w:szCs w:val="22"/>
        </w:rPr>
        <w:t>zhotovitel</w:t>
      </w:r>
      <w:r w:rsidRPr="00905EAD">
        <w:rPr>
          <w:rFonts w:ascii="Arial" w:hAnsi="Arial" w:cs="Arial"/>
          <w:color w:val="auto"/>
          <w:sz w:val="22"/>
          <w:szCs w:val="22"/>
        </w:rPr>
        <w:t xml:space="preserve"> povinen zpracovat a to jak v písemné, tak v elektronické podobě</w:t>
      </w:r>
      <w:r w:rsidR="00533023">
        <w:rPr>
          <w:rFonts w:ascii="Arial" w:hAnsi="Arial" w:cs="Arial"/>
          <w:color w:val="auto"/>
          <w:sz w:val="22"/>
          <w:szCs w:val="22"/>
        </w:rPr>
        <w:t xml:space="preserve"> </w:t>
      </w:r>
      <w:r w:rsidR="00533023" w:rsidRPr="00905EAD">
        <w:rPr>
          <w:rFonts w:ascii="Arial" w:hAnsi="Arial" w:cs="Arial"/>
          <w:color w:val="auto"/>
          <w:sz w:val="22"/>
          <w:szCs w:val="22"/>
        </w:rPr>
        <w:t>a to v elektronickém formátu XC4</w:t>
      </w:r>
      <w:r w:rsidR="002A01A5">
        <w:rPr>
          <w:rFonts w:ascii="Arial" w:hAnsi="Arial" w:cs="Arial"/>
          <w:color w:val="auto"/>
          <w:sz w:val="22"/>
          <w:szCs w:val="22"/>
        </w:rPr>
        <w:t>.</w:t>
      </w:r>
    </w:p>
    <w:p w:rsidR="00FA775D" w:rsidRDefault="00FA775D" w:rsidP="00FA775D">
      <w:pPr>
        <w:ind w:left="426"/>
        <w:jc w:val="both"/>
        <w:rPr>
          <w:rFonts w:ascii="Arial" w:hAnsi="Arial" w:cs="Arial"/>
          <w:sz w:val="22"/>
          <w:szCs w:val="22"/>
        </w:rPr>
      </w:pPr>
    </w:p>
    <w:p w:rsidR="00905EAD" w:rsidRPr="00947CB1" w:rsidRDefault="00905EAD" w:rsidP="00905EAD">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plnění bude den předání a převzetí díla </w:t>
      </w:r>
      <w:r w:rsidR="00984678" w:rsidRPr="00947CB1">
        <w:rPr>
          <w:rFonts w:ascii="Arial" w:hAnsi="Arial" w:cs="Arial"/>
          <w:sz w:val="22"/>
          <w:szCs w:val="22"/>
        </w:rPr>
        <w:t xml:space="preserve">bez vad a nedodělků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5C6983" w:rsidRPr="00947CB1" w:rsidRDefault="005C6983" w:rsidP="005C6983">
      <w:pPr>
        <w:ind w:left="426"/>
        <w:jc w:val="both"/>
        <w:rPr>
          <w:rFonts w:ascii="Arial" w:hAnsi="Arial" w:cs="Arial"/>
          <w:sz w:val="22"/>
          <w:szCs w:val="22"/>
        </w:rPr>
      </w:pPr>
    </w:p>
    <w:p w:rsidR="00984678" w:rsidRPr="00947CB1" w:rsidRDefault="00984678" w:rsidP="00984678">
      <w:pPr>
        <w:pStyle w:val="Odstavecseseznamem"/>
        <w:numPr>
          <w:ilvl w:val="3"/>
          <w:numId w:val="13"/>
        </w:numPr>
        <w:spacing w:after="0" w:line="240" w:lineRule="auto"/>
        <w:ind w:left="426" w:hanging="426"/>
        <w:jc w:val="both"/>
        <w:rPr>
          <w:rFonts w:ascii="Arial" w:hAnsi="Arial" w:cs="Arial"/>
          <w:color w:val="auto"/>
          <w:sz w:val="22"/>
          <w:szCs w:val="22"/>
        </w:rPr>
      </w:pPr>
      <w:r w:rsidRPr="00947CB1">
        <w:rPr>
          <w:rFonts w:ascii="Arial" w:hAnsi="Arial" w:cs="Arial"/>
          <w:color w:val="auto"/>
          <w:sz w:val="22"/>
          <w:szCs w:val="22"/>
        </w:rPr>
        <w:t xml:space="preserve">Pokud bude objednatelem výjimečně převzato dílo, které vykazuje ojedinělé drobné vady, které samy o sobě ani ve spojení s jinými nebrání řádnému užívání díla, </w:t>
      </w:r>
      <w:r w:rsidR="00281A52">
        <w:rPr>
          <w:rFonts w:ascii="Arial" w:hAnsi="Arial" w:cs="Arial"/>
          <w:color w:val="auto"/>
          <w:sz w:val="22"/>
          <w:szCs w:val="22"/>
        </w:rPr>
        <w:t>zhotovitel</w:t>
      </w:r>
      <w:r w:rsidRPr="00947CB1">
        <w:rPr>
          <w:rFonts w:ascii="Arial" w:hAnsi="Arial" w:cs="Arial"/>
          <w:color w:val="auto"/>
          <w:sz w:val="22"/>
          <w:szCs w:val="22"/>
        </w:rPr>
        <w:t xml:space="preserve"> vystaví dílčí fakturu za provedené práce nejvýše do 95% celkové smluvní ceny, pokud nebude dohodnuto jinak.</w:t>
      </w:r>
    </w:p>
    <w:p w:rsidR="00984678" w:rsidRPr="00947CB1" w:rsidRDefault="00984678" w:rsidP="00984678">
      <w:pPr>
        <w:pStyle w:val="Odstavecseseznamem"/>
        <w:spacing w:after="0" w:line="240" w:lineRule="auto"/>
        <w:ind w:left="426"/>
        <w:jc w:val="both"/>
        <w:rPr>
          <w:rFonts w:ascii="Arial" w:hAnsi="Arial" w:cs="Arial"/>
          <w:color w:val="auto"/>
          <w:sz w:val="22"/>
          <w:szCs w:val="22"/>
        </w:rPr>
      </w:pPr>
    </w:p>
    <w:p w:rsidR="00984678" w:rsidRPr="00947CB1" w:rsidRDefault="00984678" w:rsidP="00984678">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81A52">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984678" w:rsidRPr="00984678" w:rsidRDefault="00984678" w:rsidP="00984678">
      <w:pPr>
        <w:pStyle w:val="Odstavecseseznamem"/>
        <w:spacing w:after="0" w:line="240" w:lineRule="auto"/>
        <w:ind w:left="426"/>
        <w:jc w:val="both"/>
        <w:rPr>
          <w:rFonts w:ascii="Arial" w:hAnsi="Arial" w:cs="Arial"/>
          <w:color w:val="auto"/>
          <w:sz w:val="22"/>
          <w:szCs w:val="22"/>
        </w:rPr>
      </w:pPr>
    </w:p>
    <w:p w:rsidR="00DA5568" w:rsidRDefault="00905EAD" w:rsidP="00984678">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81A52">
        <w:rPr>
          <w:rFonts w:ascii="Arial" w:hAnsi="Arial" w:cs="Arial"/>
          <w:color w:val="auto"/>
          <w:sz w:val="22"/>
          <w:szCs w:val="22"/>
        </w:rPr>
        <w:t>zhotovitel</w:t>
      </w:r>
      <w:r w:rsidR="00661EDA">
        <w:rPr>
          <w:rFonts w:ascii="Arial" w:hAnsi="Arial" w:cs="Arial"/>
          <w:color w:val="auto"/>
          <w:sz w:val="22"/>
          <w:szCs w:val="22"/>
        </w:rPr>
        <w:t>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r w:rsidR="002C293A">
        <w:rPr>
          <w:rFonts w:ascii="Arial" w:hAnsi="Arial" w:cs="Arial"/>
          <w:color w:val="auto"/>
          <w:sz w:val="22"/>
          <w:szCs w:val="22"/>
        </w:rPr>
        <w:t xml:space="preserve"> </w:t>
      </w:r>
    </w:p>
    <w:p w:rsidR="008156E1" w:rsidRPr="004741F5" w:rsidRDefault="002C293A" w:rsidP="00DA5568">
      <w:pPr>
        <w:pStyle w:val="Odstavecseseznamem"/>
        <w:spacing w:after="0" w:line="240" w:lineRule="auto"/>
        <w:ind w:left="360"/>
        <w:jc w:val="both"/>
        <w:rPr>
          <w:rFonts w:ascii="Arial" w:hAnsi="Arial" w:cs="Arial"/>
          <w:b/>
          <w:color w:val="auto"/>
          <w:sz w:val="22"/>
          <w:szCs w:val="22"/>
        </w:rPr>
      </w:pPr>
      <w:r w:rsidRPr="00415F6B">
        <w:rPr>
          <w:rFonts w:ascii="Arial" w:hAnsi="Arial" w:cs="Arial"/>
          <w:color w:val="000000"/>
          <w:sz w:val="22"/>
          <w:szCs w:val="22"/>
        </w:rPr>
        <w:t xml:space="preserve">Předat faktury lze i elektronicky na adresu: </w:t>
      </w:r>
      <w:hyperlink r:id="rId11" w:history="1">
        <w:r w:rsidRPr="004741F5">
          <w:rPr>
            <w:rStyle w:val="Hypertextovodkaz"/>
            <w:rFonts w:ascii="Arial" w:hAnsi="Arial" w:cs="Arial"/>
            <w:b/>
            <w:bCs/>
            <w:color w:val="auto"/>
            <w:sz w:val="22"/>
            <w:szCs w:val="22"/>
          </w:rPr>
          <w:t>faktury-pr@poh.cz</w:t>
        </w:r>
      </w:hyperlink>
      <w:r w:rsidRPr="004741F5">
        <w:rPr>
          <w:rFonts w:ascii="Arial" w:hAnsi="Arial" w:cs="Arial"/>
          <w:b/>
          <w:bCs/>
          <w:color w:val="auto"/>
          <w:sz w:val="22"/>
          <w:szCs w:val="22"/>
        </w:rPr>
        <w:t>.</w:t>
      </w:r>
    </w:p>
    <w:p w:rsidR="008156E1" w:rsidRPr="004741F5" w:rsidRDefault="008156E1" w:rsidP="008156E1">
      <w:pPr>
        <w:rPr>
          <w:b/>
        </w:rPr>
      </w:pPr>
    </w:p>
    <w:p w:rsidR="00661EDA" w:rsidRPr="009B5D5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sidR="00281A52">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81A52">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2113D7" w:rsidRDefault="00661EDA" w:rsidP="00661EDA"/>
    <w:p w:rsidR="00661EDA" w:rsidRPr="0059593F"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415F6B">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661EDA" w:rsidRPr="001D1432" w:rsidRDefault="00661EDA" w:rsidP="00661EDA"/>
    <w:p w:rsidR="00661EDA" w:rsidRDefault="00661EDA" w:rsidP="00661EDA">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81A52">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9E6AB7" w:rsidRDefault="009E6AB7" w:rsidP="008156E1"/>
    <w:p w:rsidR="00415F6B" w:rsidRDefault="00415F6B"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4741F5" w:rsidRDefault="004741F5" w:rsidP="00661EDA">
      <w:pPr>
        <w:pStyle w:val="A-odstavecodsazensodrkami"/>
        <w:numPr>
          <w:ilvl w:val="0"/>
          <w:numId w:val="0"/>
        </w:numPr>
        <w:ind w:left="1080" w:hanging="360"/>
      </w:pPr>
    </w:p>
    <w:p w:rsidR="004741F5" w:rsidRDefault="004741F5" w:rsidP="00661EDA">
      <w:pPr>
        <w:pStyle w:val="A-odstavecodsazensodrkami"/>
        <w:numPr>
          <w:ilvl w:val="0"/>
          <w:numId w:val="0"/>
        </w:numPr>
        <w:ind w:left="1080" w:hanging="360"/>
      </w:pPr>
    </w:p>
    <w:p w:rsidR="004741F5" w:rsidRDefault="004741F5"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4741F5" w:rsidRDefault="004741F5" w:rsidP="00661EDA">
      <w:pPr>
        <w:pStyle w:val="Citace1"/>
        <w:tabs>
          <w:tab w:val="left" w:pos="360"/>
        </w:tabs>
        <w:spacing w:line="240" w:lineRule="auto"/>
        <w:ind w:left="426"/>
        <w:jc w:val="both"/>
        <w:rPr>
          <w:rFonts w:ascii="Arial" w:hAnsi="Arial" w:cs="Arial"/>
          <w:i w:val="0"/>
          <w:color w:val="auto"/>
          <w:sz w:val="22"/>
          <w:szCs w:val="22"/>
        </w:rPr>
      </w:pPr>
    </w:p>
    <w:p w:rsidR="004741F5" w:rsidRDefault="004741F5" w:rsidP="00661EDA">
      <w:pPr>
        <w:pStyle w:val="Citace1"/>
        <w:tabs>
          <w:tab w:val="left" w:pos="360"/>
        </w:tabs>
        <w:spacing w:line="240" w:lineRule="auto"/>
        <w:ind w:left="426"/>
        <w:jc w:val="both"/>
        <w:rPr>
          <w:rFonts w:ascii="Arial" w:hAnsi="Arial" w:cs="Arial"/>
          <w:i w:val="0"/>
          <w:color w:val="auto"/>
          <w:sz w:val="22"/>
          <w:szCs w:val="22"/>
        </w:rPr>
      </w:pPr>
    </w:p>
    <w:p w:rsidR="004741F5"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533023" w:rsidP="00533023">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w:t>
      </w:r>
      <w:r w:rsidRPr="00547DC4">
        <w:rPr>
          <w:rFonts w:cs="Arial"/>
          <w:sz w:val="22"/>
          <w:szCs w:val="22"/>
        </w:rPr>
        <w:t xml:space="preserve">na </w:t>
      </w:r>
      <w:r w:rsidRPr="00547DC4">
        <w:rPr>
          <w:rFonts w:cs="Arial"/>
          <w:b/>
          <w:color w:val="auto"/>
          <w:sz w:val="22"/>
          <w:szCs w:val="22"/>
        </w:rPr>
        <w:t xml:space="preserve">60 </w:t>
      </w:r>
      <w:r w:rsidRPr="00547DC4">
        <w:rPr>
          <w:rFonts w:cs="Arial"/>
          <w:b/>
          <w:sz w:val="22"/>
          <w:szCs w:val="22"/>
        </w:rPr>
        <w:t>měsíců</w:t>
      </w:r>
      <w:r w:rsidR="004277BA">
        <w:rPr>
          <w:rFonts w:cs="Arial"/>
          <w:b/>
          <w:sz w:val="22"/>
          <w:szCs w:val="22"/>
        </w:rPr>
        <w:t xml:space="preserve"> </w:t>
      </w:r>
      <w:r w:rsidRPr="00386410">
        <w:rPr>
          <w:rFonts w:cs="Arial"/>
          <w:sz w:val="22"/>
          <w:szCs w:val="22"/>
        </w:rPr>
        <w:t>ode dne předání a převzetí díla objednatelem.</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415F6B" w:rsidRPr="00386410" w:rsidRDefault="00415F6B"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Default="002A2457" w:rsidP="00661EDA">
      <w:pPr>
        <w:widowControl w:val="0"/>
        <w:jc w:val="both"/>
        <w:rPr>
          <w:rFonts w:ascii="Arial" w:hAnsi="Arial" w:cs="Arial"/>
          <w:sz w:val="22"/>
          <w:szCs w:val="22"/>
        </w:rPr>
      </w:pPr>
    </w:p>
    <w:p w:rsidR="00415F6B" w:rsidRPr="00386410" w:rsidRDefault="00415F6B" w:rsidP="00661EDA">
      <w:pPr>
        <w:widowControl w:val="0"/>
        <w:jc w:val="both"/>
        <w:rPr>
          <w:rFonts w:ascii="Arial" w:hAnsi="Arial" w:cs="Arial"/>
          <w:sz w:val="22"/>
          <w:szCs w:val="22"/>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415F6B" w:rsidRDefault="00415F6B" w:rsidP="00661EDA">
      <w:pPr>
        <w:widowControl w:val="0"/>
        <w:overflowPunct/>
        <w:autoSpaceDE/>
        <w:autoSpaceDN/>
        <w:adjustRightInd/>
        <w:jc w:val="both"/>
        <w:textAlignment w:val="auto"/>
        <w:rPr>
          <w:rFonts w:ascii="Arial" w:hAnsi="Arial" w:cs="Arial"/>
          <w:sz w:val="22"/>
          <w:szCs w:val="22"/>
        </w:rPr>
      </w:pPr>
    </w:p>
    <w:p w:rsidR="004741F5" w:rsidRDefault="004741F5" w:rsidP="00661EDA">
      <w:pPr>
        <w:widowControl w:val="0"/>
        <w:overflowPunct/>
        <w:autoSpaceDE/>
        <w:autoSpaceDN/>
        <w:adjustRightInd/>
        <w:jc w:val="both"/>
        <w:textAlignment w:val="auto"/>
        <w:rPr>
          <w:rFonts w:ascii="Arial" w:hAnsi="Arial" w:cs="Arial"/>
          <w:sz w:val="22"/>
          <w:szCs w:val="22"/>
        </w:rPr>
      </w:pPr>
    </w:p>
    <w:p w:rsidR="004741F5" w:rsidRPr="00386410" w:rsidRDefault="004741F5"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4741F5">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r w:rsidRPr="003D2FC5">
        <w:rPr>
          <w:rFonts w:cs="Arial"/>
          <w:color w:val="auto"/>
          <w:sz w:val="22"/>
          <w:szCs w:val="22"/>
        </w:rPr>
        <w:tab/>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D2FC5" w:rsidRPr="00C67A94" w:rsidRDefault="00C67A94" w:rsidP="00C67A94">
      <w:pPr>
        <w:pStyle w:val="Zkladntext"/>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 xml:space="preserve">Druhá smluvní strana (zhotovitel) prohlašuje, že se seznámila se zásadami, hodnotami a cíli Compliance programu Povodí Ohře, </w:t>
      </w:r>
      <w:proofErr w:type="gramStart"/>
      <w:r>
        <w:rPr>
          <w:rFonts w:cs="Arial"/>
          <w:color w:val="auto"/>
          <w:sz w:val="22"/>
          <w:szCs w:val="22"/>
        </w:rPr>
        <w:t>s.p.</w:t>
      </w:r>
      <w:proofErr w:type="gramEnd"/>
      <w:r>
        <w:rPr>
          <w:rFonts w:cs="Arial"/>
          <w:color w:val="auto"/>
          <w:sz w:val="22"/>
          <w:szCs w:val="22"/>
        </w:rPr>
        <w:t xml:space="preserve"> (viz </w:t>
      </w:r>
      <w:hyperlink r:id="rId12" w:history="1">
        <w:r w:rsidRPr="004741F5">
          <w:rPr>
            <w:rStyle w:val="Hypertextovodkaz"/>
            <w:rFonts w:cs="Arial"/>
            <w:color w:val="auto"/>
            <w:sz w:val="22"/>
            <w:szCs w:val="22"/>
          </w:rPr>
          <w:t>http://www.poh.cz/profilfirmy/Compliance_programy.htm</w:t>
        </w:r>
      </w:hyperlink>
      <w:r w:rsidRPr="004741F5">
        <w:rPr>
          <w:rFonts w:cs="Arial"/>
          <w:color w:val="auto"/>
          <w:sz w:val="22"/>
          <w:szCs w:val="22"/>
        </w:rPr>
        <w:t>), d</w:t>
      </w:r>
      <w:r>
        <w:rPr>
          <w:rFonts w:cs="Arial"/>
          <w:color w:val="auto"/>
          <w:sz w:val="22"/>
          <w:szCs w:val="22"/>
        </w:rPr>
        <w:t>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BE743A" w:rsidRPr="00BE743A" w:rsidRDefault="003D2FC5" w:rsidP="003D2FC5">
      <w:pPr>
        <w:pStyle w:val="Zkladntext"/>
        <w:widowControl/>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005B63"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05B63" w:rsidRDefault="00005B63" w:rsidP="00005B63">
      <w:pPr>
        <w:pStyle w:val="Zkladntext"/>
        <w:widowControl/>
        <w:tabs>
          <w:tab w:val="left" w:pos="360"/>
        </w:tabs>
        <w:ind w:left="360"/>
        <w:jc w:val="both"/>
        <w:rPr>
          <w:rFonts w:cs="Arial"/>
          <w:i/>
          <w:color w:val="auto"/>
          <w:sz w:val="22"/>
          <w:szCs w:val="22"/>
        </w:rPr>
      </w:pPr>
      <w:r w:rsidRPr="004741F5">
        <w:rPr>
          <w:rFonts w:cs="Arial"/>
          <w:i/>
          <w:color w:val="auto"/>
          <w:sz w:val="22"/>
          <w:szCs w:val="22"/>
        </w:rPr>
        <w:t xml:space="preserve">(pozn. pokud druhá smluvní strana považuje některé informace ve smlouvě za obch. </w:t>
      </w:r>
      <w:proofErr w:type="gramStart"/>
      <w:r w:rsidRPr="004741F5">
        <w:rPr>
          <w:rFonts w:cs="Arial"/>
          <w:i/>
          <w:color w:val="auto"/>
          <w:sz w:val="22"/>
          <w:szCs w:val="22"/>
        </w:rPr>
        <w:t>tajemství</w:t>
      </w:r>
      <w:proofErr w:type="gramEnd"/>
      <w:r w:rsidRPr="004741F5">
        <w:rPr>
          <w:rFonts w:cs="Arial"/>
          <w:i/>
          <w:color w:val="auto"/>
          <w:sz w:val="22"/>
          <w:szCs w:val="22"/>
        </w:rPr>
        <w:t>, pak zde vysloveně uvést, které ustanovení za obch. tajemství považují).</w:t>
      </w:r>
    </w:p>
    <w:p w:rsidR="004741F5" w:rsidRDefault="004741F5" w:rsidP="00005B63">
      <w:pPr>
        <w:pStyle w:val="Zkladntext"/>
        <w:widowControl/>
        <w:tabs>
          <w:tab w:val="left" w:pos="360"/>
        </w:tabs>
        <w:ind w:left="360"/>
        <w:jc w:val="both"/>
        <w:rPr>
          <w:rFonts w:cs="Arial"/>
          <w:i/>
          <w:color w:val="auto"/>
          <w:sz w:val="22"/>
          <w:szCs w:val="22"/>
        </w:rPr>
      </w:pPr>
    </w:p>
    <w:p w:rsidR="004741F5" w:rsidRPr="004741F5" w:rsidRDefault="004741F5" w:rsidP="00005B63">
      <w:pPr>
        <w:pStyle w:val="Zkladntext"/>
        <w:widowControl/>
        <w:tabs>
          <w:tab w:val="left" w:pos="360"/>
        </w:tabs>
        <w:ind w:left="360"/>
        <w:jc w:val="both"/>
        <w:rPr>
          <w:rFonts w:cs="Arial"/>
          <w:i/>
          <w:color w:val="auto"/>
          <w:sz w:val="22"/>
          <w:szCs w:val="22"/>
        </w:rPr>
      </w:pPr>
    </w:p>
    <w:p w:rsidR="00661EDA" w:rsidRDefault="00661EDA" w:rsidP="00661EDA">
      <w:pPr>
        <w:pStyle w:val="Zkladntext"/>
        <w:widowControl/>
        <w:tabs>
          <w:tab w:val="left" w:pos="360"/>
        </w:tabs>
        <w:jc w:val="both"/>
        <w:rPr>
          <w:color w:val="auto"/>
          <w:sz w:val="22"/>
          <w:szCs w:val="22"/>
        </w:rPr>
      </w:pPr>
    </w:p>
    <w:p w:rsidR="00661EDA" w:rsidRPr="003851DD"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1E08C9">
        <w:rPr>
          <w:rFonts w:ascii="Arial" w:hAnsi="Arial" w:cs="Arial"/>
          <w:sz w:val="22"/>
          <w:szCs w:val="22"/>
        </w:rPr>
        <w:t>15.05.2018</w:t>
      </w:r>
      <w:r w:rsidRPr="00386410">
        <w:rPr>
          <w:rFonts w:ascii="Arial" w:hAnsi="Arial" w:cs="Arial"/>
          <w:sz w:val="22"/>
          <w:szCs w:val="22"/>
        </w:rPr>
        <w:tab/>
      </w:r>
      <w:r w:rsidRPr="00386410">
        <w:rPr>
          <w:rFonts w:ascii="Arial" w:hAnsi="Arial" w:cs="Arial"/>
          <w:sz w:val="22"/>
          <w:szCs w:val="22"/>
        </w:rPr>
        <w:tab/>
      </w:r>
      <w:r w:rsidR="001E08C9">
        <w:rPr>
          <w:rFonts w:ascii="Arial" w:hAnsi="Arial" w:cs="Arial"/>
          <w:sz w:val="22"/>
          <w:szCs w:val="22"/>
        </w:rPr>
        <w:tab/>
      </w:r>
      <w:r w:rsidRPr="00386410">
        <w:rPr>
          <w:rFonts w:ascii="Arial" w:hAnsi="Arial" w:cs="Arial"/>
          <w:sz w:val="22"/>
          <w:szCs w:val="22"/>
        </w:rPr>
        <w:t>V</w:t>
      </w:r>
      <w:r w:rsidR="004741F5">
        <w:rPr>
          <w:rFonts w:ascii="Arial" w:hAnsi="Arial" w:cs="Arial"/>
          <w:sz w:val="22"/>
          <w:szCs w:val="22"/>
        </w:rPr>
        <w:t xml:space="preserve"> Ústí nad Labem </w:t>
      </w:r>
      <w:r w:rsidRPr="00386410">
        <w:rPr>
          <w:rFonts w:ascii="Arial" w:hAnsi="Arial" w:cs="Arial"/>
          <w:sz w:val="22"/>
          <w:szCs w:val="22"/>
        </w:rPr>
        <w:t>dne</w:t>
      </w:r>
      <w:r w:rsidR="004741F5">
        <w:rPr>
          <w:rFonts w:ascii="Arial" w:hAnsi="Arial" w:cs="Arial"/>
          <w:sz w:val="22"/>
          <w:szCs w:val="22"/>
        </w:rPr>
        <w:t xml:space="preserve"> </w:t>
      </w:r>
      <w:r w:rsidR="001E08C9">
        <w:rPr>
          <w:rFonts w:ascii="Arial" w:hAnsi="Arial" w:cs="Arial"/>
          <w:sz w:val="22"/>
          <w:szCs w:val="22"/>
        </w:rPr>
        <w:t>14.05.2018</w:t>
      </w:r>
      <w:bookmarkStart w:id="0" w:name="_GoBack"/>
      <w:bookmarkEnd w:id="0"/>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Default="004741F5" w:rsidP="00661EDA">
      <w:pPr>
        <w:keepNext/>
        <w:jc w:val="both"/>
        <w:rPr>
          <w:rFonts w:ascii="Arial" w:hAnsi="Arial" w:cs="Arial"/>
          <w:sz w:val="22"/>
          <w:szCs w:val="22"/>
        </w:rPr>
      </w:pPr>
    </w:p>
    <w:p w:rsidR="004741F5" w:rsidRPr="00386410" w:rsidRDefault="004741F5" w:rsidP="00661EDA">
      <w:pPr>
        <w:keepNext/>
        <w:jc w:val="both"/>
        <w:rPr>
          <w:rFonts w:ascii="Arial" w:hAnsi="Arial" w:cs="Arial"/>
          <w:sz w:val="22"/>
          <w:szCs w:val="22"/>
        </w:rPr>
      </w:pPr>
    </w:p>
    <w:p w:rsidR="004741F5" w:rsidRPr="00D74A50" w:rsidRDefault="004741F5" w:rsidP="004741F5">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Petr Novotný</w:t>
      </w:r>
    </w:p>
    <w:p w:rsidR="004741F5" w:rsidRPr="00D74A50" w:rsidRDefault="004741F5" w:rsidP="004741F5">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jednatel</w:t>
      </w:r>
    </w:p>
    <w:p w:rsidR="004741F5" w:rsidRDefault="004741F5" w:rsidP="004741F5">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 xml:space="preserve">                                     NOPESTAV s.r.o.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D1" w:rsidRDefault="00684ED1">
      <w:r>
        <w:separator/>
      </w:r>
    </w:p>
  </w:endnote>
  <w:endnote w:type="continuationSeparator" w:id="0">
    <w:p w:rsidR="00684ED1" w:rsidRDefault="0068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E08C9">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E08C9">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D1" w:rsidRDefault="00684ED1">
      <w:r>
        <w:separator/>
      </w:r>
    </w:p>
  </w:footnote>
  <w:footnote w:type="continuationSeparator" w:id="0">
    <w:p w:rsidR="00684ED1" w:rsidRDefault="0068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F7037"/>
    <w:rsid w:val="00104D42"/>
    <w:rsid w:val="001059B7"/>
    <w:rsid w:val="0011076F"/>
    <w:rsid w:val="00114503"/>
    <w:rsid w:val="00114CFD"/>
    <w:rsid w:val="00123974"/>
    <w:rsid w:val="00140C3A"/>
    <w:rsid w:val="00145445"/>
    <w:rsid w:val="00151C33"/>
    <w:rsid w:val="001556E2"/>
    <w:rsid w:val="00191A3B"/>
    <w:rsid w:val="001B704F"/>
    <w:rsid w:val="001C04BD"/>
    <w:rsid w:val="001D3524"/>
    <w:rsid w:val="001D6BE7"/>
    <w:rsid w:val="001E08C9"/>
    <w:rsid w:val="001E7343"/>
    <w:rsid w:val="001F1CE8"/>
    <w:rsid w:val="001F7612"/>
    <w:rsid w:val="0020184F"/>
    <w:rsid w:val="0020320D"/>
    <w:rsid w:val="002039CD"/>
    <w:rsid w:val="002044E5"/>
    <w:rsid w:val="002113D7"/>
    <w:rsid w:val="002157FE"/>
    <w:rsid w:val="00241CC6"/>
    <w:rsid w:val="0025573F"/>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302394"/>
    <w:rsid w:val="003042A5"/>
    <w:rsid w:val="00312AFD"/>
    <w:rsid w:val="00312BF9"/>
    <w:rsid w:val="00321D5C"/>
    <w:rsid w:val="0032245B"/>
    <w:rsid w:val="00327DB4"/>
    <w:rsid w:val="00333CB9"/>
    <w:rsid w:val="00340A48"/>
    <w:rsid w:val="00342B91"/>
    <w:rsid w:val="00346C0D"/>
    <w:rsid w:val="00353A3F"/>
    <w:rsid w:val="0035651C"/>
    <w:rsid w:val="003755DC"/>
    <w:rsid w:val="003851DD"/>
    <w:rsid w:val="00386410"/>
    <w:rsid w:val="003A15B7"/>
    <w:rsid w:val="003A7BC6"/>
    <w:rsid w:val="003B2A08"/>
    <w:rsid w:val="003C1F89"/>
    <w:rsid w:val="003D2FC5"/>
    <w:rsid w:val="003D38EF"/>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741F5"/>
    <w:rsid w:val="004A2984"/>
    <w:rsid w:val="004B1C1A"/>
    <w:rsid w:val="004B51E1"/>
    <w:rsid w:val="004D36BC"/>
    <w:rsid w:val="004D6F29"/>
    <w:rsid w:val="004E7D23"/>
    <w:rsid w:val="00512F40"/>
    <w:rsid w:val="00516E1F"/>
    <w:rsid w:val="00520647"/>
    <w:rsid w:val="005247CA"/>
    <w:rsid w:val="005302CD"/>
    <w:rsid w:val="005323F9"/>
    <w:rsid w:val="00533023"/>
    <w:rsid w:val="00547B4B"/>
    <w:rsid w:val="00547DC4"/>
    <w:rsid w:val="00563146"/>
    <w:rsid w:val="005668D0"/>
    <w:rsid w:val="00595DCE"/>
    <w:rsid w:val="005B1728"/>
    <w:rsid w:val="005B2F97"/>
    <w:rsid w:val="005B53AA"/>
    <w:rsid w:val="005C10DB"/>
    <w:rsid w:val="005C6983"/>
    <w:rsid w:val="005E3955"/>
    <w:rsid w:val="005F217B"/>
    <w:rsid w:val="005F2E4B"/>
    <w:rsid w:val="005F34D9"/>
    <w:rsid w:val="00602394"/>
    <w:rsid w:val="0060531F"/>
    <w:rsid w:val="0063547B"/>
    <w:rsid w:val="00661EDA"/>
    <w:rsid w:val="0067189F"/>
    <w:rsid w:val="0068009D"/>
    <w:rsid w:val="00684ED1"/>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616E"/>
    <w:rsid w:val="00771122"/>
    <w:rsid w:val="00790434"/>
    <w:rsid w:val="007A75A7"/>
    <w:rsid w:val="007B7F4D"/>
    <w:rsid w:val="007C2F9B"/>
    <w:rsid w:val="007D5107"/>
    <w:rsid w:val="007F14CA"/>
    <w:rsid w:val="007F60BA"/>
    <w:rsid w:val="007F7071"/>
    <w:rsid w:val="00810F3F"/>
    <w:rsid w:val="00811B43"/>
    <w:rsid w:val="008156E1"/>
    <w:rsid w:val="00815F98"/>
    <w:rsid w:val="008175BA"/>
    <w:rsid w:val="00830AC2"/>
    <w:rsid w:val="008347C2"/>
    <w:rsid w:val="0084398F"/>
    <w:rsid w:val="00844FF1"/>
    <w:rsid w:val="00854728"/>
    <w:rsid w:val="00855A6C"/>
    <w:rsid w:val="00856705"/>
    <w:rsid w:val="008577B1"/>
    <w:rsid w:val="00860849"/>
    <w:rsid w:val="0086126A"/>
    <w:rsid w:val="00863475"/>
    <w:rsid w:val="00867535"/>
    <w:rsid w:val="00872CA3"/>
    <w:rsid w:val="00883D67"/>
    <w:rsid w:val="0088678E"/>
    <w:rsid w:val="008A107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35A15"/>
    <w:rsid w:val="00A43B3A"/>
    <w:rsid w:val="00A71E04"/>
    <w:rsid w:val="00A72B4B"/>
    <w:rsid w:val="00A8568B"/>
    <w:rsid w:val="00A903B8"/>
    <w:rsid w:val="00A930F6"/>
    <w:rsid w:val="00AA0137"/>
    <w:rsid w:val="00AA34D6"/>
    <w:rsid w:val="00AA6370"/>
    <w:rsid w:val="00AB1358"/>
    <w:rsid w:val="00AB3ADF"/>
    <w:rsid w:val="00AB507D"/>
    <w:rsid w:val="00AD1BFF"/>
    <w:rsid w:val="00AD1CF0"/>
    <w:rsid w:val="00AD4C10"/>
    <w:rsid w:val="00AE6E47"/>
    <w:rsid w:val="00B015A5"/>
    <w:rsid w:val="00B10B2F"/>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516BF"/>
    <w:rsid w:val="00C5270F"/>
    <w:rsid w:val="00C56345"/>
    <w:rsid w:val="00C66556"/>
    <w:rsid w:val="00C67A94"/>
    <w:rsid w:val="00C9156E"/>
    <w:rsid w:val="00CA4A39"/>
    <w:rsid w:val="00CB7B50"/>
    <w:rsid w:val="00D13F01"/>
    <w:rsid w:val="00D276F7"/>
    <w:rsid w:val="00D41B2F"/>
    <w:rsid w:val="00D533AF"/>
    <w:rsid w:val="00D53451"/>
    <w:rsid w:val="00D75EBF"/>
    <w:rsid w:val="00D845E0"/>
    <w:rsid w:val="00D87104"/>
    <w:rsid w:val="00D87CD3"/>
    <w:rsid w:val="00D94469"/>
    <w:rsid w:val="00D968F8"/>
    <w:rsid w:val="00DA1280"/>
    <w:rsid w:val="00DA5568"/>
    <w:rsid w:val="00DC10D8"/>
    <w:rsid w:val="00DD0E1B"/>
    <w:rsid w:val="00DE5B97"/>
    <w:rsid w:val="00DE675A"/>
    <w:rsid w:val="00DF41F7"/>
    <w:rsid w:val="00E013FE"/>
    <w:rsid w:val="00E048D1"/>
    <w:rsid w:val="00E10428"/>
    <w:rsid w:val="00E327CE"/>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47DC4"/>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47DC4"/>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filfirmy/Compliance_program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E282-290D-437D-A0A0-E8AAE8E4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11</TotalTime>
  <Pages>1</Pages>
  <Words>2569</Words>
  <Characters>15159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7</cp:revision>
  <cp:lastPrinted>2005-07-18T05:22:00Z</cp:lastPrinted>
  <dcterms:created xsi:type="dcterms:W3CDTF">2018-04-04T11:57:00Z</dcterms:created>
  <dcterms:modified xsi:type="dcterms:W3CDTF">2018-05-15T08:49:00Z</dcterms:modified>
</cp:coreProperties>
</file>