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65D" w:rsidRPr="00C9665D" w:rsidRDefault="00C9665D" w:rsidP="00F82F32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PŘÍKAZNÍ</w:t>
      </w:r>
      <w:r w:rsidRPr="00C9665D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SMLOUVA</w:t>
      </w:r>
    </w:p>
    <w:p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uzavřená dle ust. § 2430 a násl. zákona č. 89/2012 Sb., občanský zákoník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</w:p>
    <w:p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 platném znění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mezi</w:t>
      </w:r>
    </w:p>
    <w:p w:rsidR="00C9665D" w:rsidRPr="00C9665D" w:rsidRDefault="00C9665D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Příkazce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 obchodním rejstříku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 Praze pod sp. zn. PR1342</w:t>
      </w:r>
    </w:p>
    <w:p w:rsidR="00E46BD8" w:rsidRPr="00483627" w:rsidRDefault="00236B2E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Zastoupený: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="009D7DCB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</w:t>
      </w:r>
    </w:p>
    <w:p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D7DCB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D7DCB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</w:t>
      </w:r>
    </w:p>
    <w:p w:rsidR="006548B0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E46BD8" w:rsidRPr="00F82F32" w:rsidRDefault="006548B0" w:rsidP="00F82F32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D7DCB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xxxxxxxxxxxxxxxxxxx</w:t>
      </w:r>
      <w:r w:rsidR="00E46BD8"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E46BD8" w:rsidRPr="00FD3065" w:rsidRDefault="00E46BD8" w:rsidP="00F82F32">
      <w:pPr>
        <w:pStyle w:val="Odstavecseseznamem"/>
        <w:numPr>
          <w:ilvl w:val="0"/>
          <w:numId w:val="15"/>
        </w:num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D3065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FD306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D7DCB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xxxxxxxxxxxxxxxxxxx</w:t>
      </w:r>
    </w:p>
    <w:p w:rsidR="006548B0" w:rsidRDefault="006548B0" w:rsidP="00F82F32">
      <w:pPr>
        <w:suppressAutoHyphens/>
        <w:spacing w:line="100" w:lineRule="atLeast"/>
        <w:ind w:left="12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548B0" w:rsidRPr="00F82F32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„příkazce“)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6548B0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6548B0" w:rsidRPr="00EF7E3D" w:rsidRDefault="006548B0" w:rsidP="00F82F32">
      <w:pPr>
        <w:spacing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Příkazník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64F39" w:rsidRPr="00EF7E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CENTROPROJEKT GROUP a.s.</w:t>
      </w:r>
    </w:p>
    <w:p w:rsidR="006548B0" w:rsidRPr="00EF7E3D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64F39"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>Štefánikova 167, 760 01 Zlín</w:t>
      </w:r>
    </w:p>
    <w:p w:rsidR="006548B0" w:rsidRPr="00EF7E3D" w:rsidRDefault="006548B0" w:rsidP="00EF7E3D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Zapsaný:</w:t>
      </w: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64F39"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>u K</w:t>
      </w:r>
      <w:r w:rsidR="006E7B30">
        <w:rPr>
          <w:rFonts w:ascii="Times New Roman" w:eastAsia="Times New Roman" w:hAnsi="Times New Roman" w:cs="Times New Roman"/>
          <w:sz w:val="24"/>
          <w:szCs w:val="24"/>
          <w:lang w:eastAsia="cs-CZ"/>
        </w:rPr>
        <w:t>rajské soudu</w:t>
      </w:r>
      <w:r w:rsidR="00764F39"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Brně, oddíl B, vložka 6873</w:t>
      </w:r>
    </w:p>
    <w:p w:rsidR="006548B0" w:rsidRPr="00EF7E3D" w:rsidRDefault="00236B2E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Zastoupený:</w:t>
      </w:r>
      <w:r w:rsidR="006548B0"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354D7"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="009D7DCB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</w:t>
      </w:r>
    </w:p>
    <w:p w:rsidR="006548B0" w:rsidRPr="00EF7E3D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64F39"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>01643541</w:t>
      </w:r>
    </w:p>
    <w:p w:rsidR="006548B0" w:rsidRPr="00EF7E3D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</w:t>
      </w: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64F39"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>CZ01643541</w:t>
      </w:r>
    </w:p>
    <w:p w:rsidR="006548B0" w:rsidRPr="00EF7E3D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>ID datové schránky:</w:t>
      </w: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64F39"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>qjkuck5</w:t>
      </w:r>
    </w:p>
    <w:p w:rsidR="006548B0" w:rsidRPr="00EF7E3D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</w:t>
      </w: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D7DCB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</w:t>
      </w:r>
    </w:p>
    <w:p w:rsidR="006548B0" w:rsidRPr="00EF7E3D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D7DCB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</w:t>
      </w:r>
    </w:p>
    <w:p w:rsidR="006548B0" w:rsidRDefault="006548B0" w:rsidP="00F82F32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764F39" w:rsidRPr="00764F39" w:rsidRDefault="006548B0" w:rsidP="00F82F32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D7DCB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xxxxxxxxxxxxxxxxxxxx</w:t>
      </w:r>
      <w:r w:rsidR="00764F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6548B0" w:rsidRPr="00FD3065" w:rsidRDefault="009D7DCB" w:rsidP="00EF7E3D">
      <w:pPr>
        <w:pStyle w:val="Odstavecseseznamem"/>
        <w:spacing w:line="100" w:lineRule="atLeast"/>
        <w:ind w:left="2604" w:firstLine="22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xxxxxxxxxxxxxxxxxxxx</w:t>
      </w:r>
      <w:r w:rsidR="006548B0" w:rsidRPr="00FD30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EF7E3D" w:rsidRDefault="006548B0" w:rsidP="00F82F32">
      <w:pPr>
        <w:pStyle w:val="Odstavecseseznamem"/>
        <w:numPr>
          <w:ilvl w:val="0"/>
          <w:numId w:val="15"/>
        </w:num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D7DCB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xxxxxxxxxxxxxxxxxxxx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6548B0" w:rsidRPr="00EF7E3D" w:rsidRDefault="009D7DCB" w:rsidP="00EF7E3D">
      <w:pPr>
        <w:spacing w:line="100" w:lineRule="atLeast"/>
        <w:ind w:left="2604" w:firstLine="2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xxxxxxxxxxxxxxxxxxxx</w:t>
      </w:r>
    </w:p>
    <w:p w:rsidR="006548B0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548B0" w:rsidRPr="00F82F32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„příkazník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9164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společně též „smluvní strany“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6548B0" w:rsidRPr="00C9665D" w:rsidRDefault="006548B0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ředmět smlouvy</w:t>
      </w:r>
    </w:p>
    <w:p w:rsidR="0059441C" w:rsidRPr="00F82F32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Předmětem této smlouvy je obstarání záležitosti příkazce, spočívající v zajištění činností autorského dozoru při realizaci akce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E5335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590204">
        <w:rPr>
          <w:rFonts w:ascii="Times New Roman" w:eastAsia="Times New Roman" w:hAnsi="Times New Roman" w:cs="Times New Roman"/>
          <w:sz w:val="24"/>
          <w:szCs w:val="24"/>
          <w:lang w:eastAsia="zh-CN"/>
        </w:rPr>
        <w:t>Přáslavice – rekonstrukce vodojemu</w:t>
      </w:r>
      <w:r w:rsidR="00EF7E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realizace</w:t>
      </w:r>
      <w:r w:rsidR="00CE5335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(dále jen „stavba“) v plném rozsahu. </w:t>
      </w:r>
    </w:p>
    <w:p w:rsid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obstarat záležitost příkazce a výslovně prohlašuje, že uzavřením této smlouvy na sebe bere obstarání předmětu smlouvy, tedy výkon autorského dozoru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(dále jen „AD“)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stavebníka ve vztahu k objektům a provozním souborům stavby uvedeným v čl.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II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 odst. 1.</w:t>
      </w:r>
      <w:r w:rsidR="00B524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celou dobu realizace akce až do odstranění posledních vad a nedodělků. O činnosti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povede příkazník záznam ve stavebním deníku. Příkazník provede výkaz činnosti, který bude potvrzen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="00A003A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říkazcem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65FB9" w:rsidRPr="00F82F32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Specifikace činností příkazníka ve fázi realizace stavby jsou uvedeny v příloze č. 1 této smlouvy.</w:t>
      </w:r>
    </w:p>
    <w:p w:rsidR="00C9665D" w:rsidRP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zodpovídá za vady, kterým mohlo být správným postupem zabráněno a rovněž zodpovídá za jím zaviněné prodlení a případné překročení rozpočtu stavby.</w:t>
      </w:r>
    </w:p>
    <w:p w:rsidR="00C9665D" w:rsidRDefault="00C9665D" w:rsidP="00844AA2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ísto a doba plnění</w:t>
      </w:r>
    </w:p>
    <w:p w:rsidR="00C9665D" w:rsidRPr="00C9665D" w:rsidRDefault="00C9665D" w:rsidP="00F82F32">
      <w:pPr>
        <w:suppressAutoHyphens/>
        <w:spacing w:line="100" w:lineRule="atLeast"/>
        <w:ind w:left="1080"/>
        <w:rPr>
          <w:rFonts w:ascii="Times New Roman" w:eastAsia="Times New Roman" w:hAnsi="Times New Roman" w:cs="Times New Roman"/>
          <w:b/>
          <w:sz w:val="12"/>
          <w:szCs w:val="24"/>
          <w:lang w:eastAsia="zh-CN"/>
        </w:rPr>
      </w:pPr>
    </w:p>
    <w:p w:rsidR="00B52419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>Místem plnění je:</w:t>
      </w:r>
      <w:r w:rsidRP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90204">
        <w:rPr>
          <w:rFonts w:ascii="Times New Roman" w:eastAsia="Times New Roman" w:hAnsi="Times New Roman" w:cs="Times New Roman"/>
          <w:sz w:val="24"/>
          <w:szCs w:val="24"/>
          <w:lang w:eastAsia="zh-CN"/>
        </w:rPr>
        <w:t>Kasárna Přáslavice</w:t>
      </w:r>
    </w:p>
    <w:p w:rsidR="00221480" w:rsidRPr="00F82F32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Předpokládaná doba realizace předmětu smlouvy: </w:t>
      </w:r>
      <w:r w:rsidR="00E9090D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7550C3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590204">
        <w:rPr>
          <w:rFonts w:ascii="Times New Roman" w:eastAsia="Times New Roman" w:hAnsi="Times New Roman" w:cs="Times New Roman"/>
          <w:sz w:val="24"/>
          <w:szCs w:val="24"/>
          <w:lang w:eastAsia="zh-CN"/>
        </w:rPr>
        <w:t>. 5. 2018 – 30. 11. 2018</w:t>
      </w:r>
    </w:p>
    <w:p w:rsidR="00C9665D" w:rsidRPr="00E441DC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41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Předpokládaná doba působení </w:t>
      </w:r>
      <w:r w:rsidR="0059441C" w:rsidRPr="00E441D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E441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stavby je po dobu realizace stavby, průběžně až po dobu odstraňování vad a nedodělků.</w:t>
      </w:r>
      <w:r w:rsidR="00610E49" w:rsidRPr="00E441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AD bude prováděn příkazníkem vždy na základě výzvy příkazce.</w:t>
      </w:r>
      <w:r w:rsidRPr="00E441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9665D" w:rsidRPr="00C9665D" w:rsidRDefault="00C9665D" w:rsidP="00F82F32">
      <w:pPr>
        <w:widowControl w:val="0"/>
        <w:suppressAutoHyphens/>
        <w:autoSpaceDE w:val="0"/>
        <w:spacing w:line="100" w:lineRule="atLeast"/>
        <w:ind w:right="9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III. C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ena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C9665D" w:rsidRDefault="00C9665D" w:rsidP="00F82F32">
      <w:pPr>
        <w:pStyle w:val="Odstavecseseznamem"/>
        <w:numPr>
          <w:ilvl w:val="0"/>
          <w:numId w:val="7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výkon činností dle této smlouvy se příkazce zavazuje zaplatit příkazníkovi ujednanou odměnu 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bez DPH </w:t>
      </w:r>
      <w:r w:rsidR="00B52419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ve</w:t>
      </w:r>
      <w:r w:rsidR="00B52419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EC0FDB">
        <w:rPr>
          <w:rFonts w:ascii="Times New Roman" w:eastAsia="Times New Roman" w:hAnsi="Times New Roman" w:cs="Times New Roman"/>
          <w:sz w:val="24"/>
          <w:szCs w:val="24"/>
          <w:lang w:eastAsia="zh-CN"/>
        </w:rPr>
        <w:t>výši:</w:t>
      </w:r>
    </w:p>
    <w:p w:rsidR="00965FB9" w:rsidRPr="00236B2E" w:rsidRDefault="00965FB9" w:rsidP="00F82F32">
      <w:pPr>
        <w:pStyle w:val="Odstavecseseznamem"/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Default="00C9665D" w:rsidP="00F82F32">
      <w:pPr>
        <w:pStyle w:val="Odstavecseseznamem"/>
        <w:widowControl w:val="0"/>
        <w:numPr>
          <w:ilvl w:val="0"/>
          <w:numId w:val="8"/>
        </w:numPr>
        <w:tabs>
          <w:tab w:val="right" w:pos="8080"/>
          <w:tab w:val="left" w:pos="8505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KD (jednání)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hod.</w:t>
      </w:r>
      <w:r w:rsidR="007E31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07EB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D639D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="00EF7E3D">
        <w:rPr>
          <w:rFonts w:ascii="Times New Roman" w:eastAsia="Times New Roman" w:hAnsi="Times New Roman" w:cs="Times New Roman"/>
          <w:sz w:val="24"/>
          <w:szCs w:val="24"/>
          <w:lang w:eastAsia="cs-CZ"/>
        </w:rPr>
        <w:t>,00</w:t>
      </w:r>
      <w:r w:rsidR="003213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:rsidR="007E31A3" w:rsidRPr="00F82F32" w:rsidRDefault="007E31A3" w:rsidP="00236B2E">
      <w:pPr>
        <w:pStyle w:val="Odstavecseseznamem"/>
        <w:widowControl w:val="0"/>
        <w:tabs>
          <w:tab w:val="left" w:pos="6521"/>
          <w:tab w:val="right" w:pos="7371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F82F32" w:rsidRDefault="00C9665D" w:rsidP="00236B2E">
      <w:pPr>
        <w:pStyle w:val="Odstavecseseznamem"/>
        <w:widowControl w:val="0"/>
        <w:numPr>
          <w:ilvl w:val="0"/>
          <w:numId w:val="8"/>
        </w:numPr>
        <w:tabs>
          <w:tab w:val="right" w:pos="8080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Práce prováděné dle potřeby AD (mimo pravidelné kontrolní dny)</w:t>
      </w:r>
      <w:r w:rsidR="00590204">
        <w:rPr>
          <w:rFonts w:ascii="Times New Roman" w:eastAsia="Times New Roman" w:hAnsi="Times New Roman" w:cs="Times New Roman"/>
          <w:sz w:val="24"/>
          <w:szCs w:val="24"/>
          <w:lang w:eastAsia="zh-CN"/>
        </w:rPr>
        <w:t>/hod.</w:t>
      </w:r>
      <w:r w:rsidR="00EF7E3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F7E3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D639D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bookmarkStart w:id="0" w:name="_GoBack"/>
      <w:bookmarkEnd w:id="0"/>
      <w:r w:rsidR="00EF7E3D">
        <w:rPr>
          <w:rFonts w:ascii="Times New Roman" w:eastAsia="Times New Roman" w:hAnsi="Times New Roman" w:cs="Times New Roman"/>
          <w:sz w:val="24"/>
          <w:szCs w:val="24"/>
          <w:lang w:eastAsia="zh-CN"/>
        </w:rPr>
        <w:t>,00</w:t>
      </w:r>
      <w:r w:rsidR="00455C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</w:p>
    <w:p w:rsidR="00221480" w:rsidRPr="00F82F32" w:rsidRDefault="00221480" w:rsidP="00236B2E">
      <w:pPr>
        <w:widowControl w:val="0"/>
        <w:tabs>
          <w:tab w:val="right" w:pos="8080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7EB5" w:rsidRPr="00EF7E3D" w:rsidRDefault="00C9665D" w:rsidP="00F82F32">
      <w:pPr>
        <w:pStyle w:val="Odstavecseseznamem"/>
        <w:widowControl w:val="0"/>
        <w:numPr>
          <w:ilvl w:val="0"/>
          <w:numId w:val="8"/>
        </w:numPr>
        <w:tabs>
          <w:tab w:val="left" w:pos="6521"/>
          <w:tab w:val="right" w:pos="7371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7E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Maximální cena za výkon </w:t>
      </w:r>
      <w:r w:rsidR="00844AA2" w:rsidRPr="00EF7E3D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EF7E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dle této smlouvy se sjednává ve výši </w:t>
      </w:r>
      <w:r w:rsidR="00F07EB5" w:rsidRPr="00EF7E3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F7E3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F7E3D" w:rsidRPr="00EF7E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</w:t>
      </w:r>
      <w:r w:rsidR="00590204" w:rsidRPr="00EF7E3D">
        <w:rPr>
          <w:rFonts w:ascii="Times New Roman" w:eastAsia="Times New Roman" w:hAnsi="Times New Roman" w:cs="Times New Roman"/>
          <w:sz w:val="24"/>
          <w:szCs w:val="20"/>
          <w:lang w:eastAsia="cs-CZ"/>
        </w:rPr>
        <w:t>50 000,00</w:t>
      </w:r>
      <w:r w:rsidR="00F07EB5" w:rsidRPr="00EF7E3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F07EB5" w:rsidRPr="00EF7E3D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</w:p>
    <w:p w:rsidR="003200FF" w:rsidRPr="00F82F32" w:rsidRDefault="003200FF" w:rsidP="00F82F32">
      <w:pPr>
        <w:pStyle w:val="Odstavecseseznamem"/>
        <w:widowControl w:val="0"/>
        <w:tabs>
          <w:tab w:val="left" w:pos="6521"/>
          <w:tab w:val="right" w:pos="7371"/>
        </w:tabs>
        <w:suppressAutoHyphens/>
        <w:autoSpaceDE w:val="0"/>
        <w:spacing w:line="100" w:lineRule="atLeast"/>
        <w:ind w:left="1276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7E31A3" w:rsidP="00236B2E">
      <w:pPr>
        <w:widowControl w:val="0"/>
        <w:tabs>
          <w:tab w:val="right" w:pos="8080"/>
        </w:tabs>
        <w:suppressAutoHyphens/>
        <w:autoSpaceDE w:val="0"/>
        <w:spacing w:line="100" w:lineRule="atLeast"/>
        <w:ind w:left="734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9665D" w:rsidRPr="00C9665D" w:rsidRDefault="00C9665D" w:rsidP="00236B2E">
      <w:pPr>
        <w:widowControl w:val="0"/>
        <w:suppressAutoHyphens/>
        <w:autoSpaceDE w:val="0"/>
        <w:spacing w:line="100" w:lineRule="atLeast"/>
        <w:ind w:left="284" w:right="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DPH bude 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účtován</w:t>
      </w:r>
      <w:r w:rsidR="007E31A3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ve výši a sazbě platné ke dni zdanitelného plnění dle zákona č. 235/2004 Sb., </w:t>
      </w:r>
      <w:r w:rsidR="006E2C00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6E2C0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dani z přidané hodnoty, ve znění pozdějších předpisů. </w:t>
      </w:r>
    </w:p>
    <w:p w:rsidR="00C9665D" w:rsidRPr="00C9665D" w:rsidRDefault="00C9665D" w:rsidP="00F82F32">
      <w:pPr>
        <w:widowControl w:val="0"/>
        <w:suppressAutoHyphens/>
        <w:autoSpaceDE w:val="0"/>
        <w:spacing w:line="100" w:lineRule="atLeast"/>
        <w:ind w:left="567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Výsledná cena za </w:t>
      </w:r>
      <w:r w:rsidR="004A024B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bude stanovena na základě skutečně odpracovaných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odsouhlasených hodin zástupcem příkazce ve věcech technických -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technický dozor investora</w:t>
      </w:r>
      <w:r w:rsidR="00A003A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dále jen „TDI“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9665D" w:rsidRPr="00E441DC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41DC">
        <w:rPr>
          <w:rFonts w:ascii="Times New Roman" w:eastAsia="Times New Roman" w:hAnsi="Times New Roman" w:cs="Times New Roman"/>
          <w:sz w:val="24"/>
          <w:szCs w:val="24"/>
          <w:lang w:eastAsia="zh-CN"/>
        </w:rPr>
        <w:t>V dohodnuté částce jsou zahrnuty veškeré výdaje na straně příkazníka, spojené s realizací předmětu této smlouvy.</w:t>
      </w:r>
      <w:r w:rsidR="00455CB1" w:rsidRPr="00E441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Čas strávený na cestě na místo KD se započítává do doby výkonu AD.</w:t>
      </w:r>
    </w:p>
    <w:p w:rsidR="00C9665D" w:rsidRPr="00C9665D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neposkytuje zálohy.</w:t>
      </w:r>
    </w:p>
    <w:p w:rsidR="00C9665D" w:rsidRPr="00C9665D" w:rsidRDefault="00C9665D" w:rsidP="00F82F32">
      <w:pPr>
        <w:suppressAutoHyphens/>
        <w:spacing w:line="100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IV. 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latební podmínky</w:t>
      </w:r>
    </w:p>
    <w:p w:rsidR="00C9665D" w:rsidRDefault="00C9665D" w:rsidP="00F82F32">
      <w:pPr>
        <w:pStyle w:val="Odstavecseseznamem"/>
        <w:numPr>
          <w:ilvl w:val="0"/>
          <w:numId w:val="9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Odměna za provedení předmětu této smlouvy bude hrazena na základě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hAnsi="Times New Roman"/>
          <w:sz w:val="24"/>
          <w:szCs w:val="24"/>
        </w:rPr>
        <w:t>daňových dokladů (dále jen „faktur</w:t>
      </w:r>
      <w:r w:rsidR="00914C85" w:rsidRPr="008E6B5F">
        <w:rPr>
          <w:rFonts w:ascii="Times New Roman" w:hAnsi="Times New Roman"/>
          <w:sz w:val="24"/>
          <w:szCs w:val="24"/>
        </w:rPr>
        <w:t>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vystavených příkazníkem a odsouhlasených zástupcem příkazce ve věcech technických - TDI takto:</w:t>
      </w:r>
    </w:p>
    <w:p w:rsidR="00221480" w:rsidRPr="00F82F32" w:rsidRDefault="00221480" w:rsidP="00F82F32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Fakturace bude prováděna jedenkrát měsíčně (vždy za předchozí kalendářní měsíc)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na základě odsouhlasených výkonů odpracovaných hodin s popisem činnosti.</w:t>
      </w:r>
    </w:p>
    <w:p w:rsidR="00C9665D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překročení doby plnění uvedené v čl. II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2 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této smlouvy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bude příkazci vyplácena cena dle čl. III. odst. 1. 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písm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b)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ale pouze v případě, že ke zpoždění nedošlo vinou příkazníka. Případné navýšení ceny dle tohoto odstavce bude upraveno dodatkem k této smlouvě.</w:t>
      </w:r>
    </w:p>
    <w:p w:rsidR="00965FB9" w:rsidRPr="00236B2E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provádět průběžnou kontrolu plnění. Jestliže příkazce odmítne</w:t>
      </w:r>
      <w:r w:rsid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převzetí přehledu za uplynulé období, sepíše o tom zápis, v němž smluvní strany uvedou svá stanoviska a jejich zdůvodnění.</w:t>
      </w:r>
    </w:p>
    <w:p w:rsidR="00965FB9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případě, že přehled nebude příkazníkem doložen, příkazce není povinen k zaplacení faktury, a to až do doložení přehledu za období, kterého se faktura týká. Po tuto dobu není příkazce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prodlení se zaplacením faktury a následná splatnost faktury je 30 dnů od doručení přehledu příkazci.</w:t>
      </w:r>
    </w:p>
    <w:p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Lhůta splatnosti je 30 dní od doručení faktury příkazci (originál faktury + 1 kopie včetně výkazu činnosti). Adresa pro zaslání faktury: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Armádní Servisní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příspěvková organizace, Podbabská 1589/1, 160 00 Praha 6 – Dejvice. Faktura za předchozí měsíc musí být vystavena do 10. dne v měsíci </w:t>
      </w:r>
      <w:r w:rsidR="0012464E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12464E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doručena příkazci.</w:t>
      </w:r>
    </w:p>
    <w:p w:rsidR="00221480" w:rsidRPr="00236B2E" w:rsidRDefault="0012464E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musí obsahovat údaje podle zákona č. 235/2004 Sb., o dani z přidané hodnoty, ve znění pozdějších předpisů a § 435 Občanského zákoníku.</w:t>
      </w:r>
    </w:p>
    <w:p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povinen v předmětu fakturace uvést přesný název akce a číslo smlouvy, jinak bude faktura vrácena příkazníkovi k doplnění.</w:t>
      </w:r>
    </w:p>
    <w:p w:rsidR="00965FB9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Nebude-li faktura obsahovat některou povi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nnou nebo dohodnutou náležitost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příkazce oprávněn fakturu před uplynutím lhůty splatnosti vrátit příkazníkovi k provedení op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ravy s vyznačením důvodu vrácení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Příkazce je oprávněn vrátit fakturu i při nesplnění podmínky 30 denní splatnosti faktury ode dne doručení.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C9665D" w:rsidRPr="00236B2E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Cena za plnění předmětu této smlouvy bude příkazníkem fakturována do výše 100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%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každé faktuře bude vyznačena pozastávka ve výši 10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%, která bude příkazníkovi uhrazena na základě jeho žádosti s doložením příslušného dokladu (předávací protokol o převzetí díla od zhotovitele bez vad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nedodělků nebo zápis o odstranění vad a nedodělků). </w:t>
      </w:r>
    </w:p>
    <w:p w:rsidR="00C9665D" w:rsidRPr="00C9665D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color w:val="000000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V. S</w:t>
      </w:r>
      <w:r w:rsidR="00B70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mluvní pokuty</w:t>
      </w:r>
    </w:p>
    <w:p w:rsidR="00965FB9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Je-li příkazce v prodlení s úhradou faktur ve lhůtě splatnosti uvedené v čl. IV. odst. 2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smlouvy, uhradí příkazníkovi smluvní pokutu ve výši </w:t>
      </w:r>
      <w:r w:rsidR="009D7DCB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% z dlužné částky za každý započatý den prodlení.</w:t>
      </w:r>
    </w:p>
    <w:p w:rsidR="00C9665D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Poruší-li příkazník povinnost účastnit se kontrolního dne (bez omluvy), zavazuje se zaplatit příkazci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pokutu ve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výši </w:t>
      </w:r>
      <w:r w:rsidR="009D7DCB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každé jednotlivé porušení této povinnosti.</w:t>
      </w:r>
    </w:p>
    <w:p w:rsidR="00C9665D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vůči příkazníkovi uplatnit smluvní pokuty, které vzniknou v souvislosti s realizací díla či zanedbáním povinností příkazníka.</w:t>
      </w:r>
    </w:p>
    <w:p w:rsidR="00C9665D" w:rsidRPr="00C9665D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aplacením smluvní pokuty není dotčeno právo smluvní strany na náhradu škody vzniklé porušením smluvní povinnosti a zároveň nezaniká povinnost závazek splnit. V případě, že příkazci vznikne z ujednání této smlouvy nárok na smluvní pokutu nebo jinou majetkovou sankci vůči příkazníkovi, je příkazce oprávněn odečíst tuto částku z jaké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koli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snížit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 ni částku k úhradě nebo pozastávku.</w:t>
      </w:r>
    </w:p>
    <w:p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12"/>
          <w:szCs w:val="24"/>
          <w:u w:val="single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ráva a povinnosti smluvních stran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akceptovat požadavky na provádění prací ze strany stavebních nebo jiných oprávněných orgánů státní správy.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se zavazuje upozornit příkazce na nesprávnost jeho pokynů. 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plnit předmět této smlouvy v souladu s obdrženými podklady a s pokyny příkazce. Od pokynů příkazce se může příkazník odchýlit, jen je-li to naléhavě nezbytné v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zájmu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příkazce, a pokud nemůže včas obdržet jeho souhlas.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účastnit kontrolních dnů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příkazci bude podávat informace o postupu prací a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vyřizování vzniklých záležitostí spojených se stavbou.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Obě strany se zavazují provést mimořádné návštěvy stavby na základě požadavku postupu prací nebo požadavku zhotovitele.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V případě uzavření dodatku ke smlouvě o dílo, na jejímž základě je akce prováděna, se příkazník zavazuje zajistit kontrolu provádění prací odsouhlasených tímto dodatkem. V tomto případě náleží příkazníkovi odměna dle čl. III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1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škody způsobené vadným výkonem příkazu dle této smlouvy a dále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 škody způsobené činností třetích osob, svěřil-li příkazník činnost podle této smlouvy těmto osobám.</w:t>
      </w:r>
    </w:p>
    <w:p w:rsidR="00C9665D" w:rsidRPr="00C9665D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:rsidR="00C9665D" w:rsidRPr="00C9665D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ind w:left="360"/>
        <w:jc w:val="center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oba plnění a možnosti ukončení smlouvy</w:t>
      </w:r>
    </w:p>
    <w:p w:rsidR="00610E49" w:rsidRDefault="00C9665D" w:rsidP="00610E49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Tato smlouva se uzavírá na dobu určitou,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dobu realizace akce uvedené v čl. 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 od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zahájení činností uvedených v čl. I. této smlouvy do doby předání a převzetí dokončené stavby nebo její poslední části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610E49" w:rsidRPr="00DB75BE" w:rsidRDefault="00610E49" w:rsidP="00610E49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B75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Dalším důvodem ukončení této smlouvy je dosažení maximální ceny za výkon AD, tj. ceny ve výši 50 000 Kč, pokud však nebude uzavřen dodatek k této smlouvě.   </w:t>
      </w:r>
    </w:p>
    <w:p w:rsidR="00C9665D" w:rsidRPr="00610E49" w:rsidRDefault="00C9665D" w:rsidP="00610E49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0E49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oprávněn příkaz vypovědět nejdříve ke konci měsíce následujícího po měsíci, v němž byla výpověď doručena.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příkaz odvolat kdykoliv, nahradí však příkazníkovi náklady, které do té doby měl a škodu, pokud jí utrpěl, jakož i část odměny přiměřenou vynaložené námaze příkazníka.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OLE_LINK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Smluvní strany mohou od smlouvy odstoupit ze zákonných důvodů nebo v případě zániku jedné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smluvních stran. Příkazce je dále oprávněn odstoupit od smlouvy, pokud příkazník neplní povinnosti dle přílohy č. 1 této smlouvy. </w:t>
      </w:r>
      <w:bookmarkEnd w:id="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Odstoupení od smlouvy musí být písemné a je účinné doručením druhé smluvní straně.</w:t>
      </w:r>
    </w:p>
    <w:p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ávěrečná ustanovení</w:t>
      </w:r>
    </w:p>
    <w:p w:rsidR="00CD1942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Ostatní práva a povinnosti vyplývající z této smlouvy, pokud nejsou uvedeny přímo v této smlouvě, se řídí občanským zákoníkem. </w:t>
      </w:r>
    </w:p>
    <w:p w:rsidR="00C9665D" w:rsidRPr="00CD1942" w:rsidRDefault="00CD1942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Tato smlouva je vyhotovena ve dvou stejnopisech, každ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ý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 platností originálu, z nichž každá ze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smluvních stran obdrží po jednom vyhotovení.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Smlouva nabývá platnosti dnem podpisu oběma smluvními stranami  a účinnosti dnem uveřejnění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registru smluv. Příkazník bere na vědomí, že uveřejnění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 v plném znění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 tomto registru zajistí příkazce.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jakékoliv navýšení ceny může být realizováno pouze v souladu s § 222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bere na vědomí, že tato smlouva včetně její změny a dodatků bude uveřejněna v souladu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§ 219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Tato smlouva obsahuje úplné ujednání o předmětu smlouvy a všech náležitostech, které strany měly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stran.</w:t>
      </w:r>
    </w:p>
    <w:p w:rsidR="00EF7E3D" w:rsidRPr="00EF7E3D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Smlouvu lze měnit a doplňovat po dohodě smluvních stran formou písemných dodatků k této smlouvě podepsaných oběma smluvními stranami. Podepsané dodatky se stávají nedílnou součástí </w:t>
      </w:r>
    </w:p>
    <w:p w:rsidR="00C9665D" w:rsidRPr="0059441C" w:rsidRDefault="00C9665D" w:rsidP="00EF7E3D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této smlouvy. Za písemnou formu nebude pro tento účel považována výměna e-mailových či jiných elektronických zpráv.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strany prohlašují, že si smlouvu přečetly, s jejím obsahem souhlasí, což stvrzují svými podpisy. </w:t>
      </w:r>
    </w:p>
    <w:p w:rsidR="00590204" w:rsidRDefault="00590204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Přílohy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C9665D" w:rsidRDefault="00E5417A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Příloha č. 1 – </w:t>
      </w:r>
      <w:r w:rsidR="00E019E6">
        <w:rPr>
          <w:rFonts w:ascii="Times New Roman" w:eastAsia="Times New Roman" w:hAnsi="Times New Roman" w:cs="Times New Roman"/>
          <w:sz w:val="24"/>
          <w:szCs w:val="24"/>
          <w:lang w:eastAsia="zh-CN"/>
        </w:rPr>
        <w:t>Činnosti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příkazníka</w:t>
      </w:r>
      <w:r w:rsidR="001777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(2 listy)</w:t>
      </w:r>
    </w:p>
    <w:p w:rsidR="00E53329" w:rsidRDefault="00E53329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Příloha č. 2 – Pověření (1 list)</w:t>
      </w: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EB5305">
      <w:pPr>
        <w:tabs>
          <w:tab w:val="left" w:pos="5250"/>
        </w:tabs>
        <w:suppressAutoHyphens/>
        <w:spacing w:beforeLines="20" w:before="48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 Praze dne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V</w:t>
      </w:r>
      <w:r w:rsidR="00EF7E3D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455CB1">
        <w:rPr>
          <w:rFonts w:ascii="Times New Roman" w:eastAsia="Times New Roman" w:hAnsi="Times New Roman" w:cs="Times New Roman"/>
          <w:sz w:val="24"/>
          <w:szCs w:val="24"/>
          <w:lang w:eastAsia="zh-CN"/>
        </w:rPr>
        <w:t>Zlín</w:t>
      </w:r>
      <w:r w:rsidR="00EF7E3D">
        <w:rPr>
          <w:rFonts w:ascii="Times New Roman" w:eastAsia="Times New Roman" w:hAnsi="Times New Roman" w:cs="Times New Roman"/>
          <w:sz w:val="24"/>
          <w:szCs w:val="24"/>
          <w:lang w:eastAsia="zh-CN"/>
        </w:rPr>
        <w:t>ě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dne</w:t>
      </w:r>
    </w:p>
    <w:p w:rsidR="00C9665D" w:rsidRPr="00C9665D" w:rsidRDefault="006E2C00" w:rsidP="00F82F32">
      <w:pPr>
        <w:tabs>
          <w:tab w:val="left" w:pos="4305"/>
        </w:tabs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F82F32">
      <w:pPr>
        <w:tabs>
          <w:tab w:val="left" w:pos="5670"/>
        </w:tabs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 příkazce: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Za příkazníka: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F82F32">
      <w:pPr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C9665D" w:rsidRDefault="00C9665D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4AA2" w:rsidRPr="00C9665D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844AA2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</w:p>
    <w:p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C5935">
        <w:rPr>
          <w:rFonts w:ascii="Times New Roman" w:eastAsia="Times New Roman" w:hAnsi="Times New Roman" w:cs="Times New Roman"/>
          <w:sz w:val="24"/>
          <w:szCs w:val="24"/>
          <w:lang w:eastAsia="zh-CN"/>
        </w:rPr>
        <w:t>Armádní Servisní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příspěvková organizace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455CB1">
        <w:rPr>
          <w:rFonts w:ascii="Times New Roman" w:eastAsia="Times New Roman" w:hAnsi="Times New Roman" w:cs="Times New Roman"/>
          <w:sz w:val="24"/>
          <w:szCs w:val="24"/>
          <w:lang w:eastAsia="zh-CN"/>
        </w:rPr>
        <w:t>CENTROPROJEKT GROUP a.s.</w:t>
      </w:r>
    </w:p>
    <w:p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D7DCB">
        <w:rPr>
          <w:rFonts w:ascii="Times New Roman" w:eastAsia="Times New Roman" w:hAnsi="Times New Roman" w:cs="Times New Roman"/>
          <w:sz w:val="24"/>
          <w:szCs w:val="24"/>
          <w:lang w:eastAsia="zh-CN"/>
        </w:rPr>
        <w:t>xxxxxxx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D7DCB">
        <w:rPr>
          <w:rFonts w:ascii="Times New Roman" w:eastAsia="Times New Roman" w:hAnsi="Times New Roman" w:cs="Times New Roman"/>
          <w:sz w:val="24"/>
          <w:szCs w:val="24"/>
          <w:lang w:eastAsia="zh-CN"/>
        </w:rPr>
        <w:t>xxxxxxxx</w:t>
      </w:r>
    </w:p>
    <w:p w:rsid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D7DCB">
        <w:rPr>
          <w:rFonts w:ascii="Times New Roman" w:eastAsia="Times New Roman" w:hAnsi="Times New Roman" w:cs="Times New Roman"/>
          <w:sz w:val="24"/>
          <w:szCs w:val="24"/>
          <w:lang w:eastAsia="zh-CN"/>
        </w:rPr>
        <w:t>xxxxxx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D7DCB">
        <w:rPr>
          <w:rFonts w:ascii="Times New Roman" w:eastAsia="Times New Roman" w:hAnsi="Times New Roman" w:cs="Times New Roman"/>
          <w:sz w:val="24"/>
          <w:szCs w:val="24"/>
          <w:lang w:eastAsia="zh-CN"/>
        </w:rPr>
        <w:t>xxxxxxxxxxxx</w:t>
      </w:r>
    </w:p>
    <w:p w:rsidR="00455CB1" w:rsidRPr="00C9665D" w:rsidRDefault="00455CB1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D7DCB">
        <w:rPr>
          <w:rFonts w:ascii="Times New Roman" w:eastAsia="Times New Roman" w:hAnsi="Times New Roman" w:cs="Times New Roman"/>
          <w:sz w:val="24"/>
          <w:szCs w:val="24"/>
          <w:lang w:eastAsia="zh-CN"/>
        </w:rPr>
        <w:t>xxxxxxxxxxxx</w:t>
      </w:r>
    </w:p>
    <w:p w:rsidR="006E2C00" w:rsidRDefault="00C9665D" w:rsidP="00B52419">
      <w:pPr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6E2C00" w:rsidSect="00F82F32">
          <w:headerReference w:type="default" r:id="rId7"/>
          <w:footerReference w:type="default" r:id="rId8"/>
          <w:pgSz w:w="11906" w:h="16838" w:code="9"/>
          <w:pgMar w:top="992" w:right="851" w:bottom="851" w:left="992" w:header="425" w:footer="408" w:gutter="0"/>
          <w:cols w:space="708"/>
          <w:docGrid w:linePitch="272"/>
        </w:sect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                               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9665D" w:rsidRPr="00FC67C0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10000"/>
          <w:sz w:val="24"/>
          <w:szCs w:val="24"/>
          <w:lang w:eastAsia="zh-CN"/>
        </w:rPr>
        <w:lastRenderedPageBreak/>
        <w:t xml:space="preserve">Předmětem plnění příkazní smlouvy je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výkon funkce autorského dozoru 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Pr="00FC67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akce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590204">
        <w:rPr>
          <w:rFonts w:ascii="Times New Roman" w:eastAsia="Times New Roman" w:hAnsi="Times New Roman" w:cs="Times New Roman"/>
          <w:sz w:val="24"/>
          <w:szCs w:val="24"/>
          <w:lang w:eastAsia="zh-CN"/>
        </w:rPr>
        <w:t>Přáslavice – rekonstrukce vodojemu</w:t>
      </w:r>
      <w:r w:rsidR="00EF7E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realizace</w:t>
      </w:r>
      <w:r w:rsidR="00DC5935"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</w:p>
    <w:p w:rsidR="00C9665D" w:rsidRPr="00F82F32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F82F32" w:rsidRDefault="00C9665D" w:rsidP="00236B2E">
      <w:pPr>
        <w:widowControl w:val="0"/>
        <w:suppressAutoHyphens/>
        <w:autoSpaceDE w:val="0"/>
        <w:spacing w:before="4" w:line="100" w:lineRule="atLeast"/>
        <w:ind w:right="8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</w:pP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Auto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>r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ský dozor (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dále jen „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AD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“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) bude prováděn jako občasná dozorová činnost, jejímž hlavním úkolem je ověřování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souladu prováděné stavby s projektovou dokumentací v průběhu realizace stavby.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Působnost AD se vztahuje již na fázi realizační přípravy. Dále je těsně spjat s fází vlastní realizace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stavby, s ověřením vhodnosti a správnosti navrženého řešení.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Cílem a náplní činnosti AD je zajistit konečnou kvalitu stavby po celou dobu její realizace, včetně záruční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doby </w:t>
      </w:r>
      <w:r w:rsidR="006E2C00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 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minimalizovat její finanční náklady.</w:t>
      </w:r>
    </w:p>
    <w:p w:rsidR="00DC5935" w:rsidRPr="00F82F32" w:rsidRDefault="00DC5935" w:rsidP="00F82F32">
      <w:pPr>
        <w:widowControl w:val="0"/>
        <w:spacing w:line="100" w:lineRule="atLeast"/>
        <w:ind w:left="440" w:hanging="440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</w:p>
    <w:p w:rsidR="00C9665D" w:rsidRPr="00236B2E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Seznám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it se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>s obsahem smlouvy o dílo.</w:t>
      </w:r>
    </w:p>
    <w:p w:rsidR="00C9665D" w:rsidRPr="00236B2E" w:rsidRDefault="00FC67C0" w:rsidP="00F82F32">
      <w:pPr>
        <w:widowControl w:val="0"/>
        <w:numPr>
          <w:ilvl w:val="0"/>
          <w:numId w:val="2"/>
        </w:numPr>
        <w:tabs>
          <w:tab w:val="left" w:pos="416"/>
        </w:tabs>
        <w:suppressAutoHyphens/>
        <w:spacing w:line="100" w:lineRule="atLeast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Provádět d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ozor při realizaci stavby k zabezpečení souladu s projektem jak pokud jde o vlastní řešení stavby, tak také z hlediska postupu a respektování podmínek výstavby, obecných požadavků na</w:t>
      </w:r>
      <w:r w:rsidR="008B6BA9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výstavbu, veřejného zájmu, technických předpisů, dodržení rozhodnutí a jiných opatření vydaných 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k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uskutečnění stavby.</w:t>
      </w:r>
    </w:p>
    <w:p w:rsidR="00C9665D" w:rsidRPr="00236B2E" w:rsidRDefault="00C9665D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Účast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nit se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předání staveniště zhotoviteli, kontrolních jednání o výstavbě (kontrolních dnech, výrobních poradách), popř. na jiných jednáních.</w:t>
      </w:r>
    </w:p>
    <w:p w:rsidR="00C9665D" w:rsidRPr="00236B2E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Provádě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t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namátkov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é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kontrol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y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, zejména v rozhodujících fázích stavby.</w:t>
      </w:r>
    </w:p>
    <w:p w:rsidR="00C9665D" w:rsidRPr="00F82F32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Provádět p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růběžné 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konzult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ace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 účastníky výstavby</w:t>
      </w:r>
      <w:r w:rsidR="00A42AA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,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="00A42AAC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o</w:t>
      </w:r>
      <w:r w:rsidR="00C9665D" w:rsidRPr="00F82F3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bjektivní technické a cenové posuzování návrhů účastníků výstavby na odchylky,</w:t>
      </w:r>
      <w:r w:rsidR="00C9665D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změny a dodatečné požadavky s ohledem na jejich nezbytnost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účelnost</w:t>
      </w:r>
      <w:r w:rsidR="00C9665D"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dopracování změn projektové dokumentace.</w:t>
      </w:r>
    </w:p>
    <w:p w:rsidR="00C9665D" w:rsidRPr="00F82F32" w:rsidRDefault="00C9665D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Upozorňovat objednatele stavby na skutečnosti, které mohou vést k dodatečným věcným </w:t>
      </w:r>
      <w:r w:rsidR="00FC67C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či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finančním nárokům a v případě, že realizované dílo je prováděno odchylně od projektu, příp. </w:t>
      </w:r>
      <w:r w:rsidR="00FC67C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rozporu s obecně platnými předpisy, normami, nařízeními nebo standardy. Zejména upozorňovat na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závažné nedostatky, neodstranitelné vady, závady a porušování právních předpisů nebo technických norem, které by mohly vést k ohrožení na životě nebo zdraví lidí, poškození životního prostředí nebo značným škodám na majetku, apod. Tato upozornění provádět neprodleně a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prokazatelně (včetně zápisu do stavebního deníku).</w:t>
      </w:r>
    </w:p>
    <w:p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Zpracovávat vyjádření k návrhům na drobné úpravy či změny uplatněné zhotovitelem nebo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investorem.</w:t>
      </w:r>
    </w:p>
    <w:p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 racionální míře zpracovávat podklady pro změny, pokud k tomu investor dá pokyn.</w:t>
      </w:r>
    </w:p>
    <w:p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Autorizovat případné Změnové listy.</w:t>
      </w:r>
    </w:p>
    <w:p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Odsouhlasit a kontrolovat dodržování Kontrolního a zkušebního plánu zpracovaného zhotovitelem stavby.</w:t>
      </w:r>
    </w:p>
    <w:p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Provádět dozor nad průběhem zkoušek (ověřovacích, kontrolních, průkazních, rozhodčích, komplexních) prováděných zhotovitelem stavby,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posuzov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at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správnost jejich provádění, interpretace a vyhodnocení výsledků s ohledem na předmět a cíle projektu.</w:t>
      </w:r>
    </w:p>
    <w:p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Navrhovat dílčí změny vlastního projektu stavby, pokud mohou přispět ke zvýšení efektivnosti dříve navržených a přijatých řešení nebo ke snížení či odstranění rizik projektu. Zejména se jedná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změny, které mohou objektivně nastat po prohlídce a zdokumentování stavebního odkryvu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nedaly se při zpracování projektu předpokládat.</w:t>
      </w:r>
    </w:p>
    <w:p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Vypracování, evidence a archivace všech změn projektu se sumarizací veškerých změn.</w:t>
      </w:r>
    </w:p>
    <w:p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Spolupráce s pracovníky zabezpečujícími technický dozor při zajišťování souladu realizovaných dodávek a prací s projektovou dokumentací.</w:t>
      </w:r>
    </w:p>
    <w:p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Dozor nad vyhotovením dokumentace skutečného provedení stavby (DSPS).</w:t>
      </w:r>
    </w:p>
    <w:p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Účast na převzetí zhotoveného díla a provedení kontroly odevzdání veškerých potřebných dokladů</w:t>
      </w:r>
      <w:r w:rsidR="00D40E6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lastRenderedPageBreak/>
        <w:t xml:space="preserve">Činnost AD bude vykonávána </w:t>
      </w:r>
      <w:r w:rsidR="00590204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na vyžádání investora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.</w:t>
      </w:r>
      <w:r w:rsidR="00590204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 kontrolních návštěvách AD mimo pravidelné kontrolní dny stavby bude investor vhodným způsobem informován.</w:t>
      </w:r>
    </w:p>
    <w:p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Kontrola odstraňování vad a nedodělků zjištěných při přebírání v dohodnutých termínech.</w:t>
      </w:r>
    </w:p>
    <w:p w:rsidR="00C9665D" w:rsidRPr="00844AA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Hlavní projektant sestaví seznam osob, které mohou vykonávat AD z titulu předchozí aktivní účasti na zpracování projektu stavby.</w:t>
      </w:r>
    </w:p>
    <w:p w:rsidR="00C9665D" w:rsidRPr="00844AA2" w:rsidRDefault="00C9665D" w:rsidP="00590204">
      <w:p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236B2E" w:rsidRDefault="00C9665D" w:rsidP="00F82F32">
      <w:pPr>
        <w:suppressAutoHyphens/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:rsidR="00C9665D" w:rsidRPr="00236B2E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</w:pPr>
      <w:r w:rsidRPr="00236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  <w:t>Autorský dozor je oprávněn:</w:t>
      </w:r>
    </w:p>
    <w:p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zastavit stavbu v případě zjištění závažných skutečností, které by mohly ohrozit kvalitu díla.</w:t>
      </w:r>
    </w:p>
    <w:p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striktně zamítnout změny řešení předložené zhotovitelem, pokud by to podle AD mohlo vést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snížení kvality díla, zkrácení záruční doby nebo předpokládané životnosti stavby.</w:t>
      </w:r>
    </w:p>
    <w:p w:rsidR="008A295C" w:rsidRPr="00F82F32" w:rsidRDefault="00C9665D" w:rsidP="00236B2E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sz w:val="24"/>
          <w:szCs w:val="24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odstoupit od smlouvy s 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příkazcem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(investorem) bez sankcí v případě, že zhotovitel stavby nebo investor opakovaně nerespektuje výtky k technologii a kvalitě stavebních prací nebo v případě,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že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mu byly zamlčeny významné okolnosti </w:t>
      </w:r>
      <w:r w:rsidR="006E2C0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se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stavbou související.</w:t>
      </w:r>
    </w:p>
    <w:sectPr w:rsidR="008A295C" w:rsidRPr="00F82F32" w:rsidSect="003B6584">
      <w:headerReference w:type="default" r:id="rId9"/>
      <w:footerReference w:type="default" r:id="rId10"/>
      <w:pgSz w:w="11906" w:h="16838"/>
      <w:pgMar w:top="992" w:right="851" w:bottom="1134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7D9" w:rsidRDefault="00B917D9">
      <w:r>
        <w:separator/>
      </w:r>
    </w:p>
  </w:endnote>
  <w:endnote w:type="continuationSeparator" w:id="0">
    <w:p w:rsidR="00B917D9" w:rsidRDefault="00B9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180" w:rsidRDefault="00AD46E3">
    <w:pPr>
      <w:pStyle w:val="Zpat"/>
      <w:jc w:val="center"/>
    </w:pPr>
    <w:r>
      <w:fldChar w:fldCharType="begin"/>
    </w:r>
    <w:r w:rsidR="00C9665D">
      <w:instrText>PAGE   \* MERGEFORMAT</w:instrText>
    </w:r>
    <w:r>
      <w:fldChar w:fldCharType="separate"/>
    </w:r>
    <w:r w:rsidR="00CD639D">
      <w:rPr>
        <w:noProof/>
      </w:rPr>
      <w:t>2</w:t>
    </w:r>
    <w:r>
      <w:fldChar w:fldCharType="end"/>
    </w:r>
  </w:p>
  <w:p w:rsidR="00AC40CE" w:rsidRPr="003E2180" w:rsidRDefault="00C9665D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C00" w:rsidRPr="003E2180" w:rsidRDefault="006E2C00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7D9" w:rsidRDefault="00B917D9">
      <w:r>
        <w:separator/>
      </w:r>
    </w:p>
  </w:footnote>
  <w:footnote w:type="continuationSeparator" w:id="0">
    <w:p w:rsidR="00B917D9" w:rsidRDefault="00B91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180" w:rsidRDefault="00C9665D" w:rsidP="003E2180">
    <w:pPr>
      <w:pStyle w:val="Zhlav"/>
      <w:rPr>
        <w:b/>
      </w:rPr>
    </w:pPr>
    <w:r>
      <w:rPr>
        <w:b/>
      </w:rPr>
      <w:tab/>
    </w:r>
    <w:r>
      <w:rPr>
        <w:b/>
      </w:rPr>
      <w:tab/>
      <w:t xml:space="preserve">Smlouva č. </w:t>
    </w:r>
    <w:r w:rsidR="00EF7E3D">
      <w:rPr>
        <w:b/>
      </w:rPr>
      <w:t>V</w:t>
    </w:r>
    <w:r>
      <w:rPr>
        <w:b/>
      </w:rPr>
      <w:t>-</w:t>
    </w:r>
    <w:r w:rsidR="006E7B30" w:rsidRPr="006E7B30">
      <w:rPr>
        <w:b/>
      </w:rPr>
      <w:t>130</w:t>
    </w:r>
    <w:r w:rsidRPr="00722094">
      <w:rPr>
        <w:b/>
      </w:rPr>
      <w:t>-00/1</w:t>
    </w:r>
    <w:r w:rsidR="00EF7E3D">
      <w:rPr>
        <w:b/>
      </w:rPr>
      <w:t>8</w:t>
    </w:r>
  </w:p>
  <w:p w:rsidR="0032133E" w:rsidRPr="006F06C4" w:rsidRDefault="0032133E" w:rsidP="003E2180">
    <w:pPr>
      <w:pStyle w:val="Zhlav"/>
      <w:rPr>
        <w:b/>
        <w:color w:val="000000"/>
      </w:rPr>
    </w:pPr>
    <w:r>
      <w:rPr>
        <w:b/>
      </w:rPr>
      <w:tab/>
    </w:r>
    <w:r>
      <w:rPr>
        <w:b/>
      </w:rPr>
      <w:tab/>
      <w:t>Příkazce: 18 089 3</w:t>
    </w:r>
  </w:p>
  <w:p w:rsidR="000B5BF5" w:rsidRDefault="00CD639D">
    <w:pPr>
      <w:pStyle w:val="Zhlav"/>
      <w:tabs>
        <w:tab w:val="clear" w:pos="9072"/>
        <w:tab w:val="right" w:pos="10065"/>
      </w:tabs>
      <w:ind w:left="5376" w:hanging="537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30" w:rsidRDefault="006E7B30" w:rsidP="006E7B30">
    <w:pPr>
      <w:pStyle w:val="Zhlav"/>
      <w:rPr>
        <w:b/>
      </w:rPr>
    </w:pPr>
    <w:r>
      <w:rPr>
        <w:b/>
        <w:color w:val="010000"/>
      </w:rPr>
      <w:tab/>
    </w:r>
    <w:r>
      <w:rPr>
        <w:b/>
        <w:color w:val="010000"/>
      </w:rPr>
      <w:tab/>
    </w:r>
    <w:r>
      <w:rPr>
        <w:b/>
        <w:color w:val="010000"/>
      </w:rPr>
      <w:tab/>
    </w:r>
    <w:r>
      <w:rPr>
        <w:b/>
        <w:color w:val="010000"/>
      </w:rPr>
      <w:tab/>
    </w:r>
    <w:r>
      <w:rPr>
        <w:b/>
        <w:color w:val="010000"/>
      </w:rPr>
      <w:tab/>
    </w:r>
    <w:r>
      <w:rPr>
        <w:b/>
        <w:color w:val="010000"/>
      </w:rPr>
      <w:tab/>
      <w:t xml:space="preserve">      </w:t>
    </w:r>
    <w:r w:rsidR="000C6240">
      <w:rPr>
        <w:b/>
        <w:color w:val="010000"/>
      </w:rPr>
      <w:t xml:space="preserve"> </w:t>
    </w:r>
    <w:r w:rsidR="006E2C00" w:rsidRPr="00C9665D">
      <w:rPr>
        <w:b/>
        <w:color w:val="010000"/>
      </w:rPr>
      <w:t>Příloha č. 1</w:t>
    </w:r>
    <w:r w:rsidR="006E2C00">
      <w:rPr>
        <w:b/>
        <w:color w:val="010000"/>
      </w:rPr>
      <w:t xml:space="preserve"> příkazní smlouvy č.</w:t>
    </w:r>
    <w:r>
      <w:rPr>
        <w:b/>
        <w:color w:val="010000"/>
      </w:rPr>
      <w:t xml:space="preserve"> V</w:t>
    </w:r>
    <w:r w:rsidR="006E2C00">
      <w:rPr>
        <w:b/>
        <w:color w:val="010000"/>
      </w:rPr>
      <w:t>-</w:t>
    </w:r>
    <w:r>
      <w:rPr>
        <w:b/>
        <w:color w:val="010000"/>
      </w:rPr>
      <w:t>130-00/18</w:t>
    </w:r>
    <w:r>
      <w:rPr>
        <w:b/>
        <w:color w:val="010000"/>
      </w:rPr>
      <w:br/>
    </w:r>
    <w:r>
      <w:rPr>
        <w:b/>
        <w:color w:val="010000"/>
      </w:rPr>
      <w:tab/>
    </w:r>
    <w:r>
      <w:rPr>
        <w:b/>
        <w:color w:val="010000"/>
      </w:rPr>
      <w:tab/>
      <w:t xml:space="preserve">    </w:t>
    </w:r>
    <w:r>
      <w:rPr>
        <w:b/>
      </w:rPr>
      <w:t>Příkazce: 18 089 3</w:t>
    </w:r>
  </w:p>
  <w:p w:rsidR="006E7B30" w:rsidRPr="006E7B30" w:rsidRDefault="006E7B30" w:rsidP="006E7B30">
    <w:pPr>
      <w:pStyle w:val="Zhlav"/>
      <w:rPr>
        <w:b/>
        <w:color w:val="01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48509AD"/>
    <w:multiLevelType w:val="hybridMultilevel"/>
    <w:tmpl w:val="8BC0D370"/>
    <w:lvl w:ilvl="0" w:tplc="EEA85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3D0A"/>
    <w:multiLevelType w:val="hybridMultilevel"/>
    <w:tmpl w:val="48D0AEBC"/>
    <w:lvl w:ilvl="0" w:tplc="E77048B0">
      <w:start w:val="1"/>
      <w:numFmt w:val="decimal"/>
      <w:lvlText w:val="1.%1"/>
      <w:lvlJc w:val="left"/>
      <w:pPr>
        <w:ind w:left="1258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78" w:hanging="360"/>
      </w:pPr>
    </w:lvl>
    <w:lvl w:ilvl="2" w:tplc="0405001B" w:tentative="1">
      <w:start w:val="1"/>
      <w:numFmt w:val="lowerRoman"/>
      <w:lvlText w:val="%3."/>
      <w:lvlJc w:val="right"/>
      <w:pPr>
        <w:ind w:left="2698" w:hanging="180"/>
      </w:pPr>
    </w:lvl>
    <w:lvl w:ilvl="3" w:tplc="0405000F" w:tentative="1">
      <w:start w:val="1"/>
      <w:numFmt w:val="decimal"/>
      <w:lvlText w:val="%4."/>
      <w:lvlJc w:val="left"/>
      <w:pPr>
        <w:ind w:left="3418" w:hanging="360"/>
      </w:pPr>
    </w:lvl>
    <w:lvl w:ilvl="4" w:tplc="04050019" w:tentative="1">
      <w:start w:val="1"/>
      <w:numFmt w:val="lowerLetter"/>
      <w:lvlText w:val="%5."/>
      <w:lvlJc w:val="left"/>
      <w:pPr>
        <w:ind w:left="4138" w:hanging="360"/>
      </w:pPr>
    </w:lvl>
    <w:lvl w:ilvl="5" w:tplc="0405001B" w:tentative="1">
      <w:start w:val="1"/>
      <w:numFmt w:val="lowerRoman"/>
      <w:lvlText w:val="%6."/>
      <w:lvlJc w:val="right"/>
      <w:pPr>
        <w:ind w:left="4858" w:hanging="180"/>
      </w:pPr>
    </w:lvl>
    <w:lvl w:ilvl="6" w:tplc="0405000F" w:tentative="1">
      <w:start w:val="1"/>
      <w:numFmt w:val="decimal"/>
      <w:lvlText w:val="%7."/>
      <w:lvlJc w:val="left"/>
      <w:pPr>
        <w:ind w:left="5578" w:hanging="360"/>
      </w:pPr>
    </w:lvl>
    <w:lvl w:ilvl="7" w:tplc="04050019" w:tentative="1">
      <w:start w:val="1"/>
      <w:numFmt w:val="lowerLetter"/>
      <w:lvlText w:val="%8."/>
      <w:lvlJc w:val="left"/>
      <w:pPr>
        <w:ind w:left="6298" w:hanging="360"/>
      </w:pPr>
    </w:lvl>
    <w:lvl w:ilvl="8" w:tplc="040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4" w15:restartNumberingAfterBreak="0">
    <w:nsid w:val="27CB4AAB"/>
    <w:multiLevelType w:val="hybridMultilevel"/>
    <w:tmpl w:val="ABEE4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43A33"/>
    <w:multiLevelType w:val="hybridMultilevel"/>
    <w:tmpl w:val="0E14507C"/>
    <w:lvl w:ilvl="0" w:tplc="F6804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D7855"/>
    <w:multiLevelType w:val="hybridMultilevel"/>
    <w:tmpl w:val="5B8453BA"/>
    <w:lvl w:ilvl="0" w:tplc="95A8F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11143"/>
    <w:multiLevelType w:val="hybridMultilevel"/>
    <w:tmpl w:val="F3FA6DA2"/>
    <w:lvl w:ilvl="0" w:tplc="5330B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0757D"/>
    <w:multiLevelType w:val="hybridMultilevel"/>
    <w:tmpl w:val="5046DBC2"/>
    <w:lvl w:ilvl="0" w:tplc="38B29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53777"/>
    <w:multiLevelType w:val="hybridMultilevel"/>
    <w:tmpl w:val="06EE3D0A"/>
    <w:lvl w:ilvl="0" w:tplc="04050017">
      <w:start w:val="1"/>
      <w:numFmt w:val="lowerLetter"/>
      <w:lvlText w:val="%1)"/>
      <w:lvlJc w:val="left"/>
      <w:pPr>
        <w:ind w:left="1454" w:hanging="360"/>
      </w:pPr>
    </w:lvl>
    <w:lvl w:ilvl="1" w:tplc="04050019" w:tentative="1">
      <w:start w:val="1"/>
      <w:numFmt w:val="lowerLetter"/>
      <w:lvlText w:val="%2."/>
      <w:lvlJc w:val="left"/>
      <w:pPr>
        <w:ind w:left="2174" w:hanging="360"/>
      </w:pPr>
    </w:lvl>
    <w:lvl w:ilvl="2" w:tplc="0405001B" w:tentative="1">
      <w:start w:val="1"/>
      <w:numFmt w:val="lowerRoman"/>
      <w:lvlText w:val="%3."/>
      <w:lvlJc w:val="right"/>
      <w:pPr>
        <w:ind w:left="2894" w:hanging="180"/>
      </w:pPr>
    </w:lvl>
    <w:lvl w:ilvl="3" w:tplc="0405000F" w:tentative="1">
      <w:start w:val="1"/>
      <w:numFmt w:val="decimal"/>
      <w:lvlText w:val="%4."/>
      <w:lvlJc w:val="left"/>
      <w:pPr>
        <w:ind w:left="3614" w:hanging="360"/>
      </w:pPr>
    </w:lvl>
    <w:lvl w:ilvl="4" w:tplc="04050019" w:tentative="1">
      <w:start w:val="1"/>
      <w:numFmt w:val="lowerLetter"/>
      <w:lvlText w:val="%5."/>
      <w:lvlJc w:val="left"/>
      <w:pPr>
        <w:ind w:left="4334" w:hanging="360"/>
      </w:pPr>
    </w:lvl>
    <w:lvl w:ilvl="5" w:tplc="0405001B" w:tentative="1">
      <w:start w:val="1"/>
      <w:numFmt w:val="lowerRoman"/>
      <w:lvlText w:val="%6."/>
      <w:lvlJc w:val="right"/>
      <w:pPr>
        <w:ind w:left="5054" w:hanging="180"/>
      </w:pPr>
    </w:lvl>
    <w:lvl w:ilvl="6" w:tplc="0405000F" w:tentative="1">
      <w:start w:val="1"/>
      <w:numFmt w:val="decimal"/>
      <w:lvlText w:val="%7."/>
      <w:lvlJc w:val="left"/>
      <w:pPr>
        <w:ind w:left="5774" w:hanging="360"/>
      </w:pPr>
    </w:lvl>
    <w:lvl w:ilvl="7" w:tplc="04050019" w:tentative="1">
      <w:start w:val="1"/>
      <w:numFmt w:val="lowerLetter"/>
      <w:lvlText w:val="%8."/>
      <w:lvlJc w:val="left"/>
      <w:pPr>
        <w:ind w:left="6494" w:hanging="360"/>
      </w:pPr>
    </w:lvl>
    <w:lvl w:ilvl="8" w:tplc="040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1" w15:restartNumberingAfterBreak="0">
    <w:nsid w:val="5BD13A4D"/>
    <w:multiLevelType w:val="hybridMultilevel"/>
    <w:tmpl w:val="D66C70C8"/>
    <w:lvl w:ilvl="0" w:tplc="40EAE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41909"/>
    <w:multiLevelType w:val="hybridMultilevel"/>
    <w:tmpl w:val="21A896F0"/>
    <w:lvl w:ilvl="0" w:tplc="4BF2F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14"/>
  </w:num>
  <w:num w:numId="10">
    <w:abstractNumId w:val="3"/>
  </w:num>
  <w:num w:numId="11">
    <w:abstractNumId w:val="11"/>
  </w:num>
  <w:num w:numId="12">
    <w:abstractNumId w:val="6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AF1"/>
    <w:rsid w:val="000C6240"/>
    <w:rsid w:val="0012464E"/>
    <w:rsid w:val="001777AA"/>
    <w:rsid w:val="00184584"/>
    <w:rsid w:val="00221480"/>
    <w:rsid w:val="00223C0D"/>
    <w:rsid w:val="00236B2E"/>
    <w:rsid w:val="00302A29"/>
    <w:rsid w:val="003200FF"/>
    <w:rsid w:val="0032133E"/>
    <w:rsid w:val="0033537D"/>
    <w:rsid w:val="003503BE"/>
    <w:rsid w:val="00363538"/>
    <w:rsid w:val="003A32B1"/>
    <w:rsid w:val="003A6CA0"/>
    <w:rsid w:val="00421800"/>
    <w:rsid w:val="00455CB1"/>
    <w:rsid w:val="0049488E"/>
    <w:rsid w:val="004A024B"/>
    <w:rsid w:val="004C5ADA"/>
    <w:rsid w:val="00515058"/>
    <w:rsid w:val="00590204"/>
    <w:rsid w:val="0059441C"/>
    <w:rsid w:val="00610E49"/>
    <w:rsid w:val="006548B0"/>
    <w:rsid w:val="00677F27"/>
    <w:rsid w:val="006864E4"/>
    <w:rsid w:val="006C295C"/>
    <w:rsid w:val="006E13CB"/>
    <w:rsid w:val="006E2C00"/>
    <w:rsid w:val="006E7B30"/>
    <w:rsid w:val="00726A88"/>
    <w:rsid w:val="007354D7"/>
    <w:rsid w:val="007550C3"/>
    <w:rsid w:val="00764F39"/>
    <w:rsid w:val="007A68BF"/>
    <w:rsid w:val="007E31A3"/>
    <w:rsid w:val="007F61EA"/>
    <w:rsid w:val="00815AF1"/>
    <w:rsid w:val="00844AA2"/>
    <w:rsid w:val="00861477"/>
    <w:rsid w:val="0088030A"/>
    <w:rsid w:val="008A295C"/>
    <w:rsid w:val="008B6BA9"/>
    <w:rsid w:val="008C6192"/>
    <w:rsid w:val="008D7872"/>
    <w:rsid w:val="008E5938"/>
    <w:rsid w:val="00914C85"/>
    <w:rsid w:val="009164AD"/>
    <w:rsid w:val="00965FB9"/>
    <w:rsid w:val="00966BB7"/>
    <w:rsid w:val="009D6BC1"/>
    <w:rsid w:val="009D7DCB"/>
    <w:rsid w:val="009F7699"/>
    <w:rsid w:val="00A003AD"/>
    <w:rsid w:val="00A0496D"/>
    <w:rsid w:val="00A0692A"/>
    <w:rsid w:val="00A42AAC"/>
    <w:rsid w:val="00A5166D"/>
    <w:rsid w:val="00A74BC7"/>
    <w:rsid w:val="00AD3685"/>
    <w:rsid w:val="00AD46E3"/>
    <w:rsid w:val="00B10A4D"/>
    <w:rsid w:val="00B17E04"/>
    <w:rsid w:val="00B52419"/>
    <w:rsid w:val="00B70C03"/>
    <w:rsid w:val="00B72525"/>
    <w:rsid w:val="00B917D9"/>
    <w:rsid w:val="00B95602"/>
    <w:rsid w:val="00C3536F"/>
    <w:rsid w:val="00C62A26"/>
    <w:rsid w:val="00C9665D"/>
    <w:rsid w:val="00CD1942"/>
    <w:rsid w:val="00CD639D"/>
    <w:rsid w:val="00CE2DE6"/>
    <w:rsid w:val="00CE5335"/>
    <w:rsid w:val="00CF5040"/>
    <w:rsid w:val="00D40E62"/>
    <w:rsid w:val="00D5320B"/>
    <w:rsid w:val="00D7728B"/>
    <w:rsid w:val="00DB75BE"/>
    <w:rsid w:val="00DC5935"/>
    <w:rsid w:val="00E019E6"/>
    <w:rsid w:val="00E441DC"/>
    <w:rsid w:val="00E46BD8"/>
    <w:rsid w:val="00E53329"/>
    <w:rsid w:val="00E5417A"/>
    <w:rsid w:val="00E74DCC"/>
    <w:rsid w:val="00E9090D"/>
    <w:rsid w:val="00EB5305"/>
    <w:rsid w:val="00EC0FDB"/>
    <w:rsid w:val="00EF7E3D"/>
    <w:rsid w:val="00F07EB5"/>
    <w:rsid w:val="00F3002C"/>
    <w:rsid w:val="00F82F32"/>
    <w:rsid w:val="00F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3C562D02-2AEF-4D0F-8549-65B06354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C966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hlavChar">
    <w:name w:val="Záhlaví Char"/>
    <w:basedOn w:val="Standardnpsmoodstavce"/>
    <w:link w:val="Zhlav"/>
    <w:rsid w:val="00C966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5FB9"/>
    <w:pPr>
      <w:ind w:left="720"/>
      <w:contextualSpacing/>
    </w:pPr>
  </w:style>
  <w:style w:type="paragraph" w:styleId="Textvbloku">
    <w:name w:val="Block Text"/>
    <w:basedOn w:val="Normln"/>
    <w:semiHidden/>
    <w:rsid w:val="00455CB1"/>
    <w:pPr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4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2300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ORSAGOVA Jitka</cp:lastModifiedBy>
  <cp:revision>5</cp:revision>
  <cp:lastPrinted>2018-04-27T11:10:00Z</cp:lastPrinted>
  <dcterms:created xsi:type="dcterms:W3CDTF">2018-05-04T07:25:00Z</dcterms:created>
  <dcterms:modified xsi:type="dcterms:W3CDTF">2018-05-14T13:52:00Z</dcterms:modified>
</cp:coreProperties>
</file>