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330E98E8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700931">
        <w:rPr>
          <w:rFonts w:asciiTheme="minorHAnsi" w:hAnsiTheme="minorHAnsi"/>
          <w:b/>
          <w:sz w:val="28"/>
          <w:szCs w:val="28"/>
        </w:rPr>
        <w:t>00087</w:t>
      </w:r>
      <w:r>
        <w:rPr>
          <w:rFonts w:asciiTheme="minorHAnsi" w:hAnsiTheme="minorHAnsi"/>
          <w:b/>
          <w:sz w:val="28"/>
          <w:szCs w:val="28"/>
        </w:rPr>
        <w:t>/1</w:t>
      </w:r>
      <w:r w:rsidR="008D19B8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360E71CA" w:rsidR="005A34F0" w:rsidRPr="00515D12" w:rsidRDefault="00546BEA" w:rsidP="00546BEA">
      <w:pPr>
        <w:tabs>
          <w:tab w:val="left" w:pos="300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47EF91" w14:textId="611394E6" w:rsidR="005A34F0" w:rsidRPr="00515D12" w:rsidRDefault="00897781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YASHICA s.r.o.</w:t>
      </w:r>
      <w:r w:rsidR="005A34F0">
        <w:rPr>
          <w:rFonts w:asciiTheme="minorHAnsi" w:hAnsiTheme="minorHAnsi"/>
          <w:sz w:val="22"/>
          <w:szCs w:val="22"/>
        </w:rPr>
        <w:t xml:space="preserve">   </w:t>
      </w:r>
    </w:p>
    <w:p w14:paraId="4C506AA4" w14:textId="02C00EAD" w:rsidR="008D19B8" w:rsidRDefault="005A34F0" w:rsidP="008D19B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sídlo: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897781">
        <w:rPr>
          <w:rFonts w:asciiTheme="minorHAnsi" w:hAnsiTheme="minorHAnsi"/>
          <w:sz w:val="22"/>
          <w:szCs w:val="22"/>
        </w:rPr>
        <w:t>Žďárského 186, 674 01 Kožichovice</w:t>
      </w:r>
      <w:r w:rsidR="00D4429A">
        <w:rPr>
          <w:rFonts w:asciiTheme="minorHAnsi" w:hAnsiTheme="minorHAnsi"/>
          <w:sz w:val="22"/>
          <w:szCs w:val="22"/>
        </w:rPr>
        <w:t xml:space="preserve"> </w:t>
      </w:r>
      <w:r w:rsidR="00BC3734">
        <w:rPr>
          <w:rFonts w:asciiTheme="minorHAnsi" w:hAnsiTheme="minorHAnsi"/>
          <w:sz w:val="22"/>
          <w:szCs w:val="22"/>
        </w:rPr>
        <w:t xml:space="preserve"> </w:t>
      </w:r>
    </w:p>
    <w:p w14:paraId="341379F3" w14:textId="20A55421" w:rsidR="005A34F0" w:rsidRPr="00B52A09" w:rsidRDefault="008D19B8" w:rsidP="008D19B8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 xml:space="preserve"> </w:t>
      </w:r>
      <w:r w:rsidR="00897781">
        <w:rPr>
          <w:rFonts w:asciiTheme="minorHAnsi" w:hAnsiTheme="minorHAnsi"/>
          <w:sz w:val="22"/>
          <w:szCs w:val="22"/>
        </w:rPr>
        <w:t>46980121</w:t>
      </w:r>
    </w:p>
    <w:p w14:paraId="6A3A3C30" w14:textId="51BE87C3" w:rsidR="005A34F0" w:rsidRPr="00515D12" w:rsidRDefault="00CB1DCA" w:rsidP="008D19B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5A34F0">
        <w:rPr>
          <w:rFonts w:asciiTheme="minorHAnsi" w:hAnsiTheme="minorHAnsi"/>
          <w:sz w:val="22"/>
          <w:szCs w:val="22"/>
        </w:rPr>
        <w:t xml:space="preserve">číslo </w:t>
      </w:r>
      <w:r w:rsidR="005A34F0" w:rsidRPr="00515D12">
        <w:rPr>
          <w:rFonts w:asciiTheme="minorHAnsi" w:hAnsiTheme="minorHAnsi"/>
          <w:sz w:val="22"/>
          <w:szCs w:val="22"/>
        </w:rPr>
        <w:t>bankovní</w:t>
      </w:r>
      <w:r w:rsidR="005A34F0">
        <w:rPr>
          <w:rFonts w:asciiTheme="minorHAnsi" w:hAnsiTheme="minorHAnsi"/>
          <w:sz w:val="22"/>
          <w:szCs w:val="22"/>
        </w:rPr>
        <w:t>ho účtu</w:t>
      </w:r>
      <w:r w:rsidR="008629BC">
        <w:rPr>
          <w:rFonts w:asciiTheme="minorHAnsi" w:hAnsiTheme="minorHAnsi"/>
          <w:sz w:val="22"/>
          <w:szCs w:val="22"/>
        </w:rPr>
        <w:t>: 6828992/0800</w:t>
      </w:r>
    </w:p>
    <w:p w14:paraId="5723E044" w14:textId="662D1EC0" w:rsidR="005A34F0" w:rsidRPr="00515D12" w:rsidRDefault="008D19B8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zastoupen:</w:t>
      </w:r>
      <w:r w:rsidR="00384811">
        <w:rPr>
          <w:rFonts w:asciiTheme="minorHAnsi" w:hAnsiTheme="minorHAnsi"/>
          <w:sz w:val="22"/>
          <w:szCs w:val="22"/>
        </w:rPr>
        <w:t xml:space="preserve"> </w:t>
      </w:r>
      <w:r w:rsidR="008629BC">
        <w:rPr>
          <w:rFonts w:asciiTheme="minorHAnsi" w:hAnsiTheme="minorHAnsi"/>
          <w:sz w:val="22"/>
          <w:szCs w:val="22"/>
        </w:rPr>
        <w:t xml:space="preserve">Ing. Petrem  Buriánem, jednatelem </w:t>
      </w:r>
      <w:r w:rsidR="00BC3734">
        <w:rPr>
          <w:rFonts w:asciiTheme="minorHAnsi" w:hAnsiTheme="minorHAnsi"/>
          <w:sz w:val="22"/>
          <w:szCs w:val="22"/>
        </w:rPr>
        <w:t xml:space="preserve"> 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4FC3891B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</w:t>
      </w:r>
      <w:r w:rsidR="008D19B8">
        <w:rPr>
          <w:rFonts w:asciiTheme="minorHAnsi" w:hAnsiTheme="minorHAnsi"/>
          <w:sz w:val="22"/>
          <w:szCs w:val="22"/>
        </w:rPr>
        <w:t> Programu podpory cestovního ruchu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Pardubice na jednání dne 14. 12. 2017 usnesením č. Z/224</w:t>
      </w:r>
      <w:r w:rsidR="008D19B8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058F69C5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8D19B8">
        <w:rPr>
          <w:rFonts w:asciiTheme="minorHAnsi" w:hAnsiTheme="minorHAnsi"/>
          <w:sz w:val="22"/>
          <w:szCs w:val="22"/>
        </w:rPr>
        <w:t>cestovního ruchu p</w:t>
      </w:r>
      <w:r>
        <w:rPr>
          <w:rFonts w:asciiTheme="minorHAnsi" w:hAnsiTheme="minorHAnsi"/>
          <w:sz w:val="22"/>
          <w:szCs w:val="22"/>
        </w:rPr>
        <w:t xml:space="preserve">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D4429A" w:rsidRPr="00D4429A">
        <w:rPr>
          <w:rFonts w:asciiTheme="minorHAnsi" w:hAnsiTheme="minorHAnsi"/>
          <w:b/>
          <w:sz w:val="22"/>
          <w:szCs w:val="22"/>
        </w:rPr>
        <w:t>135</w:t>
      </w:r>
      <w:r w:rsidR="008D19B8" w:rsidRPr="00D4429A">
        <w:rPr>
          <w:rFonts w:asciiTheme="minorHAnsi" w:hAnsiTheme="minorHAnsi"/>
          <w:b/>
          <w:sz w:val="22"/>
          <w:szCs w:val="22"/>
        </w:rPr>
        <w:t>.000 Kč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700931">
        <w:rPr>
          <w:rFonts w:asciiTheme="minorHAnsi" w:hAnsiTheme="minorHAnsi"/>
          <w:sz w:val="22"/>
          <w:szCs w:val="22"/>
        </w:rPr>
        <w:t>s</w:t>
      </w:r>
      <w:r w:rsidR="00D4429A">
        <w:rPr>
          <w:rFonts w:asciiTheme="minorHAnsi" w:hAnsiTheme="minorHAnsi"/>
          <w:sz w:val="22"/>
          <w:szCs w:val="22"/>
        </w:rPr>
        <w:t>totřicetpětt</w:t>
      </w:r>
      <w:r w:rsidR="008D19B8">
        <w:rPr>
          <w:rFonts w:asciiTheme="minorHAnsi" w:hAnsiTheme="minorHAnsi"/>
          <w:sz w:val="22"/>
          <w:szCs w:val="22"/>
        </w:rPr>
        <w:t>isíckorunčeských</w:t>
      </w:r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realizaci projektu </w:t>
      </w:r>
      <w:r w:rsidRPr="00A54C85">
        <w:rPr>
          <w:rFonts w:asciiTheme="minorHAnsi" w:hAnsiTheme="minorHAnsi"/>
          <w:sz w:val="22"/>
          <w:szCs w:val="22"/>
        </w:rPr>
        <w:t>„</w:t>
      </w:r>
      <w:r w:rsidR="008629BC" w:rsidRPr="008629BC">
        <w:rPr>
          <w:rFonts w:asciiTheme="minorHAnsi" w:hAnsiTheme="minorHAnsi"/>
          <w:b/>
          <w:sz w:val="22"/>
          <w:szCs w:val="22"/>
        </w:rPr>
        <w:t>LÉTOFEST</w:t>
      </w:r>
      <w:r w:rsidR="008D19B8">
        <w:rPr>
          <w:rFonts w:asciiTheme="minorHAnsi" w:hAnsiTheme="minorHAnsi"/>
          <w:sz w:val="22"/>
          <w:szCs w:val="22"/>
        </w:rPr>
        <w:t xml:space="preserve">“ </w:t>
      </w:r>
      <w:r>
        <w:rPr>
          <w:rFonts w:asciiTheme="minorHAnsi" w:hAnsiTheme="minorHAnsi"/>
          <w:sz w:val="22"/>
          <w:szCs w:val="22"/>
        </w:rPr>
        <w:t xml:space="preserve">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157A4B06" w14:textId="77777777" w:rsidR="005A34F0" w:rsidRPr="008D19B8" w:rsidRDefault="005A34F0" w:rsidP="00606EDE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D19B8">
        <w:rPr>
          <w:rFonts w:asciiTheme="minorHAnsi" w:hAnsiTheme="minorHAnsi"/>
          <w:sz w:val="22"/>
          <w:szCs w:val="22"/>
        </w:rPr>
        <w:t xml:space="preserve">Finanční prostředky shora uvedené jsou poskytovány v režimu podpory „de minimis“, ve smyslu Nařízení Komise </w:t>
      </w:r>
      <w:r w:rsidRPr="008D19B8">
        <w:rPr>
          <w:rFonts w:asciiTheme="minorHAnsi" w:hAnsiTheme="minorHAnsi"/>
          <w:iCs/>
          <w:sz w:val="22"/>
          <w:szCs w:val="22"/>
        </w:rPr>
        <w:t xml:space="preserve">(EU) č. 1407/2013 ze dne 18. prosince 2013 o použití článků 107 a 108 Smlouvy o fungování Evropské unie na podporu de minimis (Úř. věst. L 352, 24. 12. 2013, s. 1). </w:t>
      </w:r>
    </w:p>
    <w:p w14:paraId="0F9CF49B" w14:textId="77777777" w:rsidR="005A34F0" w:rsidRPr="00153DEE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360A678" w14:textId="77777777" w:rsidR="005A34F0" w:rsidRPr="00153DEE" w:rsidRDefault="005A34F0" w:rsidP="00606EDE">
      <w:pPr>
        <w:pStyle w:val="Zkladntext"/>
        <w:numPr>
          <w:ilvl w:val="0"/>
          <w:numId w:val="16"/>
        </w:numPr>
        <w:tabs>
          <w:tab w:val="left" w:pos="360"/>
        </w:tabs>
        <w:spacing w:before="120"/>
        <w:ind w:left="284" w:hanging="284"/>
        <w:jc w:val="both"/>
        <w:rPr>
          <w:rFonts w:asciiTheme="minorHAnsi" w:hAnsiTheme="minorHAnsi" w:cs="Tahoma"/>
          <w:b w:val="0"/>
          <w:bCs w:val="0"/>
          <w:sz w:val="22"/>
          <w:szCs w:val="22"/>
        </w:rPr>
      </w:pP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Příjemce prohlašuje, že nenastaly okolnosti, které by vylučovaly aplikaci pravidla de minimis (viz zejm. čl. 1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až 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5 Nařízení Komise /E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/ 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), zejm. že poskytnutím této dotace nedojde k takové kumulaci s jinou veřejnou podporu ohledně týchž nákladů, která by způsobila překročení povolené míry veřejné podpory, a že v posledních 3 letech mu nebyla poskytnuta podpora de minimis, která by v součtu s podporou de minimis poskytovanou na základě této smlouvy překročila maximální částku povolenou právními předpisy 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upravujícími oblast veřejné podpory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 (zejména Nařízením Komise /EU/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).</w:t>
      </w:r>
    </w:p>
    <w:p w14:paraId="7DDEF9FE" w14:textId="77777777" w:rsidR="005A34F0" w:rsidRDefault="005A34F0" w:rsidP="005A34F0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E299283" w14:textId="77777777" w:rsidR="005A34F0" w:rsidRPr="00C01909" w:rsidRDefault="005A34F0" w:rsidP="00606EDE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1909">
        <w:rPr>
          <w:rFonts w:asciiTheme="minorHAnsi" w:hAnsiTheme="minorHAnsi"/>
          <w:iCs/>
          <w:sz w:val="22"/>
          <w:szCs w:val="22"/>
        </w:rPr>
        <w:t xml:space="preserve">V případě rozdělení příjemce podpory na dva či více samostatné </w:t>
      </w:r>
      <w:r>
        <w:rPr>
          <w:rFonts w:asciiTheme="minorHAnsi" w:hAnsiTheme="minorHAnsi"/>
          <w:iCs/>
          <w:sz w:val="22"/>
          <w:szCs w:val="22"/>
        </w:rPr>
        <w:t>subjekty</w:t>
      </w:r>
      <w:r w:rsidRPr="00C01909">
        <w:rPr>
          <w:rFonts w:asciiTheme="minorHAnsi" w:hAnsiTheme="minorHAnsi"/>
          <w:iCs/>
          <w:sz w:val="22"/>
          <w:szCs w:val="22"/>
        </w:rPr>
        <w:t xml:space="preserve"> v období 3 let od nabytí účinnosti této smlouvy je příjemce podpory povinen neprodleně po rozdělení kontaktovat poskytovatele a kompetentní koordinační orgán v oblasti veřejné podpory za účelem sdělení informace, jak podporu de minimis poskytnutou dle této smlouvy rozdělit v Centrálním registru podpor malého rozsahu. </w:t>
      </w:r>
      <w:r>
        <w:rPr>
          <w:rFonts w:asciiTheme="minorHAnsi" w:hAnsiTheme="minorHAnsi"/>
          <w:iCs/>
          <w:sz w:val="22"/>
          <w:szCs w:val="22"/>
        </w:rPr>
        <w:t xml:space="preserve">Obdobně má příjemce povinnost informovat poskytovatele v případě fúze či změně právní formy a v případě jeho zrušení s likvidací. </w:t>
      </w:r>
      <w:r w:rsidRPr="00C01909">
        <w:rPr>
          <w:rFonts w:asciiTheme="minorHAnsi" w:hAnsiTheme="minorHAnsi"/>
          <w:iCs/>
          <w:sz w:val="22"/>
          <w:szCs w:val="22"/>
        </w:rPr>
        <w:t xml:space="preserve">Při nesplnění dané povinnosti se příjemce vystavuje případnému odejmutí předmětné podpory. </w:t>
      </w:r>
    </w:p>
    <w:p w14:paraId="4BE69490" w14:textId="77777777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63AC29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384811" w:rsidRPr="00384811">
        <w:rPr>
          <w:rFonts w:asciiTheme="minorHAnsi" w:hAnsiTheme="minorHAnsi"/>
          <w:b/>
          <w:sz w:val="22"/>
          <w:szCs w:val="22"/>
        </w:rPr>
        <w:t xml:space="preserve">31. </w:t>
      </w:r>
      <w:r w:rsidR="00D4429A">
        <w:rPr>
          <w:rFonts w:asciiTheme="minorHAnsi" w:hAnsiTheme="minorHAnsi"/>
          <w:b/>
          <w:sz w:val="22"/>
          <w:szCs w:val="22"/>
        </w:rPr>
        <w:t>12</w:t>
      </w:r>
      <w:r w:rsidR="00384811" w:rsidRPr="00384811">
        <w:rPr>
          <w:rFonts w:asciiTheme="minorHAnsi" w:hAnsiTheme="minorHAnsi"/>
          <w:b/>
          <w:sz w:val="22"/>
          <w:szCs w:val="22"/>
        </w:rPr>
        <w:t xml:space="preserve">. </w:t>
      </w:r>
      <w:r w:rsidRPr="00384811">
        <w:rPr>
          <w:rFonts w:asciiTheme="minorHAnsi" w:hAnsiTheme="minorHAnsi"/>
          <w:b/>
          <w:sz w:val="22"/>
          <w:szCs w:val="22"/>
        </w:rPr>
        <w:t>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5F672B74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poskytnutou dotaci k účelu stanovenému v žádosti podané příjemcem dne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8629BC">
        <w:rPr>
          <w:rFonts w:asciiTheme="minorHAnsi" w:hAnsiTheme="minorHAnsi"/>
          <w:sz w:val="22"/>
          <w:szCs w:val="22"/>
        </w:rPr>
        <w:t>1. 2.</w:t>
      </w:r>
      <w:r w:rsidR="008D19B8">
        <w:rPr>
          <w:rFonts w:asciiTheme="minorHAnsi" w:hAnsiTheme="minorHAnsi"/>
          <w:sz w:val="22"/>
          <w:szCs w:val="22"/>
        </w:rPr>
        <w:t xml:space="preserve">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r w:rsidR="008D19B8">
        <w:rPr>
          <w:rFonts w:asciiTheme="minorHAnsi" w:hAnsiTheme="minorHAnsi"/>
          <w:sz w:val="22"/>
          <w:szCs w:val="22"/>
        </w:rPr>
        <w:t xml:space="preserve">MmP </w:t>
      </w:r>
      <w:r w:rsidR="008629BC">
        <w:rPr>
          <w:rFonts w:asciiTheme="minorHAnsi" w:hAnsiTheme="minorHAnsi"/>
          <w:sz w:val="22"/>
          <w:szCs w:val="22"/>
        </w:rPr>
        <w:t>15923</w:t>
      </w:r>
      <w:r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</w:t>
      </w:r>
      <w:r w:rsidR="00700931">
        <w:rPr>
          <w:rFonts w:asciiTheme="minorHAnsi" w:hAnsiTheme="minorHAnsi"/>
          <w:sz w:val="22"/>
          <w:szCs w:val="22"/>
        </w:rPr>
        <w:t xml:space="preserve"> této smlouvy jako příloha č. 1 a </w:t>
      </w:r>
      <w:r w:rsidR="00700931" w:rsidRPr="0077759E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700931">
        <w:rPr>
          <w:rFonts w:asciiTheme="minorHAnsi" w:hAnsiTheme="minorHAnsi"/>
          <w:sz w:val="22"/>
          <w:szCs w:val="22"/>
        </w:rPr>
        <w:t>75</w:t>
      </w:r>
      <w:r w:rsidR="00700931" w:rsidRPr="0077759E">
        <w:rPr>
          <w:rFonts w:asciiTheme="minorHAnsi" w:hAnsiTheme="minorHAnsi"/>
          <w:sz w:val="22"/>
          <w:szCs w:val="22"/>
        </w:rPr>
        <w:t xml:space="preserve"> % z celkových vyúčtovaných uznatelných nákladů projektu,</w:t>
      </w:r>
    </w:p>
    <w:p w14:paraId="0086AE0C" w14:textId="77777777" w:rsidR="005A34F0" w:rsidRPr="008D19B8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D19B8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D19B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D19B8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D19B8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D19B8">
        <w:rPr>
          <w:rFonts w:asciiTheme="minorHAnsi" w:hAnsiTheme="minorHAnsi" w:cstheme="minorHAnsi"/>
          <w:sz w:val="22"/>
          <w:szCs w:val="22"/>
        </w:rPr>
        <w:t>,</w:t>
      </w:r>
      <w:r w:rsidRPr="008D19B8">
        <w:rPr>
          <w:rFonts w:asciiTheme="minorHAnsi" w:hAnsiTheme="minorHAnsi"/>
          <w:sz w:val="22"/>
          <w:szCs w:val="22"/>
        </w:rPr>
        <w:t xml:space="preserve"> </w:t>
      </w:r>
    </w:p>
    <w:p w14:paraId="49CFA31A" w14:textId="3624D72A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B40AA2">
        <w:rPr>
          <w:rFonts w:ascii="Calibri" w:hAnsi="Calibri"/>
          <w:b/>
          <w:sz w:val="22"/>
          <w:szCs w:val="22"/>
        </w:rPr>
        <w:t>3</w:t>
      </w:r>
      <w:r w:rsidR="00D4429A">
        <w:rPr>
          <w:rFonts w:ascii="Calibri" w:hAnsi="Calibri"/>
          <w:b/>
          <w:sz w:val="22"/>
          <w:szCs w:val="22"/>
        </w:rPr>
        <w:t>1. 12.</w:t>
      </w:r>
      <w:r w:rsidR="00A52442">
        <w:rPr>
          <w:rFonts w:ascii="Calibri" w:hAnsi="Calibri"/>
          <w:b/>
          <w:sz w:val="22"/>
          <w:szCs w:val="22"/>
        </w:rPr>
        <w:t xml:space="preserve"> </w:t>
      </w:r>
      <w:r w:rsidR="008D19B8">
        <w:rPr>
          <w:rFonts w:ascii="Calibri" w:hAnsi="Calibri"/>
          <w:b/>
          <w:sz w:val="22"/>
          <w:szCs w:val="22"/>
        </w:rPr>
        <w:t>2018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080DD6A7" w:rsidR="005A34F0" w:rsidRPr="00EA428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  čase konání akcí realizovanýc</w:t>
      </w:r>
      <w:r w:rsidR="00EA4282">
        <w:rPr>
          <w:rFonts w:ascii="Calibri" w:hAnsi="Calibri"/>
          <w:sz w:val="22"/>
          <w:szCs w:val="22"/>
        </w:rPr>
        <w:t>h v rámci dotovaného projektu,</w:t>
      </w:r>
    </w:p>
    <w:p w14:paraId="2F02AF0C" w14:textId="77777777" w:rsidR="00EA4282" w:rsidRDefault="00EA4282" w:rsidP="00EA428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nejpozději tři týdny před zahájením vlastní akce projektu vyzvednout si na Magistrátu města Pardubic (odbor Kancelář primátora, úsek vnějších vztahů) propagační materiály poskytovatele (např. roll-up, banner, promovideo, tiskoviny apod.); v případě nadstandardního požadavku příjemce na vyzvednutí většího množství propagačních materiálů poskytovatele (tj. více než 100 ks) je příjemce povinen vznést svůj požadavek nejpozději čtyři týdny před zahájením vlastní akce projektu,  </w:t>
      </w:r>
    </w:p>
    <w:p w14:paraId="15023AB3" w14:textId="77777777" w:rsidR="00EA4282" w:rsidRDefault="00EA4282" w:rsidP="00EA428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umístit logo poskytovatele na všech propagačních materiálech příjemce k projektu, včetně jejich elektronické verze,</w:t>
      </w:r>
    </w:p>
    <w:p w14:paraId="1192A89E" w14:textId="77777777" w:rsidR="00EA4282" w:rsidRDefault="00EA4282" w:rsidP="00EA428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nabídnout a umožnit poskytovateli bezplatně jeho vlastní prezentaci v rozsahu nejméně jedné strany v tištěných propagačních materiálech příjemce brožurového typu, jsou-li k propagaci projektu příjemce vydávány, a v dostatečném předstihu před výrobou těchto materiálů vyzvat poskytovatele k předání finální podoby propagačního motivu příjemci, který zajistí jeho vytištění do poskytnutého prostoru,</w:t>
      </w:r>
    </w:p>
    <w:p w14:paraId="425B62BB" w14:textId="77777777" w:rsidR="00EA4282" w:rsidRDefault="00EA4282" w:rsidP="00EA428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zajistit sběr a v níže uvedeném termínu a formě doručit poskytovateli statistická data o počtu a složení návštěvníků akce (data budou zachycena do tabulky č. 1, kterou příjemce obdrží před vlastním zahájením akce od poskytovatele v elektronické podobě na emailovou adresu uvedenou v žádosti o poskytnutí dotace a kterou nejpozději do čtyř týdnů po skončení vlastní akce projektu vyplněnou doručí v elektronické podobě na adresu: </w:t>
      </w:r>
      <w:hyperlink r:id="rId8" w:history="1">
        <w:r>
          <w:rPr>
            <w:rStyle w:val="Hypertextovodkaz"/>
            <w:rFonts w:ascii="Calibri" w:hAnsi="Calibri" w:cs="Calibri"/>
            <w:iCs/>
            <w:sz w:val="22"/>
            <w:szCs w:val="22"/>
          </w:rPr>
          <w:t>jana.fiedlerova@mmp.cz</w:t>
        </w:r>
      </w:hyperlink>
      <w:r>
        <w:rPr>
          <w:rFonts w:ascii="Calibri" w:hAnsi="Calibri" w:cs="Calibri"/>
          <w:iCs/>
          <w:sz w:val="22"/>
          <w:szCs w:val="22"/>
        </w:rPr>
        <w:t xml:space="preserve">),  </w:t>
      </w:r>
    </w:p>
    <w:p w14:paraId="46E775A7" w14:textId="77777777" w:rsidR="00EA4282" w:rsidRDefault="00EA4282" w:rsidP="00EA428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sledovat mediální dopady a výstupy projektu (např. počet publikovaných článků, televizní spoty apod.). Zjištěné informace budou součástí informační  zprávy o realizaci projektu, která bude předložena společně s vyúčtováním poskytnuté dotace.</w:t>
      </w:r>
    </w:p>
    <w:p w14:paraId="389959B7" w14:textId="77777777" w:rsidR="00EA4282" w:rsidRDefault="00EA4282" w:rsidP="00EA428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napomáhat rozvoji cestovního ruchu na území statutárního města Pardubice formou spolupráce s provozovateli turistických atraktivit města, konkrétně s:</w:t>
      </w:r>
    </w:p>
    <w:p w14:paraId="6E139759" w14:textId="77777777" w:rsidR="00EA4282" w:rsidRDefault="00EA4282" w:rsidP="00EA4282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Východočeským muzeem Pardubice („VČM“) - objekt pardubického zámku </w:t>
      </w:r>
    </w:p>
    <w:p w14:paraId="15F08C4D" w14:textId="1EB33225" w:rsidR="00EA4282" w:rsidRPr="00EA4282" w:rsidRDefault="00EA4282" w:rsidP="00EA4282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Informačním centrem Pardubice - objekt Zelené brány.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kontrolovat v souladu se zákonem o finanční kontrole, zákonem o obcích a zákonem o rozpočtových pravidlech územních rozpočtů kdykoliv dodržení podmínek, za kterých byla dotace </w:t>
      </w:r>
      <w:r w:rsidRPr="00662BD3">
        <w:rPr>
          <w:rFonts w:ascii="Calibri" w:hAnsi="Calibri"/>
          <w:sz w:val="22"/>
          <w:szCs w:val="22"/>
        </w:rPr>
        <w:lastRenderedPageBreak/>
        <w:t>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028F25D4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</w:t>
      </w:r>
      <w:r w:rsidR="00B40AA2">
        <w:rPr>
          <w:rFonts w:asciiTheme="minorHAnsi" w:hAnsiTheme="minorHAnsi"/>
          <w:b/>
          <w:sz w:val="22"/>
          <w:szCs w:val="22"/>
        </w:rPr>
        <w:t xml:space="preserve">1. </w:t>
      </w:r>
      <w:r w:rsidR="00D4429A">
        <w:rPr>
          <w:rFonts w:asciiTheme="minorHAnsi" w:hAnsiTheme="minorHAnsi"/>
          <w:b/>
          <w:sz w:val="22"/>
          <w:szCs w:val="22"/>
        </w:rPr>
        <w:t>12</w:t>
      </w:r>
      <w:r w:rsidR="00B40AA2">
        <w:rPr>
          <w:rFonts w:asciiTheme="minorHAnsi" w:hAnsiTheme="minorHAnsi"/>
          <w:b/>
          <w:sz w:val="22"/>
          <w:szCs w:val="22"/>
        </w:rPr>
        <w:t>. 2018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6EE64B9A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B40AA2">
        <w:rPr>
          <w:rFonts w:asciiTheme="minorHAnsi" w:hAnsiTheme="minorHAnsi"/>
          <w:b/>
          <w:sz w:val="22"/>
          <w:szCs w:val="22"/>
        </w:rPr>
        <w:t xml:space="preserve"> </w:t>
      </w:r>
      <w:r w:rsidR="00976599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2C976D8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976599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lastRenderedPageBreak/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0732DABC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A56B75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51DDEF6F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A56B75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77777777" w:rsidR="005A34F0" w:rsidRPr="00665D63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01A16250" w14:textId="25EF3595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77777777" w:rsidR="005A34F0" w:rsidRPr="001F31C9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0B72D7B9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DF6389">
        <w:rPr>
          <w:rFonts w:asciiTheme="minorHAnsi" w:hAnsiTheme="minorHAnsi"/>
          <w:sz w:val="22"/>
          <w:szCs w:val="22"/>
        </w:rPr>
        <w:t xml:space="preserve">14. 5. 2018 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DF3376A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6A1AEF5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6C640896" w14:textId="1554226D" w:rsidR="008D19B8" w:rsidRDefault="005A34F0" w:rsidP="005A34F0">
      <w:pPr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  <w:t xml:space="preserve">      </w:t>
      </w:r>
      <w:r w:rsidR="00B40AA2">
        <w:rPr>
          <w:rFonts w:asciiTheme="minorHAnsi" w:hAnsiTheme="minorHAnsi"/>
          <w:sz w:val="22"/>
          <w:szCs w:val="22"/>
        </w:rPr>
        <w:t xml:space="preserve">       </w:t>
      </w:r>
      <w:r w:rsidR="008D19B8">
        <w:rPr>
          <w:rFonts w:asciiTheme="minorHAnsi" w:hAnsiTheme="minorHAnsi"/>
          <w:sz w:val="22"/>
          <w:szCs w:val="22"/>
        </w:rPr>
        <w:t xml:space="preserve">   </w:t>
      </w:r>
      <w:r w:rsidR="00B40AA2">
        <w:rPr>
          <w:rFonts w:asciiTheme="minorHAnsi" w:hAnsiTheme="minorHAnsi"/>
          <w:sz w:val="22"/>
          <w:szCs w:val="22"/>
        </w:rPr>
        <w:t xml:space="preserve"> </w:t>
      </w:r>
      <w:r w:rsidR="008629BC">
        <w:rPr>
          <w:rFonts w:asciiTheme="minorHAnsi" w:hAnsiTheme="minorHAnsi"/>
          <w:sz w:val="22"/>
          <w:szCs w:val="22"/>
        </w:rPr>
        <w:t>Ing. Petr Burián</w:t>
      </w:r>
    </w:p>
    <w:p w14:paraId="27261D96" w14:textId="7C49C8DF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35AC1ADC" w14:textId="268F298A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6CD6482D" w14:textId="739BDF34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3DCECDA5" w14:textId="41B4013E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359D7C48" w14:textId="176936D5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54E02A4F" w14:textId="36C403EC" w:rsidR="008D19B8" w:rsidRDefault="008D19B8" w:rsidP="005A34F0">
      <w:pPr>
        <w:rPr>
          <w:rFonts w:asciiTheme="minorHAnsi" w:hAnsiTheme="minorHAnsi"/>
          <w:sz w:val="22"/>
          <w:szCs w:val="22"/>
        </w:rPr>
      </w:pPr>
    </w:p>
    <w:p w14:paraId="18D74BCE" w14:textId="77777777" w:rsidR="008D19B8" w:rsidRPr="00515D12" w:rsidRDefault="008D19B8" w:rsidP="005A34F0">
      <w:pPr>
        <w:rPr>
          <w:rFonts w:asciiTheme="minorHAnsi" w:hAnsiTheme="minorHAnsi"/>
          <w:sz w:val="22"/>
          <w:szCs w:val="22"/>
        </w:rPr>
      </w:pPr>
    </w:p>
    <w:p w14:paraId="393AAB0F" w14:textId="30306ED6" w:rsidR="00700931" w:rsidRPr="005629B3" w:rsidRDefault="005A34F0" w:rsidP="00700931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8D19B8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8D19B8">
        <w:rPr>
          <w:rFonts w:asciiTheme="minorHAnsi" w:hAnsiTheme="minorHAnsi"/>
          <w:sz w:val="20"/>
          <w:szCs w:val="20"/>
        </w:rPr>
        <w:t>.  Z</w:t>
      </w:r>
      <w:r>
        <w:rPr>
          <w:rFonts w:asciiTheme="minorHAnsi" w:hAnsiTheme="minorHAnsi"/>
          <w:sz w:val="20"/>
          <w:szCs w:val="20"/>
        </w:rPr>
        <w:t>/</w:t>
      </w:r>
      <w:r w:rsidR="00700931">
        <w:rPr>
          <w:rFonts w:asciiTheme="minorHAnsi" w:hAnsiTheme="minorHAnsi"/>
          <w:sz w:val="20"/>
          <w:szCs w:val="20"/>
        </w:rPr>
        <w:t>2506/</w:t>
      </w:r>
      <w:r>
        <w:rPr>
          <w:rFonts w:asciiTheme="minorHAnsi" w:hAnsiTheme="minorHAnsi"/>
          <w:sz w:val="20"/>
          <w:szCs w:val="20"/>
        </w:rPr>
        <w:t xml:space="preserve">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700931">
        <w:rPr>
          <w:rFonts w:asciiTheme="minorHAnsi" w:hAnsiTheme="minorHAnsi"/>
          <w:sz w:val="20"/>
          <w:szCs w:val="20"/>
        </w:rPr>
        <w:t>22. 3. 2018</w:t>
      </w:r>
    </w:p>
    <w:p w14:paraId="1E78C8F5" w14:textId="1022C9AB" w:rsidR="005A34F0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 xml:space="preserve">Ing. </w:t>
      </w:r>
      <w:r w:rsidR="008D19B8">
        <w:rPr>
          <w:rFonts w:asciiTheme="minorHAnsi" w:hAnsiTheme="minorHAnsi"/>
          <w:sz w:val="20"/>
          <w:szCs w:val="20"/>
        </w:rPr>
        <w:t>Petra Šnejdrová,</w:t>
      </w:r>
      <w:r w:rsidRPr="009840BC">
        <w:rPr>
          <w:rFonts w:asciiTheme="minorHAnsi" w:hAnsiTheme="minorHAnsi"/>
          <w:sz w:val="20"/>
          <w:szCs w:val="20"/>
        </w:rPr>
        <w:t xml:space="preserve"> ekonomické odd</w:t>
      </w:r>
      <w:r w:rsidR="008D19B8">
        <w:rPr>
          <w:rFonts w:asciiTheme="minorHAnsi" w:hAnsiTheme="minorHAnsi"/>
          <w:sz w:val="20"/>
          <w:szCs w:val="20"/>
        </w:rPr>
        <w:t>ělení</w:t>
      </w:r>
      <w:r w:rsidRPr="009840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21B37136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7C0AF23D" w14:textId="78C4DE55" w:rsidR="005A34F0" w:rsidRDefault="005A34F0" w:rsidP="005A34F0">
      <w:pPr>
        <w:rPr>
          <w:rFonts w:asciiTheme="minorHAnsi" w:hAnsiTheme="minorHAnsi"/>
          <w:sz w:val="20"/>
          <w:szCs w:val="20"/>
        </w:rPr>
      </w:pPr>
    </w:p>
    <w:p w14:paraId="33926448" w14:textId="121DEC4F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20FF577C" w14:textId="7ECC0024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732E6BF2" w14:textId="56F02151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265CF2BC" w14:textId="1AAF1249" w:rsidR="00B24CBE" w:rsidRDefault="00B24CBE" w:rsidP="005A34F0">
      <w:pPr>
        <w:rPr>
          <w:rFonts w:asciiTheme="minorHAnsi" w:hAnsiTheme="minorHAnsi"/>
          <w:sz w:val="20"/>
          <w:szCs w:val="20"/>
        </w:rPr>
      </w:pPr>
    </w:p>
    <w:p w14:paraId="5B700129" w14:textId="77777777" w:rsidR="00B24CBE" w:rsidRDefault="00B24CBE" w:rsidP="005A34F0">
      <w:pPr>
        <w:rPr>
          <w:rFonts w:asciiTheme="minorHAnsi" w:hAnsiTheme="minorHAnsi"/>
          <w:sz w:val="20"/>
          <w:szCs w:val="20"/>
        </w:rPr>
      </w:pPr>
    </w:p>
    <w:p w14:paraId="5B26A0EA" w14:textId="73F8103D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0E93EF32" w14:textId="77777777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43C84BA2" w14:textId="6ECA6798" w:rsidR="005A34F0" w:rsidRPr="00322DD6" w:rsidRDefault="005A34F0" w:rsidP="00EA4282">
      <w:pPr>
        <w:ind w:left="4248" w:firstLine="708"/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t xml:space="preserve">Příloha č. 1 ke smlouvě o poskytnutí dotace </w:t>
      </w:r>
    </w:p>
    <w:p w14:paraId="760A6AB4" w14:textId="1A665C71" w:rsidR="0096352F" w:rsidRDefault="008629BC" w:rsidP="00A52442">
      <w:pPr>
        <w:jc w:val="center"/>
      </w:pPr>
      <w:r w:rsidRPr="008629BC">
        <w:rPr>
          <w:noProof/>
        </w:rPr>
        <w:drawing>
          <wp:inline distT="0" distB="0" distL="0" distR="0" wp14:anchorId="4979E2E8" wp14:editId="24469272">
            <wp:extent cx="4695825" cy="9146731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124" cy="916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52F" w:rsidSect="00BC41E3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DF638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287191"/>
      <w:docPartObj>
        <w:docPartGallery w:val="Page Numbers (Bottom of Page)"/>
        <w:docPartUnique/>
      </w:docPartObj>
    </w:sdtPr>
    <w:sdtEndPr/>
    <w:sdtContent>
      <w:p w14:paraId="3A744032" w14:textId="03E20689" w:rsidR="00293D1A" w:rsidRDefault="00293D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389">
          <w:rPr>
            <w:noProof/>
          </w:rPr>
          <w:t>7</w:t>
        </w:r>
        <w:r>
          <w:fldChar w:fldCharType="end"/>
        </w:r>
      </w:p>
    </w:sdtContent>
  </w:sdt>
  <w:p w14:paraId="442C3620" w14:textId="77777777" w:rsidR="00241A8F" w:rsidRDefault="00DF6389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699155"/>
      <w:docPartObj>
        <w:docPartGallery w:val="Page Numbers (Bottom of Page)"/>
        <w:docPartUnique/>
      </w:docPartObj>
    </w:sdtPr>
    <w:sdtEndPr/>
    <w:sdtContent>
      <w:p w14:paraId="32618685" w14:textId="5D54190E" w:rsidR="00293D1A" w:rsidRDefault="00293D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389">
          <w:rPr>
            <w:noProof/>
          </w:rPr>
          <w:t>1</w:t>
        </w:r>
        <w:r>
          <w:fldChar w:fldCharType="end"/>
        </w:r>
      </w:p>
    </w:sdtContent>
  </w:sdt>
  <w:p w14:paraId="4D3D69EE" w14:textId="77777777" w:rsidR="00293D1A" w:rsidRDefault="00293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785F" w14:textId="7B705687" w:rsidR="00A52442" w:rsidRDefault="00A52442">
    <w:pPr>
      <w:pStyle w:val="Zhlav"/>
    </w:pPr>
  </w:p>
  <w:p w14:paraId="513A3F99" w14:textId="5B843EF6" w:rsidR="00A52442" w:rsidRDefault="00A52442">
    <w:pPr>
      <w:pStyle w:val="Zhlav"/>
    </w:pPr>
  </w:p>
  <w:p w14:paraId="224EE388" w14:textId="77777777" w:rsidR="00A52442" w:rsidRDefault="00A52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293D1A"/>
    <w:rsid w:val="00384811"/>
    <w:rsid w:val="00546BEA"/>
    <w:rsid w:val="005A34F0"/>
    <w:rsid w:val="00606EDE"/>
    <w:rsid w:val="006157F4"/>
    <w:rsid w:val="00700931"/>
    <w:rsid w:val="00755A16"/>
    <w:rsid w:val="007E2C95"/>
    <w:rsid w:val="008629BC"/>
    <w:rsid w:val="00865D93"/>
    <w:rsid w:val="00897781"/>
    <w:rsid w:val="008D19B8"/>
    <w:rsid w:val="00976599"/>
    <w:rsid w:val="00A52442"/>
    <w:rsid w:val="00A56B75"/>
    <w:rsid w:val="00B24CBE"/>
    <w:rsid w:val="00B40AA2"/>
    <w:rsid w:val="00BC3734"/>
    <w:rsid w:val="00CB1DCA"/>
    <w:rsid w:val="00CE6B8B"/>
    <w:rsid w:val="00D4429A"/>
    <w:rsid w:val="00DD2CA6"/>
    <w:rsid w:val="00DF6389"/>
    <w:rsid w:val="00E17327"/>
    <w:rsid w:val="00E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24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4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fiedlerova@mmp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2770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Šnejdrová Petra</cp:lastModifiedBy>
  <cp:revision>3</cp:revision>
  <cp:lastPrinted>2018-03-12T15:51:00Z</cp:lastPrinted>
  <dcterms:created xsi:type="dcterms:W3CDTF">2018-04-27T06:27:00Z</dcterms:created>
  <dcterms:modified xsi:type="dcterms:W3CDTF">2018-05-14T13:13:00Z</dcterms:modified>
</cp:coreProperties>
</file>