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grantového projektu č. 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7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07690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 xml:space="preserve">panelu č. </w:t>
      </w:r>
      <w:r w:rsidR="00DA7CFE" w:rsidRPr="00F861E9">
        <w:rPr>
          <w:rFonts w:ascii="Times New Roman" w:hAnsi="Times New Roman" w:cs="Times New Roman"/>
          <w:b/>
          <w:sz w:val="24"/>
          <w:szCs w:val="24"/>
        </w:rPr>
        <w:t>P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202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F861E9">
        <w:rPr>
          <w:rFonts w:ascii="Times New Roman" w:hAnsi="Times New Roman" w:cs="Times New Roman"/>
          <w:b/>
          <w:sz w:val="24"/>
          <w:szCs w:val="24"/>
        </w:rPr>
        <w:t>aplikovaných věd</w:t>
      </w:r>
    </w:p>
    <w:p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:rsidR="0018133E" w:rsidRPr="00B50F42" w:rsidRDefault="0018133E" w:rsidP="0018133E">
      <w:pPr>
        <w:pStyle w:val="Textkomente"/>
        <w:spacing w:after="40"/>
      </w:pPr>
      <w:r w:rsidRPr="00B50F42">
        <w:t>Sídlo: Univerzitní 8/2732, 306 14  Plzeň</w:t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RNDr. </w:t>
      </w:r>
      <w:r w:rsidR="006E2980">
        <w:rPr>
          <w:rFonts w:ascii="Times New Roman" w:hAnsi="Times New Roman" w:cs="Times New Roman"/>
          <w:sz w:val="24"/>
          <w:szCs w:val="24"/>
        </w:rPr>
        <w:t xml:space="preserve">Tomášem Kaiserem </w:t>
      </w:r>
      <w:r w:rsidRPr="00B50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F42">
        <w:rPr>
          <w:rFonts w:ascii="Times New Roman" w:hAnsi="Times New Roman" w:cs="Times New Roman"/>
          <w:sz w:val="24"/>
          <w:szCs w:val="24"/>
        </w:rPr>
        <w:t>D</w:t>
      </w:r>
      <w:r w:rsidR="006E2980">
        <w:rPr>
          <w:rFonts w:ascii="Times New Roman" w:hAnsi="Times New Roman" w:cs="Times New Roman"/>
          <w:sz w:val="24"/>
          <w:szCs w:val="24"/>
        </w:rPr>
        <w:t>S</w:t>
      </w:r>
      <w:r w:rsidR="0085727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.,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Bankovní spojení: 4811530257/0100</w:t>
      </w:r>
      <w:r>
        <w:rPr>
          <w:rFonts w:ascii="Times New Roman" w:hAnsi="Times New Roman" w:cs="Times New Roman"/>
          <w:sz w:val="24"/>
          <w:szCs w:val="24"/>
        </w:rPr>
        <w:t xml:space="preserve"> veden</w:t>
      </w:r>
      <w:r w:rsidR="00942A01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u KB, </w:t>
      </w: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>. Plzeň</w:t>
      </w:r>
    </w:p>
    <w:p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DA7CFE" w:rsidRPr="00F861E9" w:rsidRDefault="00F861E9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 w:rsidRPr="00F861E9">
        <w:rPr>
          <w:rFonts w:ascii="Times New Roman" w:hAnsi="Times New Roman" w:cs="Times New Roman"/>
          <w:b/>
          <w:sz w:val="24"/>
          <w:szCs w:val="24"/>
        </w:rPr>
        <w:t>Masarykova univerzita</w:t>
      </w:r>
    </w:p>
    <w:p w:rsidR="0018133E" w:rsidRPr="00B50F42" w:rsidRDefault="00F861E9" w:rsidP="0018133E">
      <w:pPr>
        <w:widowControl/>
        <w:autoSpaceDE/>
        <w:autoSpaceDN/>
        <w:adjustRightInd/>
        <w:spacing w:after="4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61E9">
        <w:rPr>
          <w:rFonts w:ascii="Times New Roman" w:hAnsi="Times New Roman" w:cs="Times New Roman"/>
          <w:b/>
          <w:sz w:val="24"/>
          <w:szCs w:val="24"/>
        </w:rPr>
        <w:t>Fakulta informatiky</w:t>
      </w:r>
    </w:p>
    <w:p w:rsidR="00DA7CFE" w:rsidRPr="00B50F42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B50F42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 zákonů (zákon o vysokých školách), ve znění pozdějších předpisů</w:t>
      </w:r>
    </w:p>
    <w:p w:rsidR="00DA7CFE" w:rsidRPr="001946B6" w:rsidRDefault="00DA7CFE" w:rsidP="00DA7CFE">
      <w:pPr>
        <w:pStyle w:val="Textkomente"/>
        <w:spacing w:after="40"/>
      </w:pPr>
      <w:r w:rsidRPr="001946B6">
        <w:t>Sídlo:</w:t>
      </w:r>
      <w:r w:rsidR="00F861E9" w:rsidRPr="001946B6">
        <w:t xml:space="preserve"> Botanická 68a</w:t>
      </w:r>
    </w:p>
    <w:p w:rsidR="00DA7CFE" w:rsidRPr="001946B6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1946B6">
        <w:rPr>
          <w:rFonts w:ascii="Times New Roman" w:hAnsi="Times New Roman" w:cs="Times New Roman"/>
          <w:sz w:val="24"/>
          <w:szCs w:val="24"/>
        </w:rPr>
        <w:t>IČ:</w:t>
      </w:r>
      <w:r w:rsidRPr="001946B6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="00F861E9" w:rsidRPr="001946B6">
        <w:rPr>
          <w:rFonts w:ascii="Times New Roman" w:hAnsi="Times New Roman" w:cs="Times New Roman"/>
          <w:color w:val="444444"/>
          <w:sz w:val="24"/>
          <w:szCs w:val="24"/>
        </w:rPr>
        <w:t>00216227</w:t>
      </w:r>
    </w:p>
    <w:p w:rsidR="00DA7CFE" w:rsidRPr="001946B6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1946B6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F861E9" w:rsidRPr="001946B6">
        <w:rPr>
          <w:rFonts w:ascii="Times New Roman" w:hAnsi="Times New Roman" w:cs="Times New Roman"/>
          <w:sz w:val="24"/>
          <w:szCs w:val="24"/>
        </w:rPr>
        <w:t>prof. RNDr. Jiřím Zlatuškou, CSc., děkanem Fakulty informatiky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1946B6">
        <w:rPr>
          <w:rFonts w:ascii="Times New Roman" w:hAnsi="Times New Roman" w:cs="Times New Roman"/>
          <w:sz w:val="24"/>
          <w:szCs w:val="24"/>
        </w:rPr>
        <w:t>Bankovní spojení:</w:t>
      </w:r>
      <w:r w:rsidR="00F861E9" w:rsidRPr="001946B6">
        <w:rPr>
          <w:rFonts w:ascii="Times New Roman" w:hAnsi="Times New Roman" w:cs="Times New Roman"/>
          <w:sz w:val="24"/>
          <w:szCs w:val="24"/>
        </w:rPr>
        <w:t xml:space="preserve"> 85636621/0100 vedený u Komerční banky a.s., pobočka Brno-město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DA7CFE" w:rsidRPr="00B50F42" w:rsidRDefault="00DA7CFE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C86EEF">
        <w:rPr>
          <w:rFonts w:ascii="Times New Roman" w:hAnsi="Times New Roman" w:cs="Times New Roman"/>
          <w:bCs/>
          <w:sz w:val="24"/>
          <w:szCs w:val="24"/>
        </w:rPr>
        <w:t>8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7E1A4F" w:rsidRPr="00B50F42" w:rsidRDefault="007E1A4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F861E9">
        <w:rPr>
          <w:rFonts w:ascii="Times New Roman" w:hAnsi="Times New Roman" w:cs="Times New Roman"/>
          <w:sz w:val="24"/>
          <w:szCs w:val="24"/>
        </w:rPr>
        <w:t>20. 2. 2017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7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07690</w:t>
      </w:r>
      <w:r w:rsidR="0018133E" w:rsidRPr="00831786">
        <w:rPr>
          <w:rFonts w:ascii="Times New Roman" w:hAnsi="Times New Roman" w:cs="Times New Roman"/>
          <w:b/>
          <w:sz w:val="24"/>
          <w:szCs w:val="24"/>
        </w:rPr>
        <w:t>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5C" w:rsidRPr="001E264B">
        <w:rPr>
          <w:rFonts w:ascii="Times New Roman" w:hAnsi="Times New Roman" w:cs="Times New Roman"/>
          <w:sz w:val="24"/>
          <w:szCs w:val="24"/>
        </w:rPr>
        <w:t>podle návrhu projektu</w:t>
      </w:r>
      <w:r w:rsidR="00C2414D">
        <w:rPr>
          <w:rFonts w:ascii="Times New Roman" w:hAnsi="Times New Roman" w:cs="Times New Roman"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C4775C" w:rsidRPr="00F861E9">
        <w:rPr>
          <w:rFonts w:ascii="Times New Roman" w:hAnsi="Times New Roman" w:cs="Times New Roman"/>
          <w:b/>
          <w:sz w:val="24"/>
          <w:szCs w:val="24"/>
        </w:rPr>
        <w:t>„</w:t>
      </w:r>
      <w:r w:rsidR="00F861E9" w:rsidRPr="00D0644F">
        <w:rPr>
          <w:rFonts w:asciiTheme="minorHAnsi" w:hAnsiTheme="minorHAnsi" w:cstheme="minorHAnsi"/>
          <w:b/>
          <w:color w:val="000000"/>
          <w:sz w:val="24"/>
          <w:szCs w:val="24"/>
        </w:rPr>
        <w:t>Metody identifikace a vizualizace tunelů pro flexibilní ligandy v dynamických proteinech</w:t>
      </w:r>
      <w:r w:rsidR="0018133E" w:rsidRPr="0018133E">
        <w:rPr>
          <w:rFonts w:ascii="Times New Roman" w:hAnsi="Times New Roman" w:cs="Times New Roman"/>
          <w:b/>
          <w:sz w:val="24"/>
          <w:szCs w:val="24"/>
        </w:rPr>
        <w:t>“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.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33F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Registrační číslo grantového projektu: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775C" w:rsidRPr="00B5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7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831786">
        <w:rPr>
          <w:rFonts w:ascii="Times New Roman" w:hAnsi="Times New Roman" w:cs="Times New Roman"/>
          <w:b/>
          <w:sz w:val="24"/>
          <w:szCs w:val="24"/>
        </w:rPr>
        <w:t>07690</w:t>
      </w:r>
      <w:r w:rsidR="00C4775C" w:rsidRPr="00831786">
        <w:rPr>
          <w:rFonts w:ascii="Times New Roman" w:hAnsi="Times New Roman" w:cs="Times New Roman"/>
          <w:b/>
          <w:sz w:val="24"/>
          <w:szCs w:val="24"/>
        </w:rPr>
        <w:t>S</w:t>
      </w:r>
    </w:p>
    <w:p w:rsidR="00F861E9" w:rsidRDefault="00F861E9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203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Odpovědný řešitel projektu: </w:t>
      </w:r>
      <w:proofErr w:type="spellStart"/>
      <w:r w:rsidR="00F22806">
        <w:rPr>
          <w:rFonts w:ascii="Times New Roman" w:hAnsi="Times New Roman" w:cs="Times New Roman"/>
          <w:b/>
          <w:bCs/>
          <w:sz w:val="24"/>
          <w:szCs w:val="24"/>
        </w:rPr>
        <w:t>xxxxxxxxxxxxxxx</w:t>
      </w:r>
      <w:proofErr w:type="spellEnd"/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Odpovědný spoluřešitel projektu</w:t>
      </w:r>
      <w:r w:rsidR="00521128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2806">
        <w:rPr>
          <w:rFonts w:ascii="Times New Roman" w:hAnsi="Times New Roman" w:cs="Times New Roman"/>
          <w:b/>
          <w:sz w:val="24"/>
          <w:szCs w:val="24"/>
        </w:rPr>
        <w:t>xxxxxxxxxxxxxxxxxxxxx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4E0EFA" w:rsidRPr="00B50F42">
        <w:rPr>
          <w:rFonts w:ascii="Times New Roman" w:hAnsi="Times New Roman" w:cs="Times New Roman"/>
          <w:b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7E1A4F">
        <w:rPr>
          <w:rFonts w:ascii="Times New Roman" w:hAnsi="Times New Roman" w:cs="Times New Roman"/>
          <w:b/>
          <w:sz w:val="24"/>
          <w:szCs w:val="24"/>
        </w:rPr>
        <w:t>8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:rsidR="00A10AEC" w:rsidRPr="001D0425" w:rsidRDefault="00A10AEC" w:rsidP="00F861E9">
      <w:pPr>
        <w:ind w:left="426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proofErr w:type="spellStart"/>
      <w:r w:rsidR="00F22806">
        <w:rPr>
          <w:rFonts w:ascii="Times New Roman" w:hAnsi="Times New Roman" w:cs="Times New Roman"/>
          <w:b/>
          <w:sz w:val="24"/>
          <w:szCs w:val="24"/>
        </w:rPr>
        <w:t>xxxxxxxxxxxxxxxxxxxxxxxxxxxxxxxx</w:t>
      </w:r>
      <w:proofErr w:type="spellEnd"/>
      <w:r w:rsidR="00F86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</w:t>
      </w:r>
      <w:r w:rsidR="00DD1F60" w:rsidRPr="001D0425">
        <w:rPr>
          <w:rFonts w:ascii="Times New Roman" w:hAnsi="Times New Roman" w:cs="Times New Roman"/>
          <w:sz w:val="24"/>
          <w:szCs w:val="24"/>
        </w:rPr>
        <w:t xml:space="preserve">č. 1 </w:t>
      </w:r>
      <w:r w:rsidRPr="00A10AEC">
        <w:rPr>
          <w:rFonts w:ascii="Times New Roman" w:hAnsi="Times New Roman" w:cs="Times New Roman"/>
          <w:sz w:val="24"/>
          <w:szCs w:val="24"/>
        </w:rPr>
        <w:t xml:space="preserve">z roku </w:t>
      </w:r>
      <w:r w:rsidR="00942A01" w:rsidRPr="00A10AEC">
        <w:rPr>
          <w:rFonts w:ascii="Times New Roman" w:hAnsi="Times New Roman" w:cs="Times New Roman"/>
          <w:sz w:val="24"/>
          <w:szCs w:val="24"/>
        </w:rPr>
        <w:t>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="00942A01"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ke smlouvě o poskytnutí dotace na podporu grantového projektu č. </w:t>
      </w:r>
      <w:r w:rsidRPr="00F861E9">
        <w:rPr>
          <w:rFonts w:ascii="Times New Roman" w:hAnsi="Times New Roman" w:cs="Times New Roman"/>
          <w:b/>
          <w:sz w:val="24"/>
          <w:szCs w:val="24"/>
        </w:rPr>
        <w:t>1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7</w:t>
      </w:r>
      <w:r w:rsidRPr="00F861E9">
        <w:rPr>
          <w:rFonts w:ascii="Times New Roman" w:hAnsi="Times New Roman" w:cs="Times New Roman"/>
          <w:b/>
          <w:sz w:val="24"/>
          <w:szCs w:val="24"/>
        </w:rPr>
        <w:t>-</w:t>
      </w:r>
      <w:r w:rsidR="00F861E9" w:rsidRPr="00F861E9">
        <w:rPr>
          <w:rFonts w:ascii="Times New Roman" w:hAnsi="Times New Roman" w:cs="Times New Roman"/>
          <w:b/>
          <w:sz w:val="24"/>
          <w:szCs w:val="24"/>
        </w:rPr>
        <w:t>07690</w:t>
      </w:r>
      <w:r w:rsidRPr="00F861E9">
        <w:rPr>
          <w:rFonts w:ascii="Times New Roman" w:hAnsi="Times New Roman" w:cs="Times New Roman"/>
          <w:b/>
          <w:sz w:val="24"/>
          <w:szCs w:val="24"/>
        </w:rPr>
        <w:t>S</w:t>
      </w:r>
      <w:r w:rsidRPr="00A10AEC">
        <w:rPr>
          <w:rFonts w:ascii="Times New Roman" w:hAnsi="Times New Roman" w:cs="Times New Roman"/>
          <w:sz w:val="24"/>
          <w:szCs w:val="24"/>
        </w:rPr>
        <w:t xml:space="preserve"> panelu č. </w:t>
      </w:r>
      <w:r w:rsidRPr="00F861E9">
        <w:rPr>
          <w:rFonts w:ascii="Times New Roman" w:hAnsi="Times New Roman" w:cs="Times New Roman"/>
          <w:sz w:val="24"/>
          <w:szCs w:val="24"/>
        </w:rPr>
        <w:t>P</w:t>
      </w:r>
      <w:r w:rsidR="00F861E9" w:rsidRPr="00F861E9">
        <w:rPr>
          <w:rFonts w:ascii="Times New Roman" w:hAnsi="Times New Roman" w:cs="Times New Roman"/>
          <w:sz w:val="24"/>
          <w:szCs w:val="24"/>
        </w:rPr>
        <w:t>202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C86EEF">
        <w:rPr>
          <w:rFonts w:ascii="Times New Roman" w:hAnsi="Times New Roman" w:cs="Times New Roman"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1D0425">
        <w:rPr>
          <w:rFonts w:ascii="Times New Roman" w:hAnsi="Times New Roman" w:cs="Times New Roman"/>
          <w:sz w:val="24"/>
          <w:szCs w:val="24"/>
        </w:rPr>
        <w:t xml:space="preserve">říjemcem pro </w:t>
      </w:r>
      <w:r w:rsidR="00951C84">
        <w:rPr>
          <w:rFonts w:ascii="Times New Roman" w:hAnsi="Times New Roman" w:cs="Times New Roman"/>
          <w:sz w:val="24"/>
          <w:szCs w:val="24"/>
        </w:rPr>
        <w:t>Dalšího účastníka</w:t>
      </w:r>
      <w:r w:rsidRPr="001D0425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C86EEF">
        <w:rPr>
          <w:rFonts w:ascii="Times New Roman" w:hAnsi="Times New Roman" w:cs="Times New Roman"/>
          <w:b/>
          <w:sz w:val="24"/>
          <w:szCs w:val="24"/>
        </w:rPr>
        <w:t>8</w:t>
      </w:r>
      <w:r w:rsidRPr="001D0425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109E0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="00882180">
        <w:rPr>
          <w:sz w:val="24"/>
          <w:szCs w:val="24"/>
        </w:rPr>
        <w:t xml:space="preserve">  </w:t>
      </w:r>
      <w:r w:rsidR="00400E7E">
        <w:rPr>
          <w:sz w:val="24"/>
          <w:szCs w:val="24"/>
        </w:rPr>
        <w:t>598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D16A0A">
        <w:rPr>
          <w:rFonts w:ascii="Times New Roman" w:hAnsi="Times New Roman" w:cs="Times New Roman"/>
          <w:sz w:val="24"/>
          <w:szCs w:val="24"/>
        </w:rPr>
        <w:tab/>
      </w:r>
      <w:r w:rsidR="00400E7E">
        <w:rPr>
          <w:rFonts w:ascii="Times New Roman" w:hAnsi="Times New Roman" w:cs="Times New Roman"/>
          <w:sz w:val="24"/>
          <w:szCs w:val="24"/>
        </w:rPr>
        <w:t>věcné</w:t>
      </w:r>
      <w:r w:rsidR="00400E7E">
        <w:rPr>
          <w:rFonts w:ascii="Times New Roman" w:hAnsi="Times New Roman" w:cs="Times New Roman"/>
          <w:sz w:val="24"/>
          <w:szCs w:val="24"/>
        </w:rPr>
        <w:tab/>
      </w:r>
      <w:r w:rsidR="00400E7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400E7E" w:rsidRPr="00400E7E">
        <w:rPr>
          <w:rFonts w:ascii="Times New Roman" w:hAnsi="Times New Roman" w:cs="Times New Roman"/>
          <w:b/>
          <w:sz w:val="24"/>
          <w:szCs w:val="24"/>
        </w:rPr>
        <w:t>199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2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E7E">
        <w:rPr>
          <w:rFonts w:ascii="Times New Roman" w:hAnsi="Times New Roman" w:cs="Times New Roman"/>
          <w:b/>
          <w:sz w:val="24"/>
          <w:szCs w:val="24"/>
        </w:rPr>
        <w:t>399</w:t>
      </w:r>
      <w:r w:rsidR="0053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b/>
          <w:sz w:val="24"/>
          <w:szCs w:val="24"/>
        </w:rPr>
        <w:t>tis. Kč</w:t>
      </w:r>
    </w:p>
    <w:p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2E10" w:rsidRPr="00A10AEC" w:rsidRDefault="00452E10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III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E1A4F" w:rsidRPr="00B50F42" w:rsidRDefault="007E1A4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Ostatní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ujednání</w:t>
      </w:r>
      <w:proofErr w:type="spellEnd"/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2F4" w:rsidRDefault="007C22F4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A3203" w:rsidRPr="007C22F4" w:rsidRDefault="007C22F4" w:rsidP="00452E10">
      <w:pPr>
        <w:pStyle w:val="Odstavecseseznamem"/>
        <w:numPr>
          <w:ilvl w:val="0"/>
          <w:numId w:val="10"/>
        </w:numPr>
        <w:ind w:left="426" w:hanging="426"/>
        <w:jc w:val="both"/>
      </w:pPr>
      <w:r w:rsidRPr="00452E10">
        <w:rPr>
          <w:rFonts w:ascii="Times New Roman" w:hAnsi="Times New Roman" w:cs="Times New Roman"/>
          <w:sz w:val="24"/>
          <w:szCs w:val="24"/>
        </w:rPr>
        <w:t xml:space="preserve">V souvislosti s vyhláškou Ministerstva financí ČR č. 435/2017 Sb., kterou se mění vyhláška č. 67/2015 Sb., o zásadách a lhůtách finančního vypořádání vztahů se státním rozpočtem, státními finančními aktivy a Národním fondem (vyhláška o finančním vypořádání), ve znění pozdějších předpisů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452E10">
        <w:rPr>
          <w:rFonts w:ascii="Times New Roman" w:hAnsi="Times New Roman" w:cs="Times New Roman"/>
          <w:sz w:val="24"/>
          <w:szCs w:val="24"/>
        </w:rPr>
        <w:t xml:space="preserve">informuje 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Dalího účastníka </w:t>
      </w:r>
      <w:r w:rsidRPr="00452E10">
        <w:rPr>
          <w:rFonts w:ascii="Times New Roman" w:hAnsi="Times New Roman" w:cs="Times New Roman"/>
          <w:sz w:val="24"/>
          <w:szCs w:val="24"/>
        </w:rPr>
        <w:t xml:space="preserve">o změně odstavce 2, 6, 7, 10 a 11 článku 3. Podmínky pro nakládání s účelovou podporou Přílohy 4 příslušné Zadávací dokumentace. Platné znění příslušných odstavců </w:t>
      </w:r>
      <w:r w:rsidR="00784487" w:rsidRPr="00452E10">
        <w:rPr>
          <w:rFonts w:ascii="Times New Roman" w:hAnsi="Times New Roman" w:cs="Times New Roman"/>
          <w:sz w:val="24"/>
          <w:szCs w:val="24"/>
        </w:rPr>
        <w:t xml:space="preserve">je uvedeno v </w:t>
      </w:r>
      <w:r w:rsidRPr="00452E10">
        <w:rPr>
          <w:rFonts w:ascii="Times New Roman" w:hAnsi="Times New Roman" w:cs="Times New Roman"/>
          <w:sz w:val="24"/>
          <w:szCs w:val="24"/>
        </w:rPr>
        <w:t>přílo</w:t>
      </w:r>
      <w:r w:rsidR="00784487" w:rsidRPr="00452E10">
        <w:rPr>
          <w:rFonts w:ascii="Times New Roman" w:hAnsi="Times New Roman" w:cs="Times New Roman"/>
          <w:sz w:val="24"/>
          <w:szCs w:val="24"/>
        </w:rPr>
        <w:t>ze</w:t>
      </w:r>
      <w:r w:rsidRPr="00452E10">
        <w:rPr>
          <w:rFonts w:ascii="Times New Roman" w:hAnsi="Times New Roman" w:cs="Times New Roman"/>
          <w:sz w:val="24"/>
          <w:szCs w:val="24"/>
        </w:rPr>
        <w:t xml:space="preserve"> č. 2 tohoto dodatku. 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Další účastník podpisem tohoto dodatku </w:t>
      </w:r>
      <w:r w:rsidR="00452E10">
        <w:rPr>
          <w:rFonts w:ascii="Times New Roman" w:hAnsi="Times New Roman" w:cs="Times New Roman"/>
          <w:sz w:val="24"/>
          <w:szCs w:val="24"/>
        </w:rPr>
        <w:t>t</w:t>
      </w:r>
      <w:r w:rsidR="00452E10" w:rsidRPr="00452E10">
        <w:rPr>
          <w:rFonts w:ascii="Times New Roman" w:hAnsi="Times New Roman" w:cs="Times New Roman"/>
          <w:sz w:val="24"/>
          <w:szCs w:val="24"/>
        </w:rPr>
        <w:t xml:space="preserve">uto změnu </w:t>
      </w:r>
      <w:r w:rsidR="00452E10">
        <w:rPr>
          <w:rFonts w:ascii="Times New Roman" w:hAnsi="Times New Roman" w:cs="Times New Roman"/>
          <w:sz w:val="24"/>
          <w:szCs w:val="24"/>
        </w:rPr>
        <w:t xml:space="preserve">akceptuje. </w:t>
      </w:r>
      <w:r w:rsidR="00951C84" w:rsidRPr="00452E10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452E10">
        <w:rPr>
          <w:rFonts w:ascii="Times New Roman" w:hAnsi="Times New Roman" w:cs="Times New Roman"/>
          <w:sz w:val="24"/>
          <w:szCs w:val="24"/>
        </w:rPr>
        <w:t>je nadále povinen pln</w:t>
      </w:r>
      <w:r w:rsidR="003831D3" w:rsidRPr="00452E10">
        <w:rPr>
          <w:rFonts w:ascii="Times New Roman" w:hAnsi="Times New Roman" w:cs="Times New Roman"/>
          <w:sz w:val="24"/>
          <w:szCs w:val="24"/>
        </w:rPr>
        <w:t xml:space="preserve">it povinnosti dle takto změněné </w:t>
      </w:r>
      <w:r w:rsidRPr="00452E10">
        <w:rPr>
          <w:rFonts w:ascii="Times New Roman" w:hAnsi="Times New Roman" w:cs="Times New Roman"/>
          <w:sz w:val="24"/>
          <w:szCs w:val="24"/>
        </w:rPr>
        <w:t xml:space="preserve">Zadávací dokumentace včetně jejich příloh. </w:t>
      </w:r>
    </w:p>
    <w:p w:rsidR="003831D3" w:rsidRPr="00452E10" w:rsidRDefault="003831D3" w:rsidP="00452E10">
      <w:pPr>
        <w:pStyle w:val="Odstavecseseznamem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 xml:space="preserve"> 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Default="003831D3" w:rsidP="003831D3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</w:t>
      </w:r>
      <w:r>
        <w:rPr>
          <w:rFonts w:ascii="Times New Roman" w:hAnsi="Times New Roman" w:cs="Times New Roman"/>
          <w:sz w:val="24"/>
          <w:szCs w:val="24"/>
        </w:rPr>
        <w:t>sou</w:t>
      </w:r>
      <w:r w:rsidRPr="00534A0B">
        <w:rPr>
          <w:rFonts w:ascii="Times New Roman" w:hAnsi="Times New Roman" w:cs="Times New Roman"/>
          <w:sz w:val="24"/>
          <w:szCs w:val="24"/>
        </w:rPr>
        <w:t xml:space="preserve"> následující příloh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34A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Pr="00784487" w:rsidRDefault="003831D3" w:rsidP="00784487">
      <w:pPr>
        <w:pStyle w:val="Odstavecseseznamem"/>
        <w:numPr>
          <w:ilvl w:val="0"/>
          <w:numId w:val="11"/>
        </w:num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kopie přílo</w:t>
      </w:r>
      <w:r w:rsidR="007E1A4F">
        <w:rPr>
          <w:rFonts w:ascii="Times New Roman" w:hAnsi="Times New Roman" w:cs="Times New Roman"/>
          <w:sz w:val="24"/>
          <w:szCs w:val="24"/>
        </w:rPr>
        <w:t>hy č. 1 Dodatku č. 1 z roku 2018</w:t>
      </w:r>
      <w:r w:rsidRPr="00784487">
        <w:rPr>
          <w:rFonts w:ascii="Times New Roman" w:hAnsi="Times New Roman" w:cs="Times New Roman"/>
          <w:sz w:val="24"/>
          <w:szCs w:val="24"/>
        </w:rPr>
        <w:t xml:space="preserve"> ke smlouvě o poskytnutí dotace na podporu grantového projektu č. </w:t>
      </w:r>
      <w:r w:rsidRPr="00400E7E">
        <w:rPr>
          <w:rFonts w:ascii="Times New Roman" w:hAnsi="Times New Roman" w:cs="Times New Roman"/>
          <w:b/>
          <w:sz w:val="24"/>
          <w:szCs w:val="24"/>
        </w:rPr>
        <w:t>1</w:t>
      </w:r>
      <w:r w:rsidR="00400E7E" w:rsidRPr="00400E7E">
        <w:rPr>
          <w:rFonts w:ascii="Times New Roman" w:hAnsi="Times New Roman" w:cs="Times New Roman"/>
          <w:b/>
          <w:sz w:val="24"/>
          <w:szCs w:val="24"/>
        </w:rPr>
        <w:t>7</w:t>
      </w:r>
      <w:r w:rsidRPr="00400E7E">
        <w:rPr>
          <w:rFonts w:ascii="Times New Roman" w:hAnsi="Times New Roman" w:cs="Times New Roman"/>
          <w:b/>
          <w:sz w:val="24"/>
          <w:szCs w:val="24"/>
        </w:rPr>
        <w:t>-</w:t>
      </w:r>
      <w:r w:rsidR="00400E7E" w:rsidRPr="00400E7E">
        <w:rPr>
          <w:rFonts w:ascii="Times New Roman" w:hAnsi="Times New Roman" w:cs="Times New Roman"/>
          <w:b/>
          <w:sz w:val="24"/>
          <w:szCs w:val="24"/>
        </w:rPr>
        <w:t>07690S</w:t>
      </w:r>
      <w:r w:rsidRPr="00400E7E">
        <w:rPr>
          <w:rFonts w:ascii="Times New Roman" w:hAnsi="Times New Roman" w:cs="Times New Roman"/>
          <w:sz w:val="24"/>
          <w:szCs w:val="24"/>
        </w:rPr>
        <w:t xml:space="preserve"> panelu č.P</w:t>
      </w:r>
      <w:r w:rsidR="00400E7E" w:rsidRPr="00400E7E">
        <w:rPr>
          <w:rFonts w:ascii="Times New Roman" w:hAnsi="Times New Roman" w:cs="Times New Roman"/>
          <w:sz w:val="24"/>
          <w:szCs w:val="24"/>
        </w:rPr>
        <w:t>202</w:t>
      </w:r>
      <w:r w:rsidRPr="00784487">
        <w:rPr>
          <w:rFonts w:ascii="Times New Roman" w:hAnsi="Times New Roman" w:cs="Times New Roman"/>
          <w:sz w:val="24"/>
          <w:szCs w:val="24"/>
        </w:rPr>
        <w:t xml:space="preserve"> – výše podpory pro rok 2017.</w:t>
      </w:r>
    </w:p>
    <w:p w:rsidR="003831D3" w:rsidRPr="00534A0B" w:rsidRDefault="00784487" w:rsidP="00784487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nakládání s účelovou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00E7E" w:rsidRDefault="00400E7E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99092B" w:rsidRPr="00B50F42">
        <w:rPr>
          <w:rFonts w:ascii="Times New Roman" w:hAnsi="Times New Roman" w:cs="Times New Roman"/>
          <w:sz w:val="24"/>
          <w:szCs w:val="24"/>
        </w:rPr>
        <w:t>říjemce</w:t>
      </w:r>
    </w:p>
    <w:p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2980">
        <w:rPr>
          <w:rFonts w:ascii="Times New Roman" w:hAnsi="Times New Roman" w:cs="Times New Roman"/>
          <w:sz w:val="24"/>
          <w:szCs w:val="24"/>
        </w:rPr>
        <w:t xml:space="preserve">prof. </w:t>
      </w:r>
      <w:r w:rsidRPr="00B50F42">
        <w:rPr>
          <w:rFonts w:ascii="Times New Roman" w:hAnsi="Times New Roman" w:cs="Times New Roman"/>
          <w:sz w:val="24"/>
          <w:szCs w:val="24"/>
        </w:rPr>
        <w:t xml:space="preserve"> RNDr. </w:t>
      </w:r>
      <w:r w:rsidR="0085727F">
        <w:rPr>
          <w:rFonts w:ascii="Times New Roman" w:hAnsi="Times New Roman" w:cs="Times New Roman"/>
          <w:sz w:val="24"/>
          <w:szCs w:val="24"/>
        </w:rPr>
        <w:t xml:space="preserve">Tomáš Kaiser, </w:t>
      </w:r>
      <w:proofErr w:type="spellStart"/>
      <w:r w:rsidR="0085727F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="0085727F">
        <w:rPr>
          <w:rFonts w:ascii="Times New Roman" w:hAnsi="Times New Roman" w:cs="Times New Roman"/>
          <w:sz w:val="24"/>
          <w:szCs w:val="24"/>
        </w:rPr>
        <w:t>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</w:r>
      <w:r w:rsidR="0085727F">
        <w:rPr>
          <w:rFonts w:ascii="Times New Roman" w:hAnsi="Times New Roman" w:cs="Times New Roman"/>
          <w:sz w:val="24"/>
          <w:szCs w:val="24"/>
        </w:rPr>
        <w:tab/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85727F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400E7E" w:rsidRDefault="00400E7E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400E7E" w:rsidRDefault="006A3203" w:rsidP="00400E7E">
      <w:pPr>
        <w:ind w:left="4956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F22806"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  <w:r w:rsidR="00400E7E">
        <w:rPr>
          <w:rFonts w:ascii="Times New Roman" w:hAnsi="Times New Roman" w:cs="Times New Roman"/>
          <w:sz w:val="24"/>
          <w:szCs w:val="24"/>
        </w:rPr>
        <w:t>.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203" w:rsidRPr="00B50F42" w:rsidRDefault="00400E7E" w:rsidP="00400E7E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203">
        <w:rPr>
          <w:rFonts w:ascii="Times New Roman" w:hAnsi="Times New Roman" w:cs="Times New Roman"/>
          <w:sz w:val="24"/>
          <w:szCs w:val="24"/>
        </w:rPr>
        <w:t>řešitel</w:t>
      </w:r>
    </w:p>
    <w:p w:rsidR="006A3203" w:rsidRPr="00B50F42" w:rsidRDefault="00A109E0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A3203" w:rsidRPr="00B50F42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Pr="00B50F42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>…………</w:t>
      </w:r>
      <w:r w:rsidR="003831D3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00E7E" w:rsidRDefault="00400E7E" w:rsidP="00400E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1C1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50F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Dalšího účastníka</w:t>
      </w:r>
    </w:p>
    <w:p w:rsidR="00400E7E" w:rsidRDefault="00400E7E" w:rsidP="00400E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1C10">
        <w:rPr>
          <w:rFonts w:ascii="Times New Roman" w:hAnsi="Times New Roman" w:cs="Times New Roman"/>
          <w:sz w:val="24"/>
          <w:szCs w:val="24"/>
        </w:rPr>
        <w:t xml:space="preserve"> </w:t>
      </w:r>
      <w:r w:rsidRPr="00400E7E">
        <w:rPr>
          <w:rFonts w:ascii="Times New Roman" w:hAnsi="Times New Roman" w:cs="Times New Roman"/>
          <w:sz w:val="24"/>
          <w:szCs w:val="24"/>
        </w:rPr>
        <w:t>prof. RNDr. Jiřím Zlatuškou, CSc.</w:t>
      </w:r>
      <w:r w:rsidR="006E0768" w:rsidRPr="00B50F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092B" w:rsidRPr="00B50F42" w:rsidRDefault="00400E7E" w:rsidP="00400E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C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děkan Fakulty informatiky</w:t>
      </w:r>
      <w:r w:rsidR="006E0768"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109E0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E0768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7A2BA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</w:t>
      </w:r>
    </w:p>
    <w:p w:rsidR="006A3203" w:rsidRPr="00B50F4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7A2BA2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</w:t>
      </w:r>
      <w:r w:rsidR="007A2BA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A3203" w:rsidRDefault="006A3203" w:rsidP="00400E7E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F22806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</w:p>
    <w:p w:rsidR="00400E7E" w:rsidRPr="00B50F42" w:rsidRDefault="00400E7E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spoluřešitel</w:t>
      </w:r>
    </w:p>
    <w:p w:rsidR="007E1A4F" w:rsidRDefault="007E1A4F" w:rsidP="007E1A4F">
      <w:pPr>
        <w:kinsoku w:val="0"/>
        <w:overflowPunct w:val="0"/>
        <w:spacing w:line="200" w:lineRule="exact"/>
      </w:pPr>
    </w:p>
    <w:p w:rsidR="007E1A4F" w:rsidRPr="007E1A4F" w:rsidRDefault="007E1A4F" w:rsidP="007E1A4F">
      <w:pPr>
        <w:pStyle w:val="Nadpis1"/>
        <w:numPr>
          <w:ilvl w:val="0"/>
          <w:numId w:val="0"/>
        </w:numPr>
        <w:kinsoku w:val="0"/>
        <w:overflowPunct w:val="0"/>
        <w:spacing w:before="29" w:line="305" w:lineRule="auto"/>
        <w:ind w:right="507"/>
        <w:rPr>
          <w:b w:val="0"/>
          <w:bCs w:val="0"/>
          <w:sz w:val="22"/>
          <w:szCs w:val="22"/>
        </w:rPr>
      </w:pPr>
      <w:r w:rsidRPr="007E1A4F">
        <w:rPr>
          <w:sz w:val="22"/>
          <w:szCs w:val="22"/>
        </w:rPr>
        <w:lastRenderedPageBreak/>
        <w:t>Příloha č. 1 k Dodatku ke Smlouvě o poskytnutí dotace na podporu grantového projektu č. 17-07690S panelu č. P202</w:t>
      </w:r>
    </w:p>
    <w:p w:rsidR="007E1A4F" w:rsidRPr="007E1A4F" w:rsidRDefault="007E1A4F" w:rsidP="007E1A4F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7E1A4F" w:rsidRPr="007E1A4F" w:rsidRDefault="007E1A4F" w:rsidP="007E1A4F">
      <w:pPr>
        <w:kinsoku w:val="0"/>
        <w:overflowPunct w:val="0"/>
        <w:ind w:left="226"/>
        <w:rPr>
          <w:sz w:val="22"/>
          <w:szCs w:val="22"/>
        </w:rPr>
      </w:pPr>
      <w:r w:rsidRPr="007E1A4F">
        <w:rPr>
          <w:b/>
          <w:bCs/>
          <w:sz w:val="22"/>
          <w:szCs w:val="22"/>
        </w:rPr>
        <w:t>Rozpis grantových prostředků Projektu</w:t>
      </w:r>
    </w:p>
    <w:p w:rsidR="007E1A4F" w:rsidRPr="007E1A4F" w:rsidRDefault="007E1A4F" w:rsidP="007E1A4F">
      <w:pPr>
        <w:kinsoku w:val="0"/>
        <w:overflowPunct w:val="0"/>
        <w:spacing w:before="16" w:line="240" w:lineRule="exact"/>
        <w:rPr>
          <w:sz w:val="22"/>
          <w:szCs w:val="22"/>
        </w:rPr>
      </w:pPr>
    </w:p>
    <w:p w:rsidR="007E1A4F" w:rsidRPr="007E1A4F" w:rsidRDefault="007E1A4F" w:rsidP="007E1A4F">
      <w:pPr>
        <w:pStyle w:val="Nadpis1"/>
        <w:numPr>
          <w:ilvl w:val="0"/>
          <w:numId w:val="0"/>
        </w:numPr>
        <w:kinsoku w:val="0"/>
        <w:overflowPunct w:val="0"/>
        <w:rPr>
          <w:b w:val="0"/>
          <w:bCs w:val="0"/>
          <w:sz w:val="22"/>
          <w:szCs w:val="22"/>
        </w:rPr>
      </w:pPr>
      <w:r w:rsidRPr="007E1A4F">
        <w:rPr>
          <w:sz w:val="22"/>
          <w:szCs w:val="22"/>
        </w:rPr>
        <w:t>Pro rok 2018 řešení Projektu budou Poskytovatelem Příjemci uznány prostředky v následující výši:</w:t>
      </w:r>
    </w:p>
    <w:p w:rsidR="007E1A4F" w:rsidRDefault="007E1A4F" w:rsidP="007E1A4F">
      <w:pPr>
        <w:kinsoku w:val="0"/>
        <w:overflowPunct w:val="0"/>
        <w:spacing w:line="200" w:lineRule="exact"/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5985"/>
        <w:gridCol w:w="738"/>
        <w:gridCol w:w="1546"/>
      </w:tblGrid>
      <w:tr w:rsidR="007E1A4F">
        <w:trPr>
          <w:trHeight w:hRule="exact" w:val="346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Příjemce:</w:t>
            </w:r>
          </w:p>
        </w:tc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Západočeská univerzita v Plzni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49777513</w:t>
            </w:r>
          </w:p>
        </w:tc>
      </w:tr>
      <w:tr w:rsidR="007E1A4F">
        <w:trPr>
          <w:trHeight w:hRule="exact" w:val="338"/>
        </w:trPr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Řešitel:</w:t>
            </w:r>
          </w:p>
        </w:tc>
        <w:tc>
          <w:tcPr>
            <w:tcW w:w="8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F22806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7E1A4F">
        <w:trPr>
          <w:trHeight w:hRule="exact" w:val="338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594 000 Kč</w:t>
            </w:r>
          </w:p>
        </w:tc>
      </w:tr>
      <w:tr w:rsidR="007E1A4F">
        <w:trPr>
          <w:trHeight w:hRule="exact" w:val="338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7E1A4F">
        <w:trPr>
          <w:trHeight w:hRule="exact" w:val="339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1 584 000 Kč</w:t>
            </w:r>
          </w:p>
        </w:tc>
      </w:tr>
      <w:tr w:rsidR="007E1A4F">
        <w:trPr>
          <w:trHeight w:hRule="exact" w:val="338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2 178 000 Kč</w:t>
            </w:r>
          </w:p>
        </w:tc>
      </w:tr>
      <w:tr w:rsidR="007E1A4F">
        <w:trPr>
          <w:trHeight w:hRule="exact" w:val="346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1 849 000 Kč</w:t>
            </w:r>
          </w:p>
        </w:tc>
      </w:tr>
    </w:tbl>
    <w:p w:rsidR="007E1A4F" w:rsidRDefault="007E1A4F" w:rsidP="007E1A4F">
      <w:pPr>
        <w:pStyle w:val="Zkladntext"/>
        <w:kinsoku w:val="0"/>
        <w:overflowPunct w:val="0"/>
        <w:spacing w:line="305" w:lineRule="auto"/>
        <w:ind w:right="294"/>
        <w:jc w:val="both"/>
      </w:pPr>
      <w:r>
        <w:t>Z</w:t>
      </w:r>
      <w:r>
        <w:rPr>
          <w:spacing w:val="28"/>
        </w:rPr>
        <w:t xml:space="preserve"> </w:t>
      </w:r>
      <w:r>
        <w:rPr>
          <w:spacing w:val="1"/>
        </w:rPr>
        <w:t>dotac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převed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Příjemc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další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účastníkům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poku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nejso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organizačn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složko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státu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níž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uvedeno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čás</w:t>
      </w:r>
      <w:r>
        <w:t>t grantových</w:t>
      </w:r>
      <w:r>
        <w:rPr>
          <w:spacing w:val="15"/>
        </w:rPr>
        <w:t xml:space="preserve"> </w:t>
      </w:r>
      <w:r>
        <w:t>prostředků.</w:t>
      </w:r>
      <w:r>
        <w:rPr>
          <w:spacing w:val="15"/>
        </w:rPr>
        <w:t xml:space="preserve"> </w:t>
      </w:r>
      <w:r>
        <w:t>Dalším</w:t>
      </w:r>
      <w:r>
        <w:rPr>
          <w:spacing w:val="15"/>
        </w:rPr>
        <w:t xml:space="preserve"> </w:t>
      </w:r>
      <w:r>
        <w:t>účastníkům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organizačním</w:t>
      </w:r>
      <w:r>
        <w:rPr>
          <w:spacing w:val="15"/>
        </w:rPr>
        <w:t xml:space="preserve"> </w:t>
      </w:r>
      <w:r>
        <w:t>složkám</w:t>
      </w:r>
      <w:r>
        <w:rPr>
          <w:spacing w:val="15"/>
        </w:rPr>
        <w:t xml:space="preserve"> </w:t>
      </w:r>
      <w:r>
        <w:t>státu,</w:t>
      </w:r>
      <w:r>
        <w:rPr>
          <w:spacing w:val="15"/>
        </w:rPr>
        <w:t xml:space="preserve"> </w:t>
      </w:r>
      <w:r>
        <w:t>poukáže</w:t>
      </w:r>
      <w:r>
        <w:rPr>
          <w:spacing w:val="15"/>
        </w:rPr>
        <w:t xml:space="preserve"> </w:t>
      </w:r>
      <w:r>
        <w:t>GA</w:t>
      </w:r>
      <w:r>
        <w:rPr>
          <w:spacing w:val="15"/>
        </w:rPr>
        <w:t xml:space="preserve"> </w:t>
      </w:r>
      <w:r>
        <w:t>ČR</w:t>
      </w:r>
      <w:r>
        <w:rPr>
          <w:spacing w:val="15"/>
        </w:rPr>
        <w:t xml:space="preserve"> </w:t>
      </w:r>
      <w:r>
        <w:t>finanční</w:t>
      </w:r>
      <w:r>
        <w:rPr>
          <w:spacing w:val="15"/>
        </w:rPr>
        <w:t xml:space="preserve"> </w:t>
      </w:r>
      <w:r>
        <w:t>prostředky rozpočtovým opatřením a částka převedená Příjemci bude snížena o tuto část.</w:t>
      </w:r>
    </w:p>
    <w:p w:rsidR="007E1A4F" w:rsidRDefault="007E1A4F" w:rsidP="007E1A4F">
      <w:pPr>
        <w:kinsoku w:val="0"/>
        <w:overflowPunct w:val="0"/>
        <w:spacing w:line="200" w:lineRule="exact"/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939"/>
        <w:gridCol w:w="4661"/>
        <w:gridCol w:w="708"/>
        <w:gridCol w:w="1516"/>
      </w:tblGrid>
      <w:tr w:rsidR="007E1A4F">
        <w:trPr>
          <w:trHeight w:hRule="exact"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23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České vysoké učení technické v Praze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68407700</w:t>
            </w:r>
          </w:p>
        </w:tc>
      </w:tr>
      <w:tr w:rsidR="007E1A4F">
        <w:trPr>
          <w:trHeight w:hRule="exact" w:val="339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7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F22806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  <w:proofErr w:type="spellEnd"/>
          </w:p>
        </w:tc>
      </w:tr>
      <w:tr w:rsidR="007E1A4F">
        <w:trPr>
          <w:trHeight w:hRule="exact" w:val="338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207 000 Kč</w:t>
            </w:r>
          </w:p>
        </w:tc>
      </w:tr>
      <w:tr w:rsidR="007E1A4F">
        <w:trPr>
          <w:trHeight w:hRule="exact" w:val="338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7E1A4F">
        <w:trPr>
          <w:trHeight w:hRule="exact" w:val="339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477 000 Kč</w:t>
            </w:r>
          </w:p>
        </w:tc>
      </w:tr>
      <w:tr w:rsidR="007E1A4F">
        <w:trPr>
          <w:trHeight w:hRule="exact" w:val="339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684 000 Kč</w:t>
            </w:r>
          </w:p>
        </w:tc>
      </w:tr>
      <w:tr w:rsidR="007E1A4F">
        <w:trPr>
          <w:trHeight w:hRule="exact" w:val="338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597 000 Kč</w:t>
            </w:r>
          </w:p>
        </w:tc>
      </w:tr>
      <w:tr w:rsidR="007E1A4F">
        <w:trPr>
          <w:trHeight w:hRule="exact" w:val="338"/>
        </w:trPr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Masarykova univerzita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-16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00216224</w:t>
            </w:r>
          </w:p>
        </w:tc>
      </w:tr>
      <w:tr w:rsidR="007E1A4F">
        <w:trPr>
          <w:trHeight w:hRule="exact" w:val="339"/>
        </w:trPr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6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F22806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  <w:proofErr w:type="spellEnd"/>
          </w:p>
        </w:tc>
      </w:tr>
      <w:tr w:rsidR="007E1A4F">
        <w:trPr>
          <w:trHeight w:hRule="exact" w:val="338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199 000 Kč</w:t>
            </w:r>
          </w:p>
        </w:tc>
      </w:tr>
      <w:tr w:rsidR="007E1A4F">
        <w:trPr>
          <w:trHeight w:hRule="exact" w:val="338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7E1A4F">
        <w:trPr>
          <w:trHeight w:hRule="exact" w:val="339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497 000 Kč</w:t>
            </w:r>
          </w:p>
        </w:tc>
      </w:tr>
      <w:tr w:rsidR="007E1A4F">
        <w:trPr>
          <w:trHeight w:hRule="exact" w:val="338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696 000 Kč</w:t>
            </w:r>
          </w:p>
        </w:tc>
      </w:tr>
      <w:tr w:rsidR="007E1A4F">
        <w:trPr>
          <w:trHeight w:hRule="exact" w:val="346"/>
        </w:trPr>
        <w:tc>
          <w:tcPr>
            <w:tcW w:w="7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598 000 Kč</w:t>
            </w:r>
          </w:p>
        </w:tc>
      </w:tr>
    </w:tbl>
    <w:p w:rsidR="007E1A4F" w:rsidRDefault="007E1A4F" w:rsidP="007E1A4F">
      <w:pPr>
        <w:pStyle w:val="Nadpis1"/>
        <w:numPr>
          <w:ilvl w:val="0"/>
          <w:numId w:val="0"/>
        </w:numPr>
        <w:kinsoku w:val="0"/>
        <w:overflowPunct w:val="0"/>
        <w:spacing w:before="20"/>
        <w:rPr>
          <w:sz w:val="22"/>
          <w:szCs w:val="22"/>
        </w:rPr>
      </w:pPr>
    </w:p>
    <w:p w:rsidR="007E1A4F" w:rsidRPr="007E1A4F" w:rsidRDefault="007E1A4F" w:rsidP="007E1A4F">
      <w:pPr>
        <w:pStyle w:val="Nadpis1"/>
        <w:numPr>
          <w:ilvl w:val="0"/>
          <w:numId w:val="0"/>
        </w:numPr>
        <w:kinsoku w:val="0"/>
        <w:overflowPunct w:val="0"/>
        <w:spacing w:before="20"/>
        <w:rPr>
          <w:b w:val="0"/>
          <w:bCs w:val="0"/>
          <w:sz w:val="22"/>
          <w:szCs w:val="22"/>
        </w:rPr>
      </w:pPr>
      <w:r w:rsidRPr="007E1A4F">
        <w:rPr>
          <w:sz w:val="22"/>
          <w:szCs w:val="22"/>
        </w:rPr>
        <w:t>Pro rok 2019 řešení Projektu budou Poskytovatelem Příjemci uznány prostředky v následující výši:</w:t>
      </w:r>
    </w:p>
    <w:p w:rsidR="007E1A4F" w:rsidRDefault="007E1A4F" w:rsidP="007E1A4F">
      <w:pPr>
        <w:kinsoku w:val="0"/>
        <w:overflowPunct w:val="0"/>
        <w:spacing w:before="6" w:line="120" w:lineRule="exact"/>
        <w:rPr>
          <w:sz w:val="12"/>
          <w:szCs w:val="1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6000"/>
        <w:gridCol w:w="738"/>
        <w:gridCol w:w="1546"/>
      </w:tblGrid>
      <w:tr w:rsidR="007E1A4F">
        <w:trPr>
          <w:trHeight w:hRule="exact" w:val="346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Příjemce: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Západočeská univerzita v Plzni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49777513</w:t>
            </w:r>
          </w:p>
        </w:tc>
      </w:tr>
      <w:tr w:rsidR="007E1A4F">
        <w:trPr>
          <w:trHeight w:hRule="exact" w:val="338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Řešitel:</w:t>
            </w:r>
          </w:p>
        </w:tc>
        <w:tc>
          <w:tcPr>
            <w:tcW w:w="8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F22806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xxxxxxxxxxxxxxxxxxxxxxxx</w:t>
            </w:r>
            <w:proofErr w:type="spellEnd"/>
          </w:p>
        </w:tc>
      </w:tr>
      <w:tr w:rsidR="007E1A4F">
        <w:trPr>
          <w:trHeight w:hRule="exact" w:val="339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594 000 Kč</w:t>
            </w:r>
          </w:p>
        </w:tc>
      </w:tr>
      <w:tr w:rsidR="007E1A4F">
        <w:trPr>
          <w:trHeight w:hRule="exact" w:val="338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7E1A4F">
        <w:trPr>
          <w:trHeight w:hRule="exact" w:val="338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1 584 000 Kč</w:t>
            </w:r>
          </w:p>
        </w:tc>
      </w:tr>
      <w:tr w:rsidR="007E1A4F">
        <w:trPr>
          <w:trHeight w:hRule="exact" w:val="339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Celkem náklady na daný rok řešení 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2 178 000 Kč</w:t>
            </w:r>
          </w:p>
        </w:tc>
      </w:tr>
      <w:tr w:rsidR="007E1A4F">
        <w:trPr>
          <w:trHeight w:hRule="exact" w:val="346"/>
        </w:trPr>
        <w:tc>
          <w:tcPr>
            <w:tcW w:w="7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Projektu:</w:t>
            </w:r>
          </w:p>
        </w:tc>
        <w:tc>
          <w:tcPr>
            <w:tcW w:w="2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1 849 000 Kč</w:t>
            </w:r>
          </w:p>
        </w:tc>
      </w:tr>
    </w:tbl>
    <w:p w:rsidR="007E1A4F" w:rsidRDefault="007E1A4F" w:rsidP="007E1A4F">
      <w:pPr>
        <w:pStyle w:val="Zkladntext"/>
        <w:kinsoku w:val="0"/>
        <w:overflowPunct w:val="0"/>
        <w:spacing w:line="305" w:lineRule="auto"/>
        <w:ind w:right="294"/>
        <w:jc w:val="both"/>
      </w:pPr>
      <w:r>
        <w:t>Z</w:t>
      </w:r>
      <w:r>
        <w:rPr>
          <w:spacing w:val="28"/>
        </w:rPr>
        <w:t xml:space="preserve"> </w:t>
      </w:r>
      <w:r>
        <w:rPr>
          <w:spacing w:val="1"/>
        </w:rPr>
        <w:t>dotac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převed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Příjemc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další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účastníkům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poku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nejso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organizačn</w:t>
      </w:r>
      <w:r>
        <w:t>í</w:t>
      </w:r>
      <w:r>
        <w:rPr>
          <w:spacing w:val="29"/>
        </w:rPr>
        <w:t xml:space="preserve"> </w:t>
      </w:r>
      <w:r>
        <w:rPr>
          <w:spacing w:val="1"/>
        </w:rPr>
        <w:t>složko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státu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níž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uvedeno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čás</w:t>
      </w:r>
      <w:r>
        <w:t>t grantových</w:t>
      </w:r>
      <w:r>
        <w:rPr>
          <w:spacing w:val="15"/>
        </w:rPr>
        <w:t xml:space="preserve"> </w:t>
      </w:r>
      <w:r>
        <w:t>prostředků.</w:t>
      </w:r>
      <w:r>
        <w:rPr>
          <w:spacing w:val="15"/>
        </w:rPr>
        <w:t xml:space="preserve"> </w:t>
      </w:r>
      <w:r>
        <w:t>Dalším</w:t>
      </w:r>
      <w:r>
        <w:rPr>
          <w:spacing w:val="15"/>
        </w:rPr>
        <w:t xml:space="preserve"> </w:t>
      </w:r>
      <w:r>
        <w:t>účastníkům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organizačním</w:t>
      </w:r>
      <w:r>
        <w:rPr>
          <w:spacing w:val="15"/>
        </w:rPr>
        <w:t xml:space="preserve"> </w:t>
      </w:r>
      <w:r>
        <w:t>složkám</w:t>
      </w:r>
      <w:r>
        <w:rPr>
          <w:spacing w:val="15"/>
        </w:rPr>
        <w:t xml:space="preserve"> </w:t>
      </w:r>
      <w:r>
        <w:t>státu,</w:t>
      </w:r>
      <w:r>
        <w:rPr>
          <w:spacing w:val="15"/>
        </w:rPr>
        <w:t xml:space="preserve"> </w:t>
      </w:r>
      <w:r>
        <w:t>poukáže</w:t>
      </w:r>
      <w:r>
        <w:rPr>
          <w:spacing w:val="15"/>
        </w:rPr>
        <w:t xml:space="preserve"> </w:t>
      </w:r>
      <w:r>
        <w:t>GA</w:t>
      </w:r>
      <w:r>
        <w:rPr>
          <w:spacing w:val="15"/>
        </w:rPr>
        <w:t xml:space="preserve"> </w:t>
      </w:r>
      <w:r>
        <w:t>ČR</w:t>
      </w:r>
      <w:r>
        <w:rPr>
          <w:spacing w:val="15"/>
        </w:rPr>
        <w:t xml:space="preserve"> </w:t>
      </w:r>
      <w:r>
        <w:t>finanční</w:t>
      </w:r>
      <w:r>
        <w:rPr>
          <w:spacing w:val="15"/>
        </w:rPr>
        <w:t xml:space="preserve"> </w:t>
      </w:r>
      <w:r>
        <w:t>prostředky rozpočtovým opatřením a částka převedená Příjemci bude snížena o tuto část.</w:t>
      </w:r>
    </w:p>
    <w:p w:rsidR="007E1A4F" w:rsidRDefault="007E1A4F" w:rsidP="007E1A4F">
      <w:pPr>
        <w:kinsoku w:val="0"/>
        <w:overflowPunct w:val="0"/>
        <w:spacing w:before="2" w:line="170" w:lineRule="exact"/>
        <w:rPr>
          <w:sz w:val="17"/>
          <w:szCs w:val="17"/>
        </w:rPr>
      </w:pPr>
    </w:p>
    <w:tbl>
      <w:tblPr>
        <w:tblW w:w="10271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2311"/>
        <w:gridCol w:w="819"/>
        <w:gridCol w:w="4781"/>
        <w:gridCol w:w="27"/>
        <w:gridCol w:w="592"/>
        <w:gridCol w:w="120"/>
        <w:gridCol w:w="1515"/>
        <w:gridCol w:w="41"/>
      </w:tblGrid>
      <w:tr w:rsidR="007E1A4F" w:rsidTr="007E1A4F">
        <w:trPr>
          <w:gridAfter w:val="1"/>
          <w:wAfter w:w="41" w:type="dxa"/>
          <w:trHeight w:hRule="exact" w:val="346"/>
        </w:trPr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23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České vysoké učení technické v Praze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66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68407700</w:t>
            </w:r>
          </w:p>
        </w:tc>
      </w:tr>
      <w:tr w:rsidR="007E1A4F" w:rsidTr="007E1A4F">
        <w:trPr>
          <w:gridAfter w:val="1"/>
          <w:wAfter w:w="41" w:type="dxa"/>
          <w:trHeight w:hRule="exact" w:val="338"/>
        </w:trPr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7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F22806">
            <w:pPr>
              <w:pStyle w:val="TableParagraph"/>
              <w:kinsoku w:val="0"/>
              <w:overflowPunct w:val="0"/>
              <w:spacing w:before="58"/>
              <w:ind w:left="15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xxxxxxxxxxxxxxxxxx</w:t>
            </w:r>
            <w:proofErr w:type="spellEnd"/>
          </w:p>
        </w:tc>
      </w:tr>
      <w:tr w:rsidR="007E1A4F" w:rsidTr="007E1A4F">
        <w:trPr>
          <w:gridAfter w:val="1"/>
          <w:wAfter w:w="41" w:type="dxa"/>
          <w:trHeight w:hRule="exact" w:val="339"/>
        </w:trPr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207 000 Kč</w:t>
            </w:r>
          </w:p>
        </w:tc>
      </w:tr>
      <w:tr w:rsidR="007E1A4F" w:rsidTr="007E1A4F">
        <w:trPr>
          <w:gridAfter w:val="1"/>
          <w:wAfter w:w="41" w:type="dxa"/>
          <w:trHeight w:hRule="exact" w:val="339"/>
        </w:trPr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E1A4F" w:rsidTr="007E1A4F">
        <w:trPr>
          <w:gridAfter w:val="1"/>
          <w:wAfter w:w="41" w:type="dxa"/>
          <w:trHeight w:hRule="exact" w:val="338"/>
        </w:trPr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477 000 Kč</w:t>
            </w:r>
          </w:p>
        </w:tc>
      </w:tr>
      <w:tr w:rsidR="007E1A4F" w:rsidTr="007E1A4F">
        <w:trPr>
          <w:gridAfter w:val="1"/>
          <w:wAfter w:w="41" w:type="dxa"/>
          <w:trHeight w:hRule="exact" w:val="285"/>
        </w:trPr>
        <w:tc>
          <w:tcPr>
            <w:tcW w:w="797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1A4F" w:rsidRDefault="007E1A4F"/>
        </w:tc>
        <w:tc>
          <w:tcPr>
            <w:tcW w:w="22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1A4F" w:rsidRDefault="007E1A4F"/>
        </w:tc>
      </w:tr>
      <w:tr w:rsidR="007E1A4F" w:rsidTr="007E1A4F">
        <w:trPr>
          <w:gridBefore w:val="1"/>
          <w:wBefore w:w="65" w:type="dxa"/>
          <w:trHeight w:hRule="exact" w:val="315"/>
        </w:trPr>
        <w:tc>
          <w:tcPr>
            <w:tcW w:w="793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43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43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684 000 Kč</w:t>
            </w:r>
          </w:p>
        </w:tc>
      </w:tr>
      <w:tr w:rsidR="007E1A4F" w:rsidTr="007E1A4F">
        <w:trPr>
          <w:gridBefore w:val="1"/>
          <w:wBefore w:w="65" w:type="dxa"/>
          <w:trHeight w:hRule="exact" w:val="338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597 000 Kč</w:t>
            </w:r>
          </w:p>
        </w:tc>
      </w:tr>
      <w:tr w:rsidR="007E1A4F" w:rsidTr="007E1A4F">
        <w:trPr>
          <w:gridBefore w:val="1"/>
          <w:wBefore w:w="65" w:type="dxa"/>
          <w:trHeight w:hRule="exact" w:val="339"/>
        </w:trPr>
        <w:tc>
          <w:tcPr>
            <w:tcW w:w="3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Spolupříjemce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Masarykova univerzita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-16"/>
            </w:pPr>
            <w:r>
              <w:rPr>
                <w:rFonts w:ascii="Arial" w:hAnsi="Arial" w:cs="Arial"/>
                <w:sz w:val="20"/>
                <w:szCs w:val="20"/>
              </w:rPr>
              <w:t xml:space="preserve"> IČO: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00216224</w:t>
            </w:r>
          </w:p>
        </w:tc>
      </w:tr>
      <w:tr w:rsidR="007E1A4F" w:rsidTr="007E1A4F">
        <w:trPr>
          <w:gridBefore w:val="1"/>
          <w:wBefore w:w="65" w:type="dxa"/>
          <w:trHeight w:hRule="exact" w:val="338"/>
        </w:trPr>
        <w:tc>
          <w:tcPr>
            <w:tcW w:w="3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Spoluřešitel:</w:t>
            </w:r>
          </w:p>
        </w:tc>
        <w:tc>
          <w:tcPr>
            <w:tcW w:w="70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F22806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xxxxxxxxxxxxxxxxxxxxxxxx</w:t>
            </w:r>
            <w:bookmarkStart w:id="0" w:name="_GoBack"/>
            <w:bookmarkEnd w:id="0"/>
          </w:p>
        </w:tc>
      </w:tr>
      <w:tr w:rsidR="007E1A4F" w:rsidTr="007E1A4F">
        <w:trPr>
          <w:gridBefore w:val="1"/>
          <w:wBefore w:w="65" w:type="dxa"/>
          <w:trHeight w:hRule="exact" w:val="338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Věcné náklady: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199 000 Kč</w:t>
            </w:r>
          </w:p>
        </w:tc>
      </w:tr>
      <w:tr w:rsidR="007E1A4F" w:rsidTr="007E1A4F">
        <w:trPr>
          <w:gridBefore w:val="1"/>
          <w:wBefore w:w="65" w:type="dxa"/>
          <w:trHeight w:hRule="exact" w:val="339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Investiční náklady: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E1A4F" w:rsidTr="007E1A4F">
        <w:trPr>
          <w:gridBefore w:val="1"/>
          <w:wBefore w:w="65" w:type="dxa"/>
          <w:trHeight w:hRule="exact" w:val="338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sz w:val="20"/>
                <w:szCs w:val="20"/>
              </w:rPr>
              <w:t>Osobní náklady: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497 000 Kč</w:t>
            </w:r>
          </w:p>
        </w:tc>
      </w:tr>
      <w:tr w:rsidR="007E1A4F" w:rsidTr="007E1A4F">
        <w:trPr>
          <w:gridBefore w:val="1"/>
          <w:wBefore w:w="65" w:type="dxa"/>
          <w:trHeight w:hRule="exact" w:val="338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náklady na daný rok řešení Projektu: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696 000 Kč</w:t>
            </w:r>
          </w:p>
        </w:tc>
      </w:tr>
      <w:tr w:rsidR="007E1A4F" w:rsidTr="007E1A4F">
        <w:trPr>
          <w:gridBefore w:val="1"/>
          <w:wBefore w:w="65" w:type="dxa"/>
          <w:trHeight w:hRule="exact" w:val="346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2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Dotace Poskytovatele na daný rok řešení Projektu</w:t>
            </w:r>
            <w:r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4F" w:rsidRDefault="007E1A4F">
            <w:pPr>
              <w:pStyle w:val="TableParagraph"/>
              <w:kinsoku w:val="0"/>
              <w:overflowPunct w:val="0"/>
              <w:spacing w:before="58"/>
              <w:ind w:left="15"/>
            </w:pPr>
            <w:r>
              <w:rPr>
                <w:rFonts w:ascii="Arial" w:hAnsi="Arial" w:cs="Arial"/>
                <w:sz w:val="20"/>
                <w:szCs w:val="20"/>
              </w:rPr>
              <w:t>598 000 Kč</w:t>
            </w:r>
          </w:p>
        </w:tc>
      </w:tr>
    </w:tbl>
    <w:p w:rsidR="007E1A4F" w:rsidRDefault="007E1A4F" w:rsidP="007E1A4F">
      <w:pPr>
        <w:pStyle w:val="Zkladntext"/>
        <w:kinsoku w:val="0"/>
        <w:overflowPunct w:val="0"/>
      </w:pPr>
      <w:r>
        <w:t>Konec Přílohy č. 1</w:t>
      </w:r>
    </w:p>
    <w:p w:rsidR="00444E37" w:rsidRPr="00131C10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444E37" w:rsidRPr="00131C10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444E37" w:rsidRPr="00131C10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444E37" w:rsidRPr="00131C10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44E37" w:rsidRDefault="00444E3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84487" w:rsidRPr="00534A0B" w:rsidRDefault="00784487" w:rsidP="007A2BA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Příloha č. 2 - </w:t>
      </w:r>
      <w:r w:rsidRPr="00485D08">
        <w:rPr>
          <w:rFonts w:ascii="Times New Roman" w:hAnsi="Times New Roman" w:cs="Times New Roman"/>
          <w:sz w:val="24"/>
          <w:szCs w:val="24"/>
        </w:rPr>
        <w:t>Platné znění odstavců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08">
        <w:rPr>
          <w:rFonts w:ascii="Times New Roman" w:hAnsi="Times New Roman" w:cs="Times New Roman"/>
          <w:sz w:val="24"/>
          <w:szCs w:val="24"/>
        </w:rPr>
        <w:t xml:space="preserve">2, 6, 7, 10 a 11 článku 3. Podmínky pro nakládání s účelovou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D08">
        <w:rPr>
          <w:rFonts w:ascii="Times New Roman" w:hAnsi="Times New Roman" w:cs="Times New Roman"/>
          <w:sz w:val="24"/>
          <w:szCs w:val="24"/>
        </w:rPr>
        <w:t>podporou Přílohy 4 příslušné Zadávací dokumentace</w:t>
      </w: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7A2BA2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 xml:space="preserve">Odstavce 2, 6, 7, 10 a 11 článku </w:t>
      </w:r>
      <w:r w:rsidRPr="007A2BA2">
        <w:rPr>
          <w:rFonts w:ascii="Times New Roman" w:hAnsi="Times New Roman" w:cs="Times New Roman"/>
          <w:bCs/>
          <w:sz w:val="24"/>
          <w:szCs w:val="24"/>
        </w:rPr>
        <w:t>3. Podmínky pro nakládání s účelovou podporou</w:t>
      </w:r>
      <w:r w:rsidRPr="007A2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Přílohy 4 příslušné Zadávací dokumentace, nově zní:</w:t>
      </w:r>
    </w:p>
    <w:p w:rsidR="007A2BA2" w:rsidRPr="007A2BA2" w:rsidRDefault="007A2BA2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„(2) Při čerpání účelové podpory je nutné dodržet základní skladbu prostředků uvedenou ve smlouvě či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rozhodnutí. Jestliže se schválený rozpočet grantového projektu svou skladbou nebo výší liší od částek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požadovaných v návrhu projektu (resp. upřesněných v příslušné dílčí zprávě), zašle poskytovatel spolu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smlouvou (resp. s dodatkem ke smlouvě či s novým rozhodnutím) schválený upravený rozpis, který je potom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příjemce závazný. Není-li v této zadávací dokumentaci uvedeno jinak, čerpání podpory a jeho skladba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 xml:space="preserve">v souladu 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A2BA2">
        <w:rPr>
          <w:rFonts w:ascii="Times New Roman" w:hAnsi="Times New Roman" w:cs="Times New Roman"/>
          <w:sz w:val="24"/>
          <w:szCs w:val="24"/>
        </w:rPr>
        <w:t>yhláškou č. 367/2015 Sb., o zásadách a lhůtách finančního vypořádání vztahů se státním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rozpočtem, státními finančními aktivy a Národním fondem (vyhláška o finančním vypořádání), kterou se stanoví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zásady a termíny finančního vypořádání vztahů se státním rozpočtem, státními finančními aktivy a Národním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fondem, závazná s přesností na dvě desetinná místa (0,01 Kč) bez ohledu na přesnost údajů uváděných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BA2">
        <w:rPr>
          <w:rFonts w:ascii="Times New Roman" w:hAnsi="Times New Roman" w:cs="Times New Roman"/>
          <w:sz w:val="24"/>
          <w:szCs w:val="24"/>
        </w:rPr>
        <w:t>dílčí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či závěrečné zprávě.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(6) Příjemce předkládá poskytovateli každoročně v dílčích, resp. v závěrečných zprávách podrobný přehled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využití uznaných nákladů a poskytnuté účelové podpory a o výši nespotřebované poskytnuté účelové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převedené do dalších let řešení, včetně výše prostředků příjemcem převedených do fondu účelově určených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prostředků účetně vytvořeného v souladu se zákonem o vysokých školách nebo zákonem o veřejných</w:t>
      </w:r>
    </w:p>
    <w:p w:rsidR="00784487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výzkumných institucích, vyjma posledního roku řešení, kdy je nutno vyúčtovat veškeré finanční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přidělené na řešení daného grantového projektu. Uvádějí se přitom údaje o čerpání prostředků příjemce i dalšího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účastníka. Případné změny v průběhu roku musí být v pravidelných dílčích zprávách odůvodněny.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(7) Příjemce je povinen v souladu se zvláštními právními předpisy zaslat poskytovateli podle jeho pokynů podklad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pro finanční vypořádání dotací poskytnutých příjemci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poskytovatele. Tyto informace poskytovatel zpracovává a předává Ministerstvu financí pro zúčtování účelové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podpory se státním rozpočtem.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(10) Je-li příjemce na základě zvláštních právních předpisů oprávněn tvořit fond účelově určených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anebo využije-li možnosti převodu nespotřebovaných prostředků do dalších let, je povinen tyto prostředky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vyčerpat a zúčtovat nejpozději k poslednímu dni posledního kalendářního roku řešení Projektu.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(11) Skončilo-li účtování v oddělené analytické evidenci vedené k danému grantovému projektu k poslednímu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roku, kdy bylo ukončeno financování projektu, přebytkem, tj. nebyly-li vyčerpány všechny prostředky poskytnuté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příjemci nebo dalšímu účastníkovi řešení projektu, je příjemce povinen o tomto informovat poskytovatele a vrátit</w:t>
      </w:r>
    </w:p>
    <w:p w:rsidR="00784487" w:rsidRPr="007A2BA2" w:rsidRDefault="00784487" w:rsidP="007A2BA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nevyčerpané prostředky za grantový projekt jako celek (včetně všech dalších účastníků) do státního rozpočtu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takto (současně je nezbytné písemně oznámit platbu podle dispozic uvedených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poskytovatele, na adrese http://www.gacr.cz):</w:t>
      </w:r>
    </w:p>
    <w:p w:rsidR="007A2BA2" w:rsidRDefault="00784487" w:rsidP="007A2BA2">
      <w:pPr>
        <w:pStyle w:val="Odstavecseseznamem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BA2">
        <w:rPr>
          <w:rFonts w:ascii="Times New Roman" w:hAnsi="Times New Roman" w:cs="Times New Roman"/>
          <w:sz w:val="24"/>
          <w:szCs w:val="24"/>
        </w:rPr>
        <w:t>příjemce, který je organizační složkou státu nebo územně samosprávného celku, vrací nespotřebovanou</w:t>
      </w:r>
      <w:r w:rsidR="007A2BA2" w:rsidRPr="007A2BA2">
        <w:rPr>
          <w:rFonts w:ascii="Times New Roman" w:hAnsi="Times New Roman" w:cs="Times New Roman"/>
          <w:sz w:val="24"/>
          <w:szCs w:val="24"/>
        </w:rPr>
        <w:t xml:space="preserve"> </w:t>
      </w:r>
      <w:r w:rsidRPr="007A2BA2">
        <w:rPr>
          <w:rFonts w:ascii="Times New Roman" w:hAnsi="Times New Roman" w:cs="Times New Roman"/>
          <w:sz w:val="24"/>
          <w:szCs w:val="24"/>
        </w:rPr>
        <w:t>účelovou podporu na příjmový účet svého zřizovatele;</w:t>
      </w:r>
    </w:p>
    <w:p w:rsidR="0099092B" w:rsidRPr="007A2BA2" w:rsidRDefault="00784487" w:rsidP="006F667C">
      <w:pPr>
        <w:pStyle w:val="Odstavecseseznamem"/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667C">
        <w:rPr>
          <w:rFonts w:ascii="Times New Roman" w:hAnsi="Times New Roman" w:cs="Times New Roman"/>
          <w:sz w:val="24"/>
          <w:szCs w:val="24"/>
        </w:rPr>
        <w:t>ostatní příjemci vrací nespotřebované prostředky na účet uvedený na webových stránkách GA ČR, na</w:t>
      </w:r>
      <w:r w:rsidR="007A2BA2" w:rsidRPr="006F667C">
        <w:rPr>
          <w:rFonts w:ascii="Times New Roman" w:hAnsi="Times New Roman" w:cs="Times New Roman"/>
          <w:sz w:val="24"/>
          <w:szCs w:val="24"/>
        </w:rPr>
        <w:t xml:space="preserve"> </w:t>
      </w:r>
      <w:r w:rsidRPr="006F667C">
        <w:rPr>
          <w:rFonts w:ascii="Times New Roman" w:hAnsi="Times New Roman" w:cs="Times New Roman"/>
          <w:sz w:val="24"/>
          <w:szCs w:val="24"/>
        </w:rPr>
        <w:t>adrese http://www.gacr.cz“</w:t>
      </w:r>
    </w:p>
    <w:sectPr w:rsidR="0099092B" w:rsidRPr="007A2B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E0" w:rsidRDefault="004E36E0" w:rsidP="00B50F42">
      <w:r>
        <w:separator/>
      </w:r>
    </w:p>
  </w:endnote>
  <w:endnote w:type="continuationSeparator" w:id="0">
    <w:p w:rsidR="004E36E0" w:rsidRDefault="004E36E0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F22806">
      <w:rPr>
        <w:noProof/>
        <w:sz w:val="16"/>
        <w:szCs w:val="16"/>
      </w:rPr>
      <w:t>1</w:t>
    </w:r>
    <w:r w:rsidRPr="00B50F42">
      <w:rPr>
        <w:sz w:val="16"/>
        <w:szCs w:val="16"/>
      </w:rPr>
      <w:fldChar w:fldCharType="end"/>
    </w:r>
  </w:p>
  <w:p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E0" w:rsidRDefault="004E36E0" w:rsidP="00B50F42">
      <w:r>
        <w:separator/>
      </w:r>
    </w:p>
  </w:footnote>
  <w:footnote w:type="continuationSeparator" w:id="0">
    <w:p w:rsidR="004E36E0" w:rsidRDefault="004E36E0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C0A06282"/>
    <w:lvl w:ilvl="0" w:tplc="B96A8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7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0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11A3F"/>
    <w:rsid w:val="00027E32"/>
    <w:rsid w:val="0006133F"/>
    <w:rsid w:val="000A4299"/>
    <w:rsid w:val="000A70D8"/>
    <w:rsid w:val="00121EEF"/>
    <w:rsid w:val="00131C10"/>
    <w:rsid w:val="001372FF"/>
    <w:rsid w:val="0017759A"/>
    <w:rsid w:val="0018133E"/>
    <w:rsid w:val="001946B6"/>
    <w:rsid w:val="001C25B0"/>
    <w:rsid w:val="001D0425"/>
    <w:rsid w:val="001E264B"/>
    <w:rsid w:val="002660CC"/>
    <w:rsid w:val="00267C6E"/>
    <w:rsid w:val="002E6CAB"/>
    <w:rsid w:val="002F5971"/>
    <w:rsid w:val="00305285"/>
    <w:rsid w:val="003831D3"/>
    <w:rsid w:val="00391D33"/>
    <w:rsid w:val="003941E3"/>
    <w:rsid w:val="003D6653"/>
    <w:rsid w:val="00400E7E"/>
    <w:rsid w:val="00444E37"/>
    <w:rsid w:val="0045185E"/>
    <w:rsid w:val="00452A2E"/>
    <w:rsid w:val="00452E10"/>
    <w:rsid w:val="0049035A"/>
    <w:rsid w:val="004913E4"/>
    <w:rsid w:val="00494397"/>
    <w:rsid w:val="00495FFA"/>
    <w:rsid w:val="0049762A"/>
    <w:rsid w:val="004B16A6"/>
    <w:rsid w:val="004C40B6"/>
    <w:rsid w:val="004E0EFA"/>
    <w:rsid w:val="004E36E0"/>
    <w:rsid w:val="004E78D5"/>
    <w:rsid w:val="00521128"/>
    <w:rsid w:val="00532915"/>
    <w:rsid w:val="00534A0B"/>
    <w:rsid w:val="005B5DBD"/>
    <w:rsid w:val="005C0F10"/>
    <w:rsid w:val="005F70BB"/>
    <w:rsid w:val="006026D8"/>
    <w:rsid w:val="006117BD"/>
    <w:rsid w:val="00624681"/>
    <w:rsid w:val="00643907"/>
    <w:rsid w:val="00671787"/>
    <w:rsid w:val="006A3203"/>
    <w:rsid w:val="006D046D"/>
    <w:rsid w:val="006E0768"/>
    <w:rsid w:val="006E2980"/>
    <w:rsid w:val="006F667C"/>
    <w:rsid w:val="0073097E"/>
    <w:rsid w:val="00757E85"/>
    <w:rsid w:val="00784487"/>
    <w:rsid w:val="007A1A51"/>
    <w:rsid w:val="007A2BA2"/>
    <w:rsid w:val="007A54DC"/>
    <w:rsid w:val="007C22F4"/>
    <w:rsid w:val="007E1A4F"/>
    <w:rsid w:val="007E6BCF"/>
    <w:rsid w:val="007F0F65"/>
    <w:rsid w:val="00831786"/>
    <w:rsid w:val="0085420A"/>
    <w:rsid w:val="00855B82"/>
    <w:rsid w:val="0085727F"/>
    <w:rsid w:val="0086468A"/>
    <w:rsid w:val="00882180"/>
    <w:rsid w:val="008B2565"/>
    <w:rsid w:val="008F6EE2"/>
    <w:rsid w:val="00905EFA"/>
    <w:rsid w:val="00942A01"/>
    <w:rsid w:val="00951C84"/>
    <w:rsid w:val="009626AD"/>
    <w:rsid w:val="009732D2"/>
    <w:rsid w:val="0099092B"/>
    <w:rsid w:val="00995C46"/>
    <w:rsid w:val="009B78D3"/>
    <w:rsid w:val="00A109E0"/>
    <w:rsid w:val="00A10AEC"/>
    <w:rsid w:val="00A12C38"/>
    <w:rsid w:val="00A352DD"/>
    <w:rsid w:val="00AC5F48"/>
    <w:rsid w:val="00AC6296"/>
    <w:rsid w:val="00AD41A1"/>
    <w:rsid w:val="00AD51FA"/>
    <w:rsid w:val="00B103AA"/>
    <w:rsid w:val="00B22D50"/>
    <w:rsid w:val="00B406B5"/>
    <w:rsid w:val="00B50F42"/>
    <w:rsid w:val="00B655A5"/>
    <w:rsid w:val="00BC5C1D"/>
    <w:rsid w:val="00C11044"/>
    <w:rsid w:val="00C2414D"/>
    <w:rsid w:val="00C241C6"/>
    <w:rsid w:val="00C255C1"/>
    <w:rsid w:val="00C35329"/>
    <w:rsid w:val="00C4775C"/>
    <w:rsid w:val="00C86EEF"/>
    <w:rsid w:val="00CB6627"/>
    <w:rsid w:val="00CC75F6"/>
    <w:rsid w:val="00D16A0A"/>
    <w:rsid w:val="00D845D6"/>
    <w:rsid w:val="00DA7CFE"/>
    <w:rsid w:val="00DD1F60"/>
    <w:rsid w:val="00E02785"/>
    <w:rsid w:val="00E86BA2"/>
    <w:rsid w:val="00E90E42"/>
    <w:rsid w:val="00EE07A4"/>
    <w:rsid w:val="00F22806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44E37"/>
    <w:pPr>
      <w:widowControl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44E37"/>
    <w:pPr>
      <w:widowControl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1694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3</cp:revision>
  <dcterms:created xsi:type="dcterms:W3CDTF">2018-05-14T07:56:00Z</dcterms:created>
  <dcterms:modified xsi:type="dcterms:W3CDTF">2018-05-14T07:58:00Z</dcterms:modified>
</cp:coreProperties>
</file>