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DC" w:rsidRDefault="009E3907">
      <w:pPr>
        <w:spacing w:after="171" w:line="259" w:lineRule="auto"/>
        <w:ind w:left="87" w:right="0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CR</w:t>
      </w:r>
    </w:p>
    <w:p w:rsidR="006C27DC" w:rsidRDefault="009E3907">
      <w:pPr>
        <w:pStyle w:val="Nadpis1"/>
      </w:pPr>
      <w:r>
        <w:t>OBJEDNÁVKA</w:t>
      </w:r>
    </w:p>
    <w:p w:rsidR="006C27DC" w:rsidRDefault="009E3907">
      <w:pPr>
        <w:spacing w:after="87" w:line="259" w:lineRule="auto"/>
        <w:jc w:val="center"/>
      </w:pPr>
      <w:r>
        <w:t>číslo objednávky: 29ZA-001812</w:t>
      </w:r>
    </w:p>
    <w:tbl>
      <w:tblPr>
        <w:tblStyle w:val="TableGrid"/>
        <w:tblW w:w="8863" w:type="dxa"/>
        <w:tblInd w:w="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3961"/>
      </w:tblGrid>
      <w:tr w:rsidR="006C27DC">
        <w:trPr>
          <w:trHeight w:val="335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9" w:right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6C27DC">
        <w:trPr>
          <w:trHeight w:val="358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t>Ředitelství silnic a dálnic ČR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9" w:right="0"/>
              <w:jc w:val="left"/>
            </w:pPr>
            <w:r>
              <w:t>Obchodní jméno: Ing. Jiří Janík</w:t>
            </w:r>
          </w:p>
        </w:tc>
      </w:tr>
      <w:tr w:rsidR="006C27DC">
        <w:trPr>
          <w:trHeight w:val="299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right="0"/>
              <w:jc w:val="left"/>
            </w:pPr>
            <w:r>
              <w:t>Na Pankráci 546/56, 14000 Praha 4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9" w:right="0"/>
            </w:pPr>
            <w:r>
              <w:t>Adresa: Štouračova 913/21, 635 OO Brno</w:t>
            </w:r>
          </w:p>
        </w:tc>
      </w:tr>
      <w:tr w:rsidR="006C27DC">
        <w:trPr>
          <w:trHeight w:val="312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t>Bankovní spojení: ČNB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29" w:right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>1čo:75826631</w:t>
            </w:r>
          </w:p>
        </w:tc>
      </w:tr>
      <w:tr w:rsidR="006C27DC">
        <w:trPr>
          <w:trHeight w:val="290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B404D9">
            <w:pPr>
              <w:spacing w:after="0" w:line="259" w:lineRule="auto"/>
              <w:ind w:left="10" w:right="0"/>
              <w:jc w:val="left"/>
            </w:pPr>
            <w:r w:rsidRPr="00B404D9">
              <w:rPr>
                <w:rFonts w:ascii="Calibri" w:eastAsia="Calibri" w:hAnsi="Calibri" w:cs="Calibri"/>
                <w:highlight w:val="black"/>
              </w:rPr>
              <w:t>xxxxxxxxxxxxxxxxxxxxxxxxxxxx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DIČ: (28004244479</w:t>
            </w:r>
          </w:p>
        </w:tc>
      </w:tr>
      <w:tr w:rsidR="006C27DC">
        <w:trPr>
          <w:trHeight w:val="549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>
            <w:pPr>
              <w:spacing w:after="14" w:line="259" w:lineRule="auto"/>
              <w:ind w:right="0"/>
              <w:jc w:val="left"/>
            </w:pPr>
            <w:r>
              <w:t>IČO: 65993390</w:t>
            </w:r>
          </w:p>
          <w:p w:rsidR="006C27DC" w:rsidRDefault="009E3907">
            <w:pPr>
              <w:tabs>
                <w:tab w:val="center" w:pos="2495"/>
              </w:tabs>
              <w:spacing w:after="0" w:line="259" w:lineRule="auto"/>
              <w:ind w:right="0"/>
              <w:jc w:val="left"/>
            </w:pPr>
            <w:r>
              <w:t>DIČ: CZ65993390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313" cy="12200"/>
                  <wp:effectExtent l="0" t="0" r="0" b="0"/>
                  <wp:docPr id="1849" name="Picture 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 1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" cy="1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9E3907" w:rsidP="00B404D9">
            <w:pPr>
              <w:spacing w:after="0" w:line="259" w:lineRule="auto"/>
              <w:ind w:right="0"/>
              <w:jc w:val="left"/>
            </w:pPr>
            <w:r>
              <w:t xml:space="preserve">Kontaktní osoba: </w:t>
            </w:r>
            <w:r w:rsidR="00B404D9" w:rsidRPr="00B404D9">
              <w:rPr>
                <w:highlight w:val="black"/>
              </w:rPr>
              <w:t>yxxxxxxxxxxxxxxxxx</w:t>
            </w:r>
          </w:p>
        </w:tc>
      </w:tr>
    </w:tbl>
    <w:p w:rsidR="006C27DC" w:rsidRDefault="009E3907">
      <w:pPr>
        <w:spacing w:after="138"/>
        <w:ind w:left="58" w:right="158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t>azuje zaplatit za služby poskytnuté v souladu s touto objednávkou cenu uvedenou níže.</w:t>
      </w:r>
    </w:p>
    <w:p w:rsidR="006C27DC" w:rsidRDefault="009E3907">
      <w:pPr>
        <w:spacing w:after="167"/>
        <w:ind w:left="58" w:right="158"/>
      </w:pPr>
      <w:r>
        <w:t>Místo dodání: ŘSD ČR, ssŮD 7, Bratislavská 867, 691 45 Podivín</w:t>
      </w:r>
    </w:p>
    <w:p w:rsidR="006C27DC" w:rsidRDefault="009E3907">
      <w:pPr>
        <w:spacing w:after="145"/>
        <w:ind w:left="48" w:right="158"/>
      </w:pPr>
      <w:r>
        <w:t xml:space="preserve">Kontaktní osoba Objednatele: </w:t>
      </w:r>
      <w:r w:rsidR="00B404D9" w:rsidRPr="00B404D9">
        <w:rPr>
          <w:highlight w:val="black"/>
        </w:rPr>
        <w:t>xxxxxxxxxxxxxxxxxxxx</w:t>
      </w:r>
      <w:r>
        <w:t xml:space="preserve"> SSŮD 7 Podivín</w:t>
      </w:r>
    </w:p>
    <w:p w:rsidR="006C27DC" w:rsidRDefault="009E3907">
      <w:pPr>
        <w:spacing w:after="149"/>
        <w:ind w:left="58" w:right="158"/>
      </w:pPr>
      <w:r>
        <w:t>Fakturujte: Ředitelství silnic a d</w:t>
      </w:r>
      <w:r>
        <w:t>álnic ČR, Na Pankráci 56, 140 OO Praha 4</w:t>
      </w:r>
    </w:p>
    <w:p w:rsidR="006C27DC" w:rsidRDefault="009E3907">
      <w:pPr>
        <w:spacing w:after="953"/>
        <w:ind w:right="158"/>
      </w:pPr>
      <w:r>
        <w:t>Obchodní a platební podmínky: Objednatel uhradí cenu jednorázovým bankovním převodem na účet Dodavatele uvedený na faktuře, termín splatnosti je stanoven na 30 dnů ode dne doručení faktury Objednateli. Fakturu lze p</w:t>
      </w:r>
      <w:r>
        <w:t>ředložit nejdříve po protokolárním převzetí služeb Objednatelem bez vad či nedodělků. Faktura musí obsahovat veškeré náležitosti stanovené platnými právními předpisy, číslo objednávky a místo dodání. Objednatel neposkytuje žádné zálohy na cenu, ani dílčí p</w:t>
      </w:r>
      <w:r>
        <w:t>latby ceny. Potvrzením přijetí (akceptací) této objednávky se Dodavatel zavazuje plnit veškeré povinnosti v této objednávce uvedené. Objednatel výslovně vylučuje akceptaci objednávky Dodavatelem s jakýmikoliv změnami jejího obsahu, k takovému právnímu jedn</w:t>
      </w:r>
      <w:r>
        <w:t>ání Dodavatele se nepřihlíží. Dodavatel poskytuje souhlas s uveřejněním objednávky a jejího potvrzení v registru smluv zřízeným zákonem č. 340/2015 Sb., o zvláštních podmínkách účinnosti některých smluv, uveřejňování těchto smluv a o registru smluv, ve zně</w:t>
      </w:r>
      <w:r>
        <w:t>ní pozdějších předpisů (dále jako „zákon o registru smluv”), Objednatelem. Objednávka je účinná okamžikem zveřejnění v registru smluv, přičemž Objednatel o této skutečnosti Dodavatele informuje. Objednatel je oprávněn kdykoliv po uzavření objednávky tuto o</w:t>
      </w:r>
      <w:r>
        <w:t>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6C27DC" w:rsidRDefault="009E3907">
      <w:pPr>
        <w:spacing w:after="0" w:line="259" w:lineRule="auto"/>
        <w:ind w:right="211"/>
        <w:jc w:val="center"/>
      </w:pPr>
      <w:r>
        <w:rPr>
          <w:sz w:val="16"/>
        </w:rPr>
        <w:t>Stránka z 2</w:t>
      </w:r>
    </w:p>
    <w:p w:rsidR="006C27DC" w:rsidRDefault="009E3907">
      <w:pPr>
        <w:spacing w:after="131" w:line="259" w:lineRule="auto"/>
        <w:ind w:left="235" w:right="0" w:hanging="10"/>
        <w:jc w:val="left"/>
      </w:pPr>
      <w:r>
        <w:rPr>
          <w:sz w:val="26"/>
        </w:rPr>
        <w:t>Objednáváme u Vás:</w:t>
      </w:r>
    </w:p>
    <w:p w:rsidR="006C27DC" w:rsidRDefault="009E3907">
      <w:pPr>
        <w:spacing w:after="131" w:line="259" w:lineRule="auto"/>
        <w:ind w:left="235" w:right="0" w:hanging="10"/>
        <w:jc w:val="left"/>
      </w:pPr>
      <w:r>
        <w:rPr>
          <w:sz w:val="26"/>
        </w:rPr>
        <w:t>„Projektová dokumentace pro akce SSÚD 7”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016" name="Picture 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DC" w:rsidRDefault="009E3907">
      <w:pPr>
        <w:spacing w:after="131" w:line="259" w:lineRule="auto"/>
        <w:ind w:left="235" w:right="0" w:hanging="10"/>
        <w:jc w:val="left"/>
      </w:pPr>
      <w:r>
        <w:rPr>
          <w:sz w:val="26"/>
        </w:rPr>
        <w:t>Lhůta pro dodání či termín dodání: Plnění dodejte ve lhůtě do 31. 12. 2018.</w:t>
      </w:r>
    </w:p>
    <w:p w:rsidR="006C27DC" w:rsidRDefault="009E3907">
      <w:pPr>
        <w:spacing w:after="131" w:line="259" w:lineRule="auto"/>
        <w:ind w:left="235" w:right="0" w:hanging="10"/>
        <w:jc w:val="left"/>
      </w:pPr>
      <w:r>
        <w:rPr>
          <w:sz w:val="26"/>
        </w:rPr>
        <w:lastRenderedPageBreak/>
        <w:t>Celková hodnota objednávky v Kč bez DPH / s DPH: 188 400,-Kč / 227 964,- Kč</w:t>
      </w:r>
    </w:p>
    <w:p w:rsidR="006C27DC" w:rsidRDefault="009E3907">
      <w:pPr>
        <w:spacing w:after="135"/>
        <w:ind w:left="216" w:right="0"/>
      </w:pPr>
      <w:r>
        <w:t>V případě akceptace objednávky Objednatele Dodavatel objednáv</w:t>
      </w:r>
      <w:r>
        <w:t xml:space="preserve">ku písemně potvrdí prostřednictvím e-mailu zaslaného do e-mailové schránky Objednatele </w:t>
      </w:r>
      <w:r w:rsidR="00B404D9" w:rsidRPr="00B404D9">
        <w:rPr>
          <w:highlight w:val="black"/>
        </w:rPr>
        <w:t>xxxxxxxxxxxxxxxxxxxxxxxxxxx</w:t>
      </w:r>
      <w:r w:rsidRPr="00B404D9">
        <w:rPr>
          <w:highlight w:val="black"/>
        </w:rPr>
        <w:t>.</w:t>
      </w:r>
      <w:r>
        <w:t xml:space="preserve"> V případě nepotvrzení akceptace objednávky Objednatele Dodavatelem ve lhůtě 3 pracovních dnů ode dne odeslání objednávky Objednatelem platí, že D</w:t>
      </w:r>
      <w:r>
        <w:t>odavatel objednávku neakceptoval a objednávka je bez dalšího zneplatněna.</w:t>
      </w:r>
    </w:p>
    <w:p w:rsidR="006C27DC" w:rsidRDefault="009E3907">
      <w:pPr>
        <w:spacing w:after="146"/>
        <w:ind w:left="216" w:right="158"/>
      </w:pPr>
      <w:r>
        <w:t>Nedílnou součástí této objednávky jsou následující přílohy:</w:t>
      </w:r>
    </w:p>
    <w:p w:rsidR="006C27DC" w:rsidRDefault="009E3907">
      <w:pPr>
        <w:spacing w:after="150"/>
        <w:ind w:left="216" w:right="158"/>
      </w:pPr>
      <w:r>
        <w:t>Příloha č. I — Specifikace služeb</w:t>
      </w:r>
    </w:p>
    <w:p w:rsidR="006C27DC" w:rsidRDefault="009E3907">
      <w:pPr>
        <w:spacing w:after="245"/>
        <w:ind w:left="216" w:right="158"/>
      </w:pPr>
      <w:r>
        <w:t>Příloha č. 2 — Položkový kyzpis ceny (rozpis ceny služeb)</w:t>
      </w:r>
    </w:p>
    <w:p w:rsidR="006C27DC" w:rsidRDefault="009E3907">
      <w:pPr>
        <w:spacing w:after="45"/>
        <w:ind w:left="216" w:right="1538"/>
      </w:pPr>
      <w:r>
        <w:t>V Podivíně dne a.s.</w:t>
      </w:r>
    </w:p>
    <w:p w:rsidR="006C27DC" w:rsidRDefault="009E3907">
      <w:pPr>
        <w:spacing w:line="379" w:lineRule="auto"/>
        <w:ind w:left="216" w:right="158"/>
      </w:pPr>
      <w:r>
        <w:t>Za Obje</w:t>
      </w:r>
      <w:r>
        <w:t>dnatele</w:t>
      </w:r>
      <w:r w:rsidR="00B404D9" w:rsidRPr="00B404D9">
        <w:rPr>
          <w:highlight w:val="black"/>
        </w:rPr>
        <w:t>xxxxxxxxxxxxxxxx</w:t>
      </w:r>
      <w:r>
        <w:t xml:space="preserve"> Za </w:t>
      </w:r>
      <w:r w:rsidR="00B404D9" w:rsidRPr="00B404D9">
        <w:rPr>
          <w:highlight w:val="black"/>
        </w:rPr>
        <w:t>xxxxxxxxxxxxxxxxxxxxxx</w:t>
      </w:r>
      <w:r>
        <w:t xml:space="preserve"> SSŮD 7 Podivín</w:t>
      </w:r>
    </w:p>
    <w:p w:rsidR="006C27DC" w:rsidRDefault="009E3907">
      <w:pPr>
        <w:spacing w:after="7521"/>
        <w:ind w:left="216" w:right="1538"/>
      </w:pPr>
      <w:r>
        <w:t>Podpis oprávněné osoby:</w:t>
      </w:r>
    </w:p>
    <w:p w:rsidR="006C27DC" w:rsidRDefault="009E3907">
      <w:pPr>
        <w:spacing w:after="0" w:line="259" w:lineRule="auto"/>
        <w:ind w:left="144" w:right="0"/>
        <w:jc w:val="center"/>
      </w:pPr>
      <w:r>
        <w:rPr>
          <w:rFonts w:ascii="Calibri" w:eastAsia="Calibri" w:hAnsi="Calibri" w:cs="Calibri"/>
          <w:sz w:val="16"/>
        </w:rPr>
        <w:t>Stranka 2 z 2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019" name="Picture 3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DC" w:rsidRDefault="009E3907">
      <w:pPr>
        <w:spacing w:after="610" w:line="259" w:lineRule="auto"/>
        <w:ind w:left="144" w:right="0"/>
        <w:jc w:val="left"/>
      </w:pPr>
      <w:r>
        <w:rPr>
          <w:sz w:val="34"/>
        </w:rPr>
        <w:t>Příloha č. 1</w:t>
      </w:r>
    </w:p>
    <w:p w:rsidR="006C27DC" w:rsidRDefault="009E3907">
      <w:pPr>
        <w:spacing w:after="506" w:line="259" w:lineRule="auto"/>
        <w:ind w:left="77" w:right="0"/>
        <w:jc w:val="center"/>
      </w:pPr>
      <w:r>
        <w:rPr>
          <w:sz w:val="34"/>
        </w:rPr>
        <w:t>Specifikace služeb</w:t>
      </w:r>
    </w:p>
    <w:p w:rsidR="006C27DC" w:rsidRDefault="009E3907">
      <w:pPr>
        <w:spacing w:after="0" w:line="259" w:lineRule="auto"/>
        <w:ind w:left="72" w:right="0" w:hanging="10"/>
        <w:jc w:val="left"/>
      </w:pPr>
      <w:r>
        <w:rPr>
          <w:sz w:val="26"/>
          <w:u w:val="single" w:color="000000"/>
        </w:rPr>
        <w:lastRenderedPageBreak/>
        <w:t>Ziednodušená PD — obsahuie:</w:t>
      </w:r>
    </w:p>
    <w:p w:rsidR="006C27DC" w:rsidRDefault="009E3907">
      <w:pPr>
        <w:ind w:left="625" w:right="250" w:hanging="327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11059" name="Picture 1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" name="Picture 110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Stručná průvodní zpráva, popřípadě souhrnná technická zpráva v souladu s platnými směrnicemi a TP </w:t>
      </w:r>
      <w:r>
        <w:rPr>
          <w:noProof/>
        </w:rPr>
        <w:drawing>
          <wp:inline distT="0" distB="0" distL="0" distR="0">
            <wp:extent cx="48834" cy="24400"/>
            <wp:effectExtent l="0" t="0" r="0" b="0"/>
            <wp:docPr id="4741" name="Picture 4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" name="Picture 47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34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upřesní technické a kvalitativní požadavky potřebné pro jednoznačné vymezení realizace stavebních prací, dodávek a služeb, musí obsahovat technické specifik</w:t>
      </w:r>
      <w:r>
        <w:t>ace, které představují technické charakteristiky prací a materiálů, které mají být použity při provádění stavby. Tyto musí být popsané objektivním způsobem, který zajištilje užití za účelem, který je Objednatelem zamýšlen. Technické specifikace nesmí být s</w:t>
      </w:r>
      <w:r>
        <w:t>tanoveny tak, aby určitým dodavatelům zaručovaly konkurenční výhodu nebo vytvářely neodůvodněné překážky hospodářské soutěže</w:t>
      </w:r>
    </w:p>
    <w:p w:rsidR="006C27DC" w:rsidRDefault="009E3907">
      <w:pPr>
        <w:numPr>
          <w:ilvl w:val="0"/>
          <w:numId w:val="1"/>
        </w:numPr>
        <w:ind w:right="158" w:hanging="375"/>
      </w:pPr>
      <w:r>
        <w:t>Situační výkres příp. příčný řez</w:t>
      </w:r>
    </w:p>
    <w:p w:rsidR="006C27DC" w:rsidRDefault="009E3907">
      <w:pPr>
        <w:numPr>
          <w:ilvl w:val="0"/>
          <w:numId w:val="1"/>
        </w:numPr>
        <w:ind w:right="158" w:hanging="375"/>
      </w:pPr>
      <w:r>
        <w:t>Soupis prací s výkazem výměr a investorský rozpočet.</w:t>
      </w:r>
    </w:p>
    <w:p w:rsidR="006C27DC" w:rsidRDefault="009E3907">
      <w:pPr>
        <w:numPr>
          <w:ilvl w:val="1"/>
          <w:numId w:val="1"/>
        </w:numPr>
        <w:spacing w:after="0" w:line="232" w:lineRule="auto"/>
        <w:ind w:left="965" w:right="327" w:hanging="365"/>
        <w:jc w:val="left"/>
      </w:pPr>
      <w:r>
        <w:t>Soupis prací bude vyhotoven podle Oborového t</w:t>
      </w:r>
      <w:r>
        <w:t>řídníku stavebních konstrukcí a prací staveb pozemních komunikací (OTSKP-SPK) ve verzi platné k termínu odevzdání konceptu plněni. Soupis prací bude Objednateli předán ve formátu XML, XLS a PDF.</w:t>
      </w:r>
    </w:p>
    <w:p w:rsidR="006C27DC" w:rsidRDefault="009E3907">
      <w:pPr>
        <w:numPr>
          <w:ilvl w:val="1"/>
          <w:numId w:val="1"/>
        </w:numPr>
        <w:ind w:left="965" w:right="327" w:hanging="365"/>
        <w:jc w:val="left"/>
      </w:pPr>
      <w:r>
        <w:t>Poskytovatel bude plně odpovídat za úplnost zpracování soupis</w:t>
      </w:r>
      <w:r>
        <w:t>u prací a výkazu výměr a položkového rozpočtu ve smyslu ZZVZ a vyhlášky č. 169/2016 Sb., o stanoveni rozsahu dokumentace veřejné zakázky na stavebni práce a soupisu stavebních prací, dodávek a služeb s výkazem výměr.</w:t>
      </w:r>
    </w:p>
    <w:p w:rsidR="006C27DC" w:rsidRDefault="009E3907">
      <w:pPr>
        <w:numPr>
          <w:ilvl w:val="1"/>
          <w:numId w:val="1"/>
        </w:numPr>
        <w:spacing w:after="26" w:line="232" w:lineRule="auto"/>
        <w:ind w:left="965" w:right="327" w:hanging="365"/>
        <w:jc w:val="left"/>
      </w:pPr>
      <w:r>
        <w:t>Součástí plnění je i poskytnuti součinn</w:t>
      </w:r>
      <w:r>
        <w:t>osti Poskytovatele při zpracování dodatečných informací v rámci výběrového řízení na zhotovitele stavby a zpracování konsolidovaných znění dokumentů, které byly ve výběrovém řízení na zhotovitele opravovány</w:t>
      </w:r>
    </w:p>
    <w:p w:rsidR="006C27DC" w:rsidRDefault="009E3907">
      <w:pPr>
        <w:numPr>
          <w:ilvl w:val="1"/>
          <w:numId w:val="1"/>
        </w:numPr>
        <w:ind w:left="965" w:right="327" w:hanging="365"/>
        <w:jc w:val="left"/>
      </w:pPr>
      <w:r>
        <w:t>Investorský rozpočet bude vždy obsahovat (kromě S</w:t>
      </w:r>
      <w:r>
        <w:t>A — bude specifikováno samostatně) samostatnou položku na STDI, výše honoráře STDI vychází z příslušného ceníku</w:t>
      </w:r>
    </w:p>
    <w:p w:rsidR="006C27DC" w:rsidRDefault="009E3907">
      <w:pPr>
        <w:pStyle w:val="Nadpis2"/>
      </w:pPr>
      <w:r>
        <w:t>4. HMC)</w:t>
      </w:r>
    </w:p>
    <w:p w:rsidR="006C27DC" w:rsidRDefault="009E3907">
      <w:pPr>
        <w:spacing w:after="247"/>
        <w:ind w:left="562" w:right="158" w:hanging="346"/>
      </w:pPr>
      <w:r>
        <w:t>5. PD bude odevzdána ve 3 paré — jedno s CD a investorským rozpočtem. Všechna paré budou opatřena autorizačním razítkem ČKAIT v příslušném oboru</w:t>
      </w:r>
    </w:p>
    <w:p w:rsidR="006C27DC" w:rsidRDefault="009E3907">
      <w:pPr>
        <w:spacing w:after="281" w:line="259" w:lineRule="auto"/>
        <w:ind w:left="72" w:right="0" w:hanging="10"/>
        <w:jc w:val="left"/>
      </w:pPr>
      <w:r>
        <w:rPr>
          <w:sz w:val="26"/>
          <w:u w:val="single" w:color="000000"/>
        </w:rPr>
        <w:t>Jednotlivé akce. pro které bude vypracovaná ziednodušená PD:</w:t>
      </w:r>
    </w:p>
    <w:p w:rsidR="006C27DC" w:rsidRDefault="009E3907">
      <w:pPr>
        <w:ind w:left="77" w:right="158"/>
      </w:pPr>
      <w:r>
        <w:t>Čištění příkopů a rigolů</w:t>
      </w:r>
    </w:p>
    <w:p w:rsidR="006C27DC" w:rsidRDefault="009E3907">
      <w:pPr>
        <w:ind w:left="77" w:right="158"/>
      </w:pPr>
      <w:r>
        <w:t>Oprava rigolů</w:t>
      </w:r>
    </w:p>
    <w:p w:rsidR="006C27DC" w:rsidRDefault="009E3907">
      <w:pPr>
        <w:spacing w:after="286" w:line="259" w:lineRule="auto"/>
        <w:ind w:left="856" w:right="0" w:hanging="10"/>
        <w:jc w:val="left"/>
      </w:pPr>
      <w:r>
        <w:rPr>
          <w:rFonts w:ascii="Calibri" w:eastAsia="Calibri" w:hAnsi="Calibri" w:cs="Calibri"/>
        </w:rPr>
        <w:t>příloha č.2</w:t>
      </w:r>
    </w:p>
    <w:p w:rsidR="006C27DC" w:rsidRDefault="009E3907">
      <w:pPr>
        <w:spacing w:after="57" w:line="259" w:lineRule="auto"/>
        <w:ind w:left="827" w:right="0"/>
        <w:jc w:val="left"/>
      </w:pPr>
      <w:r>
        <w:rPr>
          <w:rFonts w:ascii="Calibri" w:eastAsia="Calibri" w:hAnsi="Calibri" w:cs="Calibri"/>
          <w:sz w:val="22"/>
        </w:rPr>
        <w:t>SOUPIS CENY SLUŽEB</w:t>
      </w:r>
    </w:p>
    <w:tbl>
      <w:tblPr>
        <w:tblStyle w:val="TableGrid"/>
        <w:tblW w:w="8450" w:type="dxa"/>
        <w:tblInd w:w="780" w:type="dxa"/>
        <w:tblCellMar>
          <w:top w:w="48" w:type="dxa"/>
          <w:left w:w="37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585"/>
        <w:gridCol w:w="1932"/>
        <w:gridCol w:w="1933"/>
      </w:tblGrid>
      <w:tr w:rsidR="006C27DC">
        <w:trPr>
          <w:trHeight w:val="885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</w:rPr>
              <w:t>Údržba a opravy - komunikace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left="11" w:right="0"/>
              <w:jc w:val="left"/>
            </w:pPr>
            <w:r>
              <w:rPr>
                <w:rFonts w:ascii="Calibri" w:eastAsia="Calibri" w:hAnsi="Calibri" w:cs="Calibri"/>
              </w:rPr>
              <w:t>Předpokl.</w:t>
            </w:r>
          </w:p>
          <w:p w:rsidR="006C27DC" w:rsidRDefault="009E3907">
            <w:pPr>
              <w:spacing w:after="0" w:line="259" w:lineRule="auto"/>
              <w:ind w:left="11" w:right="0"/>
              <w:jc w:val="left"/>
            </w:pPr>
            <w:r>
              <w:rPr>
                <w:rFonts w:ascii="Calibri" w:eastAsia="Calibri" w:hAnsi="Calibri" w:cs="Calibri"/>
              </w:rPr>
              <w:t>cena zakázky bez</w:t>
            </w:r>
          </w:p>
          <w:p w:rsidR="006C27DC" w:rsidRDefault="009E3907">
            <w:pPr>
              <w:spacing w:after="0" w:line="259" w:lineRule="auto"/>
              <w:ind w:left="11" w:right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DPH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27DC" w:rsidRDefault="009E3907">
            <w:pPr>
              <w:spacing w:after="0" w:line="259" w:lineRule="auto"/>
              <w:ind w:left="11" w:right="0"/>
              <w:jc w:val="left"/>
            </w:pPr>
            <w:r>
              <w:rPr>
                <w:rFonts w:ascii="Calibri" w:eastAsia="Calibri" w:hAnsi="Calibri" w:cs="Calibri"/>
              </w:rPr>
              <w:t>Předpokl.</w:t>
            </w:r>
          </w:p>
          <w:p w:rsidR="006C27DC" w:rsidRDefault="009E3907">
            <w:pPr>
              <w:spacing w:after="0" w:line="259" w:lineRule="auto"/>
              <w:ind w:left="1" w:right="0"/>
              <w:jc w:val="left"/>
            </w:pPr>
            <w:r>
              <w:rPr>
                <w:rFonts w:ascii="Calibri" w:eastAsia="Calibri" w:hAnsi="Calibri" w:cs="Calibri"/>
              </w:rPr>
              <w:t>cena PD</w:t>
            </w:r>
          </w:p>
        </w:tc>
      </w:tr>
      <w:tr w:rsidR="006C27DC">
        <w:trPr>
          <w:trHeight w:val="288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</w:rPr>
              <w:t>Čištění příkopů a rigolů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0"/>
              <w:jc w:val="right"/>
            </w:pPr>
            <w:r>
              <w:rPr>
                <w:rFonts w:ascii="Calibri" w:eastAsia="Calibri" w:hAnsi="Calibri" w:cs="Calibri"/>
              </w:rPr>
              <w:t>1652 893,00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1"/>
              <w:jc w:val="right"/>
            </w:pPr>
            <w:r>
              <w:rPr>
                <w:rFonts w:ascii="Calibri" w:eastAsia="Calibri" w:hAnsi="Calibri" w:cs="Calibri"/>
                <w:sz w:val="22"/>
              </w:rPr>
              <w:t>62 800</w:t>
            </w:r>
          </w:p>
        </w:tc>
      </w:tr>
      <w:tr w:rsidR="006C27DC">
        <w:trPr>
          <w:trHeight w:val="292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</w:rPr>
              <w:t>Oprava rigolů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3 305 785,00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1"/>
              <w:jc w:val="right"/>
            </w:pPr>
            <w:r>
              <w:rPr>
                <w:rFonts w:ascii="Calibri" w:eastAsia="Calibri" w:hAnsi="Calibri" w:cs="Calibri"/>
              </w:rPr>
              <w:t>125600</w:t>
            </w:r>
          </w:p>
        </w:tc>
      </w:tr>
      <w:tr w:rsidR="006C27DC">
        <w:trPr>
          <w:trHeight w:val="299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</w:rPr>
              <w:t>Celkem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10"/>
              <w:jc w:val="right"/>
            </w:pPr>
            <w:r>
              <w:rPr>
                <w:rFonts w:ascii="Calibri" w:eastAsia="Calibri" w:hAnsi="Calibri" w:cs="Calibri"/>
              </w:rPr>
              <w:t>4 958 678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7DC" w:rsidRDefault="009E3907">
            <w:pPr>
              <w:spacing w:after="0" w:line="259" w:lineRule="auto"/>
              <w:ind w:right="1"/>
              <w:jc w:val="right"/>
            </w:pPr>
            <w:r>
              <w:rPr>
                <w:rFonts w:ascii="Calibri" w:eastAsia="Calibri" w:hAnsi="Calibri" w:cs="Calibri"/>
              </w:rPr>
              <w:t>188 400 Kč</w:t>
            </w:r>
          </w:p>
        </w:tc>
      </w:tr>
    </w:tbl>
    <w:p w:rsidR="006C27DC" w:rsidRDefault="006C27DC">
      <w:pPr>
        <w:sectPr w:rsidR="006C27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1249" w:right="1105" w:bottom="1124" w:left="1500" w:header="708" w:footer="708" w:gutter="0"/>
          <w:cols w:space="708"/>
        </w:sectPr>
      </w:pPr>
    </w:p>
    <w:p w:rsidR="006C27DC" w:rsidRDefault="009E3907">
      <w:pPr>
        <w:tabs>
          <w:tab w:val="center" w:pos="5268"/>
          <w:tab w:val="right" w:pos="8373"/>
        </w:tabs>
        <w:spacing w:after="33" w:line="259" w:lineRule="auto"/>
        <w:ind w:left="-15" w:right="0"/>
        <w:jc w:val="left"/>
      </w:pPr>
      <w:r>
        <w:rPr>
          <w:rFonts w:ascii="Calibri" w:eastAsia="Calibri" w:hAnsi="Calibri" w:cs="Calibri"/>
        </w:rPr>
        <w:t>Celkem předpokládąná cena za PD</w:t>
      </w:r>
      <w:r>
        <w:rPr>
          <w:rFonts w:ascii="Calibri" w:eastAsia="Calibri" w:hAnsi="Calibri" w:cs="Calibri"/>
        </w:rPr>
        <w:tab/>
        <w:t>cena bez DPH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815" name="Picture 5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" name="Picture 58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  <w:t>188 400 Kč</w:t>
      </w:r>
    </w:p>
    <w:p w:rsidR="006C27DC" w:rsidRDefault="009E3907">
      <w:pPr>
        <w:tabs>
          <w:tab w:val="center" w:pos="4849"/>
          <w:tab w:val="right" w:pos="8373"/>
        </w:tabs>
        <w:spacing w:after="3" w:line="259" w:lineRule="auto"/>
        <w:ind w:right="-15"/>
        <w:jc w:val="left"/>
      </w:pPr>
      <w:r>
        <w:rPr>
          <w:rFonts w:ascii="Calibri" w:eastAsia="Calibri" w:hAnsi="Calibri" w:cs="Calibri"/>
        </w:rPr>
        <w:tab/>
        <w:t>DPH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816" name="Picture 5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" name="Picture 58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  <w:t>39 564 Kč</w:t>
      </w:r>
    </w:p>
    <w:p w:rsidR="006C27DC" w:rsidRDefault="009E3907">
      <w:pPr>
        <w:tabs>
          <w:tab w:val="center" w:pos="5100"/>
          <w:tab w:val="right" w:pos="8373"/>
        </w:tabs>
        <w:spacing w:after="3" w:line="259" w:lineRule="auto"/>
        <w:ind w:right="-15"/>
        <w:jc w:val="left"/>
      </w:pPr>
      <w:r>
        <w:rPr>
          <w:rFonts w:ascii="Calibri" w:eastAsia="Calibri" w:hAnsi="Calibri" w:cs="Calibri"/>
        </w:rPr>
        <w:tab/>
        <w:t>Cena s DPH</w:t>
      </w:r>
      <w:r>
        <w:rPr>
          <w:rFonts w:ascii="Calibri" w:eastAsia="Calibri" w:hAnsi="Calibri" w:cs="Calibri"/>
        </w:rPr>
        <w:tab/>
      </w:r>
      <w:bookmarkStart w:id="0" w:name="_GoBack"/>
      <w:bookmarkEnd w:id="0"/>
      <w:r>
        <w:rPr>
          <w:rFonts w:ascii="Calibri" w:eastAsia="Calibri" w:hAnsi="Calibri" w:cs="Calibri"/>
        </w:rPr>
        <w:t>7964 č</w:t>
      </w:r>
    </w:p>
    <w:sectPr w:rsidR="006C27DC">
      <w:type w:val="continuous"/>
      <w:pgSz w:w="11920" w:h="16840"/>
      <w:pgMar w:top="1316" w:right="1240" w:bottom="8924" w:left="23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07" w:rsidRDefault="009E3907" w:rsidP="00A571D5">
      <w:pPr>
        <w:spacing w:after="0" w:line="240" w:lineRule="auto"/>
      </w:pPr>
      <w:r>
        <w:separator/>
      </w:r>
    </w:p>
  </w:endnote>
  <w:endnote w:type="continuationSeparator" w:id="0">
    <w:p w:rsidR="009E3907" w:rsidRDefault="009E3907" w:rsidP="00A5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07" w:rsidRDefault="009E3907" w:rsidP="00A571D5">
      <w:pPr>
        <w:spacing w:after="0" w:line="240" w:lineRule="auto"/>
      </w:pPr>
      <w:r>
        <w:separator/>
      </w:r>
    </w:p>
  </w:footnote>
  <w:footnote w:type="continuationSeparator" w:id="0">
    <w:p w:rsidR="009E3907" w:rsidRDefault="009E3907" w:rsidP="00A5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5" w:rsidRDefault="00A57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4742" o:spid="_x0000_i1030" style="width:1.5pt;height: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19BD2F20"/>
    <w:multiLevelType w:val="hybridMultilevel"/>
    <w:tmpl w:val="20360D52"/>
    <w:lvl w:ilvl="0" w:tplc="716A6426">
      <w:start w:val="2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660BCC">
      <w:start w:val="1"/>
      <w:numFmt w:val="bullet"/>
      <w:lvlText w:val="•"/>
      <w:lvlPicBulletId w:val="0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AAF62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810EA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C4F0A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865A2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46822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296EE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82F08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DC"/>
    <w:rsid w:val="006C27DC"/>
    <w:rsid w:val="009E3907"/>
    <w:rsid w:val="00A571D5"/>
    <w:rsid w:val="00B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0" w:lineRule="auto"/>
      <w:ind w:right="3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"/>
      <w:ind w:left="231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1D5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5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1D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2018-05-14T06:32:00Z</dcterms:created>
  <dcterms:modified xsi:type="dcterms:W3CDTF">2018-05-14T06:32:00Z</dcterms:modified>
</cp:coreProperties>
</file>