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7E" w:rsidRDefault="00582A6A">
      <w:pPr>
        <w:spacing w:after="237" w:line="259" w:lineRule="auto"/>
        <w:ind w:left="0" w:right="2058" w:firstLine="0"/>
        <w:jc w:val="center"/>
      </w:pPr>
      <w:r>
        <w:rPr>
          <w:noProof/>
        </w:rPr>
        <w:t xml:space="preserve">                                                      </w:t>
      </w:r>
      <w:r>
        <w:rPr>
          <w:sz w:val="28"/>
        </w:rPr>
        <w:t xml:space="preserve"> ŘEDITELSTVÍ SILNIC A DÁLNIC Č</w:t>
      </w:r>
      <w:r w:rsidR="00EE672B">
        <w:rPr>
          <w:sz w:val="28"/>
        </w:rPr>
        <w:t>R</w:t>
      </w:r>
    </w:p>
    <w:p w:rsidR="00F3387E" w:rsidRDefault="00582A6A">
      <w:pPr>
        <w:pStyle w:val="Nadpis1"/>
      </w:pPr>
      <w:r>
        <w:t>OBJEDNÁVKA (SMLOUV</w:t>
      </w:r>
      <w:r w:rsidR="00EE672B">
        <w:t>A)</w:t>
      </w:r>
    </w:p>
    <w:p w:rsidR="00F3387E" w:rsidRPr="00582A6A" w:rsidRDefault="00EE672B">
      <w:pPr>
        <w:spacing w:line="255" w:lineRule="auto"/>
        <w:ind w:left="3971" w:firstLine="0"/>
        <w:jc w:val="center"/>
        <w:rPr>
          <w:highlight w:val="black"/>
        </w:rPr>
      </w:pPr>
      <w:r>
        <w:t xml:space="preserve">číslo objednatele: 06EU-003721                            </w:t>
      </w:r>
      <w:r>
        <w:t xml:space="preserve">číslo dodavatele: </w:t>
      </w:r>
      <w:r w:rsidRPr="00582A6A">
        <w:rPr>
          <w:highlight w:val="black"/>
        </w:rPr>
        <w:t>POBJ/2018060</w:t>
      </w:r>
    </w:p>
    <w:p w:rsidR="00F3387E" w:rsidRPr="00582A6A" w:rsidRDefault="00EE672B">
      <w:pPr>
        <w:spacing w:after="313" w:line="259" w:lineRule="auto"/>
        <w:ind w:left="1446" w:right="0" w:firstLine="0"/>
        <w:jc w:val="center"/>
        <w:rPr>
          <w:highlight w:val="black"/>
        </w:rPr>
      </w:pPr>
      <w:r>
        <w:rPr>
          <w:sz w:val="24"/>
        </w:rPr>
        <w:t xml:space="preserve">ISPROFIN: </w:t>
      </w:r>
      <w:r w:rsidRPr="00582A6A">
        <w:rPr>
          <w:sz w:val="24"/>
          <w:highlight w:val="black"/>
        </w:rPr>
        <w:t>3271211004.11476</w:t>
      </w:r>
    </w:p>
    <w:p w:rsidR="00F3387E" w:rsidRPr="00EE672B" w:rsidRDefault="00EE672B" w:rsidP="00EE672B">
      <w:pPr>
        <w:pStyle w:val="Nadpis2"/>
        <w:ind w:left="1134" w:right="-127"/>
        <w:rPr>
          <w:b/>
        </w:rPr>
      </w:pPr>
      <w:r w:rsidRPr="00EE672B">
        <w:rPr>
          <w:b/>
        </w:rPr>
        <w:t>D4 křižovatka 11/118 — Milín</w:t>
      </w:r>
      <w:r>
        <w:rPr>
          <w:b/>
        </w:rPr>
        <w:t>,</w:t>
      </w:r>
      <w:r w:rsidRPr="00EE672B">
        <w:rPr>
          <w:b/>
        </w:rPr>
        <w:t xml:space="preserve"> příprava majetkoprávních reportů,</w:t>
      </w:r>
      <w:r w:rsidRPr="00EE672B">
        <w:rPr>
          <w:b/>
        </w:rPr>
        <w:t xml:space="preserve"> podkladů a účast na KD přípravy Dálnice D4</w:t>
      </w:r>
    </w:p>
    <w:tbl>
      <w:tblPr>
        <w:tblStyle w:val="TableGrid"/>
        <w:tblW w:w="8578" w:type="dxa"/>
        <w:tblInd w:w="13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074"/>
      </w:tblGrid>
      <w:tr w:rsidR="00F3387E" w:rsidTr="00EE672B">
        <w:trPr>
          <w:trHeight w:val="234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22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158" w:right="0" w:firstLine="0"/>
              <w:jc w:val="left"/>
            </w:pPr>
            <w:r>
              <w:rPr>
                <w:sz w:val="24"/>
              </w:rPr>
              <w:t>Dodavatel:</w:t>
            </w:r>
          </w:p>
        </w:tc>
      </w:tr>
      <w:tr w:rsidR="00F3387E" w:rsidTr="00EE672B">
        <w:trPr>
          <w:trHeight w:val="274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22" w:right="0" w:firstLine="0"/>
              <w:jc w:val="left"/>
            </w:pPr>
            <w:r>
              <w:t>Ředitelství silnic a dálnic ČR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Obchodní jméno: </w:t>
            </w:r>
            <w:proofErr w:type="gramStart"/>
            <w:r>
              <w:rPr>
                <w:sz w:val="24"/>
              </w:rPr>
              <w:t>CTECH</w:t>
            </w:r>
            <w:proofErr w:type="gramEnd"/>
            <w:r>
              <w:rPr>
                <w:sz w:val="24"/>
              </w:rPr>
              <w:t xml:space="preserve"> s.r.o.</w:t>
            </w:r>
          </w:p>
        </w:tc>
      </w:tr>
      <w:tr w:rsidR="00F3387E" w:rsidTr="00EE672B">
        <w:trPr>
          <w:trHeight w:val="278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22" w:right="0" w:firstLine="0"/>
              <w:jc w:val="left"/>
            </w:pPr>
            <w:r>
              <w:t>Správa Plzeň, Hřímalého 37, 301 00 Plzeň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151" w:right="0" w:firstLine="0"/>
              <w:jc w:val="left"/>
            </w:pPr>
            <w:r>
              <w:rPr>
                <w:sz w:val="24"/>
              </w:rPr>
              <w:t>Adresa: Michelská 29/6, 140 00 Praha 4</w:t>
            </w:r>
          </w:p>
        </w:tc>
      </w:tr>
      <w:tr w:rsidR="00F3387E" w:rsidTr="00EE672B">
        <w:trPr>
          <w:trHeight w:val="288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Bankovní spojení: </w:t>
            </w:r>
            <w:r w:rsidRPr="00EE672B">
              <w:rPr>
                <w:sz w:val="24"/>
                <w:highlight w:val="black"/>
              </w:rPr>
              <w:t>ČNB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Bankovní spojení: </w:t>
            </w:r>
            <w:r w:rsidRPr="00EE672B">
              <w:rPr>
                <w:sz w:val="24"/>
                <w:highlight w:val="black"/>
              </w:rPr>
              <w:t>PPF banka a.s.</w:t>
            </w:r>
          </w:p>
        </w:tc>
      </w:tr>
      <w:tr w:rsidR="00F3387E" w:rsidTr="00EE672B">
        <w:trPr>
          <w:trHeight w:val="282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14" w:right="0" w:firstLine="0"/>
              <w:jc w:val="left"/>
            </w:pPr>
            <w:r>
              <w:t xml:space="preserve">číslo účtu: </w:t>
            </w:r>
            <w:r w:rsidRPr="00EE672B">
              <w:rPr>
                <w:highlight w:val="black"/>
              </w:rPr>
              <w:t>20001-15937031/0710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151" w:right="0" w:firstLine="0"/>
              <w:jc w:val="left"/>
            </w:pPr>
            <w:r>
              <w:t xml:space="preserve">číslo účtu: </w:t>
            </w:r>
            <w:r w:rsidRPr="00EE672B">
              <w:rPr>
                <w:highlight w:val="black"/>
              </w:rPr>
              <w:t>6008070000/6000</w:t>
            </w:r>
          </w:p>
        </w:tc>
      </w:tr>
      <w:tr w:rsidR="00F3387E" w:rsidTr="00EE672B">
        <w:trPr>
          <w:trHeight w:val="286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7" w:right="0" w:firstLine="0"/>
              <w:jc w:val="left"/>
            </w:pPr>
            <w:r>
              <w:rPr>
                <w:sz w:val="24"/>
              </w:rPr>
              <w:t>IČO: 65993390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144" w:right="0" w:firstLine="0"/>
              <w:jc w:val="left"/>
            </w:pPr>
            <w:r>
              <w:rPr>
                <w:sz w:val="24"/>
              </w:rPr>
              <w:t>IČO: 26494183</w:t>
            </w:r>
          </w:p>
        </w:tc>
      </w:tr>
      <w:tr w:rsidR="00F3387E" w:rsidTr="00EE672B">
        <w:trPr>
          <w:trHeight w:val="58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>DIČ: CZ65993390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3387E" w:rsidRDefault="00EE672B">
            <w:pPr>
              <w:spacing w:after="1" w:line="259" w:lineRule="auto"/>
              <w:ind w:left="137" w:right="0" w:firstLine="0"/>
              <w:jc w:val="left"/>
            </w:pPr>
            <w:r>
              <w:rPr>
                <w:sz w:val="24"/>
              </w:rPr>
              <w:t>DIČ: CZ26494183</w:t>
            </w:r>
          </w:p>
          <w:p w:rsidR="00F3387E" w:rsidRDefault="00EE672B">
            <w:pPr>
              <w:spacing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Kontaktní osoba: </w:t>
            </w:r>
            <w:r w:rsidRPr="00EE672B">
              <w:rPr>
                <w:sz w:val="24"/>
                <w:highlight w:val="black"/>
              </w:rPr>
              <w:t>Miloš Čihák, jednatel</w:t>
            </w:r>
          </w:p>
        </w:tc>
      </w:tr>
      <w:tr w:rsidR="00EE672B" w:rsidTr="00EE672B">
        <w:trPr>
          <w:trHeight w:val="58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E672B" w:rsidRDefault="00EE672B">
            <w:pPr>
              <w:spacing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E672B" w:rsidRDefault="00EE672B">
            <w:pPr>
              <w:spacing w:after="1" w:line="259" w:lineRule="auto"/>
              <w:ind w:left="137" w:right="0" w:firstLine="0"/>
              <w:jc w:val="left"/>
              <w:rPr>
                <w:sz w:val="24"/>
              </w:rPr>
            </w:pPr>
          </w:p>
        </w:tc>
      </w:tr>
    </w:tbl>
    <w:p w:rsidR="00F3387E" w:rsidRDefault="00EE672B">
      <w:pPr>
        <w:spacing w:after="112"/>
        <w:ind w:left="1319" w:right="2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242137</wp:posOffset>
            </wp:positionH>
            <wp:positionV relativeFrom="page">
              <wp:posOffset>10150777</wp:posOffset>
            </wp:positionV>
            <wp:extent cx="9137" cy="18273"/>
            <wp:effectExtent l="0" t="0" r="0" b="0"/>
            <wp:wrapSquare wrapText="bothSides"/>
            <wp:docPr id="1861" name="Picture 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219294</wp:posOffset>
            </wp:positionH>
            <wp:positionV relativeFrom="page">
              <wp:posOffset>10169050</wp:posOffset>
            </wp:positionV>
            <wp:extent cx="18274" cy="18273"/>
            <wp:effectExtent l="0" t="0" r="0" b="0"/>
            <wp:wrapSquare wrapText="bothSides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205588</wp:posOffset>
            </wp:positionH>
            <wp:positionV relativeFrom="page">
              <wp:posOffset>10196460</wp:posOffset>
            </wp:positionV>
            <wp:extent cx="13706" cy="18273"/>
            <wp:effectExtent l="0" t="0" r="0" b="0"/>
            <wp:wrapSquare wrapText="bothSides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187313</wp:posOffset>
            </wp:positionH>
            <wp:positionV relativeFrom="page">
              <wp:posOffset>10219301</wp:posOffset>
            </wp:positionV>
            <wp:extent cx="18274" cy="22841"/>
            <wp:effectExtent l="0" t="0" r="0" b="0"/>
            <wp:wrapSquare wrapText="bothSides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</w:t>
      </w:r>
      <w:r>
        <w:t>bjednatel se zavazuje zaplatit za služby poskytnuté v souladu s touto objednávkou cenu uvedenou níže.</w:t>
      </w:r>
    </w:p>
    <w:p w:rsidR="00F3387E" w:rsidRDefault="00EE672B">
      <w:pPr>
        <w:spacing w:after="122"/>
        <w:ind w:left="1319" w:right="21"/>
      </w:pPr>
      <w:r>
        <w:t>Místo dodání: Ředitelství silnic a dálnic ČR, Správa Plzeň, Hřímalého 37, 301 00 Plzeň</w:t>
      </w:r>
    </w:p>
    <w:p w:rsidR="00F3387E" w:rsidRDefault="00EE672B">
      <w:pPr>
        <w:spacing w:after="125"/>
        <w:ind w:left="1312" w:right="0"/>
        <w:jc w:val="left"/>
      </w:pPr>
      <w:r>
        <w:rPr>
          <w:sz w:val="24"/>
        </w:rPr>
        <w:t xml:space="preserve">Kontaktní osoba Objednatele: </w:t>
      </w:r>
      <w:r w:rsidRPr="00EE672B">
        <w:rPr>
          <w:sz w:val="24"/>
          <w:highlight w:val="black"/>
        </w:rPr>
        <w:t>Ladislava Martínková, tel. 377 333 761</w:t>
      </w:r>
    </w:p>
    <w:p w:rsidR="00F3387E" w:rsidRDefault="00EE672B">
      <w:pPr>
        <w:spacing w:after="122"/>
        <w:ind w:left="1305" w:right="21"/>
      </w:pPr>
      <w:r>
        <w:t>Fakturujte: Ředitelství silnic a dálnic ČR, Správa Plzeň, Hřímalého 37, 301 00 Plzeň</w:t>
      </w:r>
    </w:p>
    <w:p w:rsidR="00F3387E" w:rsidRDefault="00EE672B">
      <w:pPr>
        <w:ind w:left="1276" w:right="21"/>
      </w:pPr>
      <w:r>
        <w:t>Obchodní a platební podmínky: Objednatel uhradí cenu jednorázovým bankovním převodem na účet Dodavatele uvedený na faktuře, termín splatnosti je stanoven na 30 dnů ode dn</w:t>
      </w:r>
      <w:r>
        <w:t xml:space="preserve">e doručení faktury Objednateli. Fakturu lze předložit nejdříve po protokolárním převzetí služeb Objednatelem bez vad či nedodělků. Faktura musí obsahovat veškeré náležitosti stanovené platnými právními předpisy, číslo objednávky a místo dodání. Objednatel </w:t>
      </w:r>
      <w:r>
        <w:t>neposkytuje žádné zálohy na cenu, ani dílčí platby ceny. Potvrzením přijetí (akceptací) této objednávky se Dodavatel zavazuje plnit veškeré povinnosti v této objednávce uvedené. Objednatel výslovně vylučuje akceptaci objednávky Dodavatelem s jakýmikoliv zm</w:t>
      </w:r>
      <w:r>
        <w:t>ěnami jejího obsahu, k takovému právnímu jednání Dodavatele se nepřihlíží. Dodavatel poskytuje souhlas s uveřejněním objednávky a jejího potvrzení v registru smluv zřízeným zákonem č. 340/2015</w:t>
      </w:r>
    </w:p>
    <w:p w:rsidR="00F3387E" w:rsidRDefault="00EE672B">
      <w:pPr>
        <w:spacing w:after="245"/>
        <w:ind w:left="1283" w:right="21"/>
      </w:pPr>
      <w:r>
        <w:t>Sb., o zvláštních podmínkách účinnosti některých smluv, uveřejňování těchto smluv a o registru</w:t>
      </w:r>
    </w:p>
    <w:p w:rsidR="00EE672B" w:rsidRDefault="00EE672B">
      <w:pPr>
        <w:spacing w:after="245"/>
        <w:ind w:left="1283" w:right="21"/>
      </w:pPr>
    </w:p>
    <w:p w:rsidR="00EE672B" w:rsidRDefault="00EE672B">
      <w:pPr>
        <w:spacing w:after="245"/>
        <w:ind w:left="1283" w:right="21"/>
      </w:pPr>
    </w:p>
    <w:p w:rsidR="00EE672B" w:rsidRDefault="00EE672B">
      <w:pPr>
        <w:spacing w:after="245"/>
        <w:ind w:left="1283" w:right="21"/>
      </w:pPr>
    </w:p>
    <w:p w:rsidR="00EE672B" w:rsidRDefault="00EE672B">
      <w:pPr>
        <w:spacing w:after="245"/>
        <w:ind w:left="1283" w:right="21"/>
      </w:pPr>
    </w:p>
    <w:p w:rsidR="00EE672B" w:rsidRDefault="00EE672B">
      <w:pPr>
        <w:spacing w:after="245"/>
        <w:ind w:left="1283" w:right="21"/>
      </w:pPr>
    </w:p>
    <w:p w:rsidR="00F3387E" w:rsidRDefault="00EE672B">
      <w:pPr>
        <w:spacing w:after="162"/>
        <w:ind w:left="1175" w:right="108"/>
      </w:pPr>
      <w:r>
        <w:lastRenderedPageBreak/>
        <w:t>smluv, ve znění pozdějších předpisů (dále jako „zákon o registru smluv”), Objednatelem. Objednávka je účinná okamžikem zveřejnění v registru smluv, přičem</w:t>
      </w:r>
      <w:r>
        <w:t>ž Objednatel o této skutečnosti Dodavatele informuje. Objednatel je oprávněn kdykoliv po uzavření objednávky tuto objednávku vypovědět s účinky od doručení písemné výpovědi Dodavateli, a to i bez uvedení důvodu. Výpověď objednávky dle předcházející věty ne</w:t>
      </w:r>
      <w:r>
        <w:t>má vliv na již řádně poskytnuté plnění včetně práv a povinností z něj vyplývajících.</w:t>
      </w:r>
    </w:p>
    <w:p w:rsidR="00F3387E" w:rsidRDefault="00EE672B">
      <w:pPr>
        <w:spacing w:after="155"/>
        <w:ind w:left="1218" w:right="0"/>
        <w:jc w:val="left"/>
      </w:pPr>
      <w:r>
        <w:rPr>
          <w:sz w:val="24"/>
        </w:rPr>
        <w:t>Záruční lhůta: dle Občanského zákoníku</w:t>
      </w:r>
    </w:p>
    <w:p w:rsidR="00F3387E" w:rsidRDefault="00EE672B">
      <w:pPr>
        <w:spacing w:after="128" w:line="291" w:lineRule="auto"/>
        <w:ind w:left="1209" w:right="0" w:firstLine="7"/>
        <w:jc w:val="left"/>
      </w:pPr>
      <w:r>
        <w:t xml:space="preserve">Objednáváme u Vás: vypracování </w:t>
      </w:r>
      <w:r>
        <w:rPr>
          <w:u w:val="single" w:color="000000"/>
        </w:rPr>
        <w:t>přípravy majetkoprávních reportů,</w:t>
      </w:r>
      <w:r>
        <w:rPr>
          <w:u w:val="single" w:color="000000"/>
        </w:rPr>
        <w:t xml:space="preserve"> podkladů a účast na KD přípravy Dálnice D4</w:t>
      </w:r>
    </w:p>
    <w:p w:rsidR="00F3387E" w:rsidRDefault="00EE672B">
      <w:pPr>
        <w:spacing w:after="162" w:line="259" w:lineRule="auto"/>
        <w:ind w:left="1209" w:right="0" w:firstLine="0"/>
        <w:jc w:val="left"/>
      </w:pPr>
      <w:r>
        <w:rPr>
          <w:sz w:val="26"/>
        </w:rPr>
        <w:t>Lhůta pro dodání či term</w:t>
      </w:r>
      <w:r>
        <w:rPr>
          <w:sz w:val="26"/>
        </w:rPr>
        <w:t xml:space="preserve">ín dodání: do </w:t>
      </w:r>
      <w:proofErr w:type="gramStart"/>
      <w:r>
        <w:rPr>
          <w:sz w:val="26"/>
        </w:rPr>
        <w:t>31.12.2018</w:t>
      </w:r>
      <w:proofErr w:type="gramEnd"/>
    </w:p>
    <w:p w:rsidR="00F3387E" w:rsidRDefault="00EE672B">
      <w:pPr>
        <w:spacing w:after="155"/>
        <w:ind w:left="1218" w:right="0"/>
        <w:jc w:val="left"/>
      </w:pPr>
      <w:r>
        <w:rPr>
          <w:sz w:val="24"/>
        </w:rPr>
        <w:t xml:space="preserve">Fakturace: první platba k </w:t>
      </w:r>
      <w:proofErr w:type="gramStart"/>
      <w:r>
        <w:rPr>
          <w:sz w:val="24"/>
        </w:rPr>
        <w:t>31.08.2018</w:t>
      </w:r>
      <w:proofErr w:type="gramEnd"/>
      <w:r>
        <w:rPr>
          <w:sz w:val="24"/>
        </w:rPr>
        <w:t>, druhá platba k 31.12.2018</w:t>
      </w:r>
    </w:p>
    <w:p w:rsidR="00F3387E" w:rsidRDefault="00EE672B">
      <w:pPr>
        <w:spacing w:after="188"/>
        <w:ind w:left="1218" w:right="0"/>
        <w:jc w:val="left"/>
      </w:pPr>
      <w:r>
        <w:rPr>
          <w:sz w:val="24"/>
        </w:rPr>
        <w:t>Celková hodnota objednávky v Kč:</w:t>
      </w:r>
    </w:p>
    <w:p w:rsidR="00F3387E" w:rsidRDefault="00EE672B">
      <w:pPr>
        <w:tabs>
          <w:tab w:val="center" w:pos="1943"/>
          <w:tab w:val="center" w:pos="3878"/>
        </w:tabs>
        <w:spacing w:after="343"/>
        <w:ind w:left="0" w:right="0" w:firstLine="0"/>
        <w:jc w:val="left"/>
      </w:pPr>
      <w:r>
        <w:rPr>
          <w:sz w:val="24"/>
        </w:rPr>
        <w:tab/>
        <w:t>Cena bez DPH:</w:t>
      </w:r>
      <w:r>
        <w:rPr>
          <w:sz w:val="24"/>
        </w:rPr>
        <w:tab/>
        <w:t>192.000,- Kč</w:t>
      </w:r>
    </w:p>
    <w:p w:rsidR="00F3387E" w:rsidRDefault="00EE672B">
      <w:pPr>
        <w:tabs>
          <w:tab w:val="center" w:pos="1723"/>
          <w:tab w:val="center" w:pos="3943"/>
        </w:tabs>
        <w:spacing w:after="284"/>
        <w:ind w:left="0" w:right="0" w:firstLine="0"/>
        <w:jc w:val="left"/>
      </w:pPr>
      <w:r>
        <w:rPr>
          <w:sz w:val="24"/>
        </w:rPr>
        <w:tab/>
        <w:t>DPH 21%:</w:t>
      </w:r>
      <w:r>
        <w:rPr>
          <w:sz w:val="24"/>
        </w:rPr>
        <w:tab/>
        <w:t>40.341,- Kč</w:t>
      </w:r>
    </w:p>
    <w:p w:rsidR="00F3387E" w:rsidRPr="00EE672B" w:rsidRDefault="00EE672B">
      <w:pPr>
        <w:spacing w:after="446"/>
        <w:ind w:left="1218" w:right="0"/>
        <w:jc w:val="left"/>
        <w:rPr>
          <w:b/>
        </w:rPr>
      </w:pPr>
      <w:r w:rsidRPr="00EE672B">
        <w:rPr>
          <w:b/>
          <w:sz w:val="24"/>
        </w:rPr>
        <w:t>Cena celkem s DPH: 232.441,- Kč</w:t>
      </w:r>
    </w:p>
    <w:p w:rsidR="00F3387E" w:rsidRDefault="00EE672B">
      <w:pPr>
        <w:spacing w:after="99" w:line="291" w:lineRule="auto"/>
        <w:ind w:left="1180" w:right="0" w:firstLine="7"/>
        <w:jc w:val="left"/>
      </w:pPr>
      <w:r>
        <w:t xml:space="preserve">V případě akceptace objednávky Objednatele Dodavatel objednávku písemně potvrdí prostřednictvím </w:t>
      </w:r>
      <w:bookmarkStart w:id="0" w:name="_GoBack"/>
      <w:bookmarkEnd w:id="0"/>
      <w:r>
        <w:t>e-mailu</w:t>
      </w:r>
      <w:r>
        <w:tab/>
        <w:t>zaslaného</w:t>
      </w:r>
      <w:r>
        <w:tab/>
        <w:t>do</w:t>
      </w:r>
      <w:r>
        <w:tab/>
        <w:t>e-mailové</w:t>
      </w:r>
      <w:r>
        <w:tab/>
        <w:t xml:space="preserve">schránky </w:t>
      </w:r>
      <w:r>
        <w:tab/>
        <w:t xml:space="preserve">Objednatele </w:t>
      </w:r>
      <w:proofErr w:type="spellStart"/>
      <w:r w:rsidRPr="00EE672B">
        <w:rPr>
          <w:highlight w:val="black"/>
          <w:u w:val="single" w:color="000000"/>
        </w:rPr>
        <w:t>ladislava.martinkova</w:t>
      </w:r>
      <w:proofErr w:type="spellEnd"/>
      <w:r w:rsidRPr="00EE672B">
        <w:rPr>
          <w:highlight w:val="black"/>
          <w:u w:val="single" w:color="000000"/>
        </w:rPr>
        <w:t>(iirsd.cz</w:t>
      </w:r>
      <w:r w:rsidRPr="00EE672B">
        <w:rPr>
          <w:highlight w:val="black"/>
        </w:rPr>
        <w:t xml:space="preserve"> .</w:t>
      </w:r>
      <w:r>
        <w:t xml:space="preserve"> V případě nepotvrzení akceptace objednávky Objednatele Dodavatelem platí, </w:t>
      </w:r>
      <w:r>
        <w:t>že Dodavatel objednávku neakceptoval a objednávka je bez dalšího zneplatněna.</w:t>
      </w:r>
    </w:p>
    <w:p w:rsidR="00F3387E" w:rsidRDefault="00EE672B">
      <w:pPr>
        <w:spacing w:after="532"/>
        <w:ind w:left="1175" w:right="21"/>
      </w:pPr>
      <w:r>
        <w:t>Pokud není ve Smlouvě a jejích přílohách stanoveno jinak, řídí se právní vztah založený touto Smlouvou Občanským zákoníkem.</w:t>
      </w:r>
    </w:p>
    <w:p w:rsidR="00F3387E" w:rsidRDefault="00EE672B">
      <w:pPr>
        <w:spacing w:after="167"/>
        <w:ind w:left="1175" w:right="21"/>
      </w:pPr>
      <w:r>
        <w:t>Nedílnou součástí této objednávky jsou následující pří</w:t>
      </w:r>
      <w:r>
        <w:t>lohy:</w:t>
      </w:r>
    </w:p>
    <w:p w:rsidR="00F3387E" w:rsidRDefault="00EE672B" w:rsidP="00EE672B">
      <w:pPr>
        <w:spacing w:line="358" w:lineRule="auto"/>
        <w:ind w:left="1175" w:right="5166"/>
        <w:jc w:val="left"/>
      </w:pPr>
      <w:r>
        <w:t>Příloha č. 1</w:t>
      </w:r>
      <w:r>
        <w:t xml:space="preserve"> — Specifikace služeb                                       </w:t>
      </w:r>
      <w:r>
        <w:t>Příloha č. 2 — Položkový rozpis ceny</w:t>
      </w:r>
    </w:p>
    <w:p w:rsidR="00EE672B" w:rsidRDefault="00EE672B" w:rsidP="00EE672B">
      <w:pPr>
        <w:spacing w:line="358" w:lineRule="auto"/>
        <w:ind w:left="1175" w:right="5166"/>
        <w:jc w:val="left"/>
      </w:pPr>
    </w:p>
    <w:p w:rsidR="00EE672B" w:rsidRDefault="00EE672B" w:rsidP="00EE672B">
      <w:pPr>
        <w:spacing w:line="358" w:lineRule="auto"/>
        <w:ind w:left="1175" w:right="5166"/>
        <w:jc w:val="left"/>
      </w:pPr>
    </w:p>
    <w:p w:rsidR="00EE672B" w:rsidRDefault="00EE672B" w:rsidP="00EE672B">
      <w:pPr>
        <w:spacing w:line="358" w:lineRule="auto"/>
        <w:ind w:left="1175" w:right="5166"/>
        <w:jc w:val="left"/>
      </w:pPr>
    </w:p>
    <w:p w:rsidR="00EE672B" w:rsidRDefault="00EE672B" w:rsidP="00EE672B">
      <w:pPr>
        <w:spacing w:line="358" w:lineRule="auto"/>
        <w:ind w:left="1175" w:right="1149"/>
        <w:jc w:val="left"/>
      </w:pPr>
      <w:r>
        <w:t>V Plzni dne 14-05-2018</w:t>
      </w:r>
      <w:r>
        <w:tab/>
      </w:r>
      <w:r>
        <w:tab/>
      </w:r>
      <w:r>
        <w:tab/>
      </w:r>
      <w:r>
        <w:tab/>
        <w:t>V Praze dne 11-05-2018</w:t>
      </w:r>
    </w:p>
    <w:p w:rsidR="00F3387E" w:rsidRDefault="00F3387E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  <w:rPr>
          <w:noProof/>
        </w:rPr>
      </w:pPr>
    </w:p>
    <w:p w:rsidR="00EE672B" w:rsidRDefault="00EE672B">
      <w:pPr>
        <w:spacing w:line="259" w:lineRule="auto"/>
        <w:ind w:left="1252" w:right="0" w:firstLine="0"/>
        <w:jc w:val="left"/>
      </w:pPr>
    </w:p>
    <w:p w:rsidR="00F3387E" w:rsidRDefault="00EE672B">
      <w:pPr>
        <w:pStyle w:val="Nadpis2"/>
        <w:spacing w:after="0"/>
        <w:ind w:left="1338"/>
        <w:jc w:val="left"/>
      </w:pPr>
      <w:r>
        <w:rPr>
          <w:rFonts w:ascii="Calibri" w:eastAsia="Calibri" w:hAnsi="Calibri" w:cs="Calibri"/>
          <w:sz w:val="36"/>
        </w:rPr>
        <w:lastRenderedPageBreak/>
        <w:t>Příloha č. 1 - Specifikace služeb</w:t>
      </w:r>
    </w:p>
    <w:p w:rsidR="00F3387E" w:rsidRDefault="00EE672B">
      <w:pPr>
        <w:spacing w:after="399" w:line="237" w:lineRule="auto"/>
        <w:ind w:left="1309" w:right="209" w:firstLine="14"/>
      </w:pPr>
      <w:r>
        <w:rPr>
          <w:rFonts w:ascii="Calibri" w:eastAsia="Calibri" w:hAnsi="Calibri" w:cs="Calibri"/>
          <w:u w:val="single" w:color="000000"/>
        </w:rPr>
        <w:t>ZDŮVODNĚNÍ:</w:t>
      </w:r>
      <w:r>
        <w:rPr>
          <w:rFonts w:ascii="Calibri" w:eastAsia="Calibri" w:hAnsi="Calibri" w:cs="Calibri"/>
        </w:rPr>
        <w:t xml:space="preserve"> V rámci přípravy dálnice D4 je nutné připravovat velké množství podkladů pro prezentační účely — majetkoprávní reporty, podklady pr</w:t>
      </w:r>
      <w:r>
        <w:rPr>
          <w:rFonts w:ascii="Calibri" w:eastAsia="Calibri" w:hAnsi="Calibri" w:cs="Calibri"/>
        </w:rPr>
        <w:t>o srovnání efektivity práce externích společností a podpora objednatele na KD přípravy dálnice D4 (a to pro všech 5 úseků). Z tohoto důvodu je nutné pro rok 2018 objednat výše uvedené činnosti u externí společnosti, která je schopná zajistit výše uvedené v</w:t>
      </w:r>
      <w:r>
        <w:rPr>
          <w:rFonts w:ascii="Calibri" w:eastAsia="Calibri" w:hAnsi="Calibri" w:cs="Calibri"/>
        </w:rPr>
        <w:t xml:space="preserve"> odpovídající grafické i obsahové kvalitě.</w:t>
      </w:r>
    </w:p>
    <w:p w:rsidR="00F3387E" w:rsidRDefault="00EE672B">
      <w:pPr>
        <w:spacing w:after="17" w:line="259" w:lineRule="auto"/>
        <w:ind w:left="1266" w:right="0" w:firstLine="0"/>
        <w:jc w:val="left"/>
      </w:pPr>
      <w:r>
        <w:t>Soupis prací:</w:t>
      </w:r>
    </w:p>
    <w:tbl>
      <w:tblPr>
        <w:tblStyle w:val="TableGrid"/>
        <w:tblW w:w="8533" w:type="dxa"/>
        <w:tblInd w:w="1173" w:type="dxa"/>
        <w:tblCellMar>
          <w:top w:w="67" w:type="dxa"/>
          <w:left w:w="5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072"/>
        <w:gridCol w:w="1518"/>
        <w:gridCol w:w="1242"/>
        <w:gridCol w:w="1701"/>
      </w:tblGrid>
      <w:tr w:rsidR="00F3387E">
        <w:trPr>
          <w:trHeight w:val="511"/>
        </w:trPr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Pr="00EE672B" w:rsidRDefault="00EE672B">
            <w:pPr>
              <w:spacing w:line="259" w:lineRule="auto"/>
              <w:ind w:left="43" w:right="0" w:firstLine="0"/>
              <w:jc w:val="left"/>
              <w:rPr>
                <w:b/>
              </w:rPr>
            </w:pPr>
            <w:r w:rsidRPr="00EE672B">
              <w:rPr>
                <w:b/>
                <w:sz w:val="20"/>
              </w:rPr>
              <w:t>Plnění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Pr="00EE672B" w:rsidRDefault="00EE672B">
            <w:pPr>
              <w:spacing w:line="259" w:lineRule="auto"/>
              <w:ind w:left="61" w:right="11" w:firstLine="0"/>
              <w:jc w:val="center"/>
              <w:rPr>
                <w:b/>
              </w:rPr>
            </w:pPr>
            <w:r w:rsidRPr="00EE672B">
              <w:rPr>
                <w:b/>
                <w:sz w:val="20"/>
              </w:rPr>
              <w:t>Č</w:t>
            </w:r>
            <w:r w:rsidRPr="00EE672B">
              <w:rPr>
                <w:b/>
                <w:sz w:val="20"/>
              </w:rPr>
              <w:t>asová náročnost (hod)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Pr="00EE672B" w:rsidRDefault="00EE672B">
            <w:pPr>
              <w:spacing w:line="259" w:lineRule="auto"/>
              <w:ind w:left="36" w:right="0" w:firstLine="0"/>
              <w:jc w:val="left"/>
              <w:rPr>
                <w:b/>
              </w:rPr>
            </w:pPr>
            <w:r w:rsidRPr="00EE672B">
              <w:rPr>
                <w:b/>
              </w:rPr>
              <w:t>Cena za hod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Pr="00EE672B" w:rsidRDefault="00EE672B">
            <w:pPr>
              <w:spacing w:line="259" w:lineRule="auto"/>
              <w:ind w:left="39" w:right="0" w:firstLine="0"/>
              <w:jc w:val="center"/>
              <w:rPr>
                <w:b/>
              </w:rPr>
            </w:pPr>
            <w:r w:rsidRPr="00EE672B">
              <w:rPr>
                <w:b/>
                <w:sz w:val="20"/>
              </w:rPr>
              <w:t>Cena celkem</w:t>
            </w:r>
          </w:p>
        </w:tc>
      </w:tr>
      <w:tr w:rsidR="00F3387E">
        <w:trPr>
          <w:trHeight w:val="751"/>
        </w:trPr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EE672B">
            <w:pPr>
              <w:spacing w:line="259" w:lineRule="auto"/>
              <w:ind w:left="22" w:right="0" w:firstLine="14"/>
              <w:jc w:val="left"/>
            </w:pPr>
            <w:r>
              <w:rPr>
                <w:sz w:val="20"/>
              </w:rPr>
              <w:t xml:space="preserve">Příprava reportů o stavu </w:t>
            </w:r>
            <w:proofErr w:type="spellStart"/>
            <w:r>
              <w:rPr>
                <w:sz w:val="20"/>
              </w:rPr>
              <w:t>majetkopr</w:t>
            </w:r>
            <w:proofErr w:type="spellEnd"/>
            <w:r>
              <w:rPr>
                <w:sz w:val="20"/>
              </w:rPr>
              <w:t xml:space="preserve">. Přípravy </w:t>
            </w:r>
            <w:proofErr w:type="spellStart"/>
            <w:r>
              <w:rPr>
                <w:sz w:val="20"/>
              </w:rPr>
              <w:t>jednotl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>- staveb pro vedení ŘSD ČR a zástupce MD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Default="00F3387E">
            <w:pPr>
              <w:spacing w:line="259" w:lineRule="auto"/>
              <w:ind w:left="50" w:right="0" w:firstLine="0"/>
              <w:jc w:val="center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387E">
        <w:trPr>
          <w:trHeight w:val="760"/>
        </w:trPr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Default="00EE672B">
            <w:pPr>
              <w:spacing w:line="259" w:lineRule="auto"/>
              <w:ind w:left="22" w:right="0" w:firstLine="7"/>
              <w:jc w:val="left"/>
            </w:pPr>
            <w:r>
              <w:rPr>
                <w:sz w:val="20"/>
              </w:rPr>
              <w:t xml:space="preserve">Příprava podkladů pro srovnání efektivity práce externích společností na </w:t>
            </w:r>
            <w:proofErr w:type="spellStart"/>
            <w:r>
              <w:rPr>
                <w:sz w:val="20"/>
              </w:rPr>
              <w:t>jednotl</w:t>
            </w:r>
            <w:proofErr w:type="spellEnd"/>
            <w:r>
              <w:rPr>
                <w:sz w:val="20"/>
              </w:rPr>
              <w:t>. úsecích stavby D4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Default="00F3387E">
            <w:pPr>
              <w:spacing w:line="259" w:lineRule="auto"/>
              <w:ind w:left="29" w:right="0" w:firstLine="0"/>
              <w:jc w:val="center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Default="00F3387E">
            <w:pPr>
              <w:spacing w:line="259" w:lineRule="auto"/>
              <w:ind w:left="17" w:right="0" w:firstLine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387E">
        <w:trPr>
          <w:trHeight w:val="528"/>
        </w:trPr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Default="00EE672B">
            <w:pPr>
              <w:spacing w:line="259" w:lineRule="auto"/>
              <w:ind w:left="22" w:right="0" w:firstLine="0"/>
              <w:jc w:val="left"/>
            </w:pPr>
            <w:r>
              <w:rPr>
                <w:sz w:val="20"/>
              </w:rPr>
              <w:t>Podpora objednatele, účast na všech KD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87E" w:rsidRDefault="00F3387E">
            <w:pPr>
              <w:spacing w:line="259" w:lineRule="auto"/>
              <w:ind w:left="14" w:right="0" w:firstLine="0"/>
              <w:jc w:val="center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387E">
        <w:trPr>
          <w:trHeight w:val="295"/>
        </w:trPr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EE672B">
            <w:pPr>
              <w:spacing w:line="259" w:lineRule="auto"/>
              <w:ind w:left="7" w:right="0" w:firstLine="0"/>
              <w:jc w:val="left"/>
            </w:pPr>
            <w:r>
              <w:rPr>
                <w:sz w:val="20"/>
              </w:rPr>
              <w:t>Celkem bez DPH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EE672B">
            <w:pPr>
              <w:spacing w:after="160" w:line="259" w:lineRule="auto"/>
              <w:ind w:left="0" w:right="0" w:firstLine="0"/>
              <w:jc w:val="left"/>
            </w:pPr>
            <w:r>
              <w:t xml:space="preserve">   192 000,00</w:t>
            </w:r>
          </w:p>
        </w:tc>
      </w:tr>
      <w:tr w:rsidR="00F3387E">
        <w:trPr>
          <w:trHeight w:val="295"/>
        </w:trPr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EE672B">
            <w:pPr>
              <w:spacing w:line="259" w:lineRule="auto"/>
              <w:ind w:left="7" w:right="0" w:firstLine="0"/>
              <w:jc w:val="left"/>
            </w:pPr>
            <w:r>
              <w:rPr>
                <w:sz w:val="20"/>
              </w:rPr>
              <w:t>DPH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F3387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Default="00EE672B">
            <w:pPr>
              <w:spacing w:after="160" w:line="259" w:lineRule="auto"/>
              <w:ind w:left="0" w:right="0" w:firstLine="0"/>
              <w:jc w:val="left"/>
            </w:pPr>
            <w:r>
              <w:t xml:space="preserve">     40 341,00</w:t>
            </w:r>
          </w:p>
        </w:tc>
      </w:tr>
      <w:tr w:rsidR="00F3387E">
        <w:trPr>
          <w:trHeight w:val="295"/>
        </w:trPr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Pr="00EE672B" w:rsidRDefault="00EE672B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EE672B">
              <w:rPr>
                <w:b/>
                <w:sz w:val="20"/>
              </w:rPr>
              <w:t>Cena celkem vč. DPH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Pr="00EE672B" w:rsidRDefault="00F3387E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Pr="00EE672B" w:rsidRDefault="00F3387E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87E" w:rsidRPr="00EE672B" w:rsidRDefault="00EE672B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 w:rsidRPr="00EE672B">
              <w:rPr>
                <w:b/>
              </w:rPr>
              <w:t xml:space="preserve">   232 441,00</w:t>
            </w:r>
          </w:p>
        </w:tc>
      </w:tr>
    </w:tbl>
    <w:p w:rsidR="00F3387E" w:rsidRDefault="00F3387E">
      <w:pPr>
        <w:spacing w:line="259" w:lineRule="auto"/>
        <w:ind w:left="1122" w:right="0" w:firstLine="0"/>
        <w:jc w:val="center"/>
      </w:pPr>
    </w:p>
    <w:sectPr w:rsidR="00F3387E" w:rsidSect="00EE672B">
      <w:footerReference w:type="even" r:id="rId10"/>
      <w:footerReference w:type="first" r:id="rId11"/>
      <w:pgSz w:w="11900" w:h="16820"/>
      <w:pgMar w:top="1611" w:right="1127" w:bottom="532" w:left="410" w:header="708" w:footer="1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672B">
      <w:pPr>
        <w:spacing w:line="240" w:lineRule="auto"/>
      </w:pPr>
      <w:r>
        <w:separator/>
      </w:r>
    </w:p>
  </w:endnote>
  <w:endnote w:type="continuationSeparator" w:id="0">
    <w:p w:rsidR="00000000" w:rsidRDefault="00EE6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7E" w:rsidRDefault="00EE672B">
    <w:pPr>
      <w:spacing w:line="259" w:lineRule="auto"/>
      <w:ind w:left="1187" w:right="0" w:firstLine="0"/>
      <w:jc w:val="center"/>
    </w:pPr>
    <w:proofErr w:type="gramStart"/>
    <w:r>
      <w:rPr>
        <w:sz w:val="16"/>
      </w:rPr>
      <w:t xml:space="preserve">Stránka </w:t>
    </w:r>
    <w:r>
      <w:rPr>
        <w:sz w:val="18"/>
      </w:rPr>
      <w:t>z 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7E" w:rsidRDefault="00EE672B">
    <w:pPr>
      <w:spacing w:line="259" w:lineRule="auto"/>
      <w:ind w:left="1187" w:right="0" w:firstLine="0"/>
      <w:jc w:val="center"/>
    </w:pPr>
    <w:proofErr w:type="gramStart"/>
    <w:r>
      <w:rPr>
        <w:sz w:val="16"/>
      </w:rPr>
      <w:t xml:space="preserve">Stránka </w:t>
    </w:r>
    <w:r>
      <w:rPr>
        <w:sz w:val="18"/>
      </w:rPr>
      <w:t>z 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672B">
      <w:pPr>
        <w:spacing w:line="240" w:lineRule="auto"/>
      </w:pPr>
      <w:r>
        <w:separator/>
      </w:r>
    </w:p>
  </w:footnote>
  <w:footnote w:type="continuationSeparator" w:id="0">
    <w:p w:rsidR="00000000" w:rsidRDefault="00EE67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7E"/>
    <w:rsid w:val="00582A6A"/>
    <w:rsid w:val="00EE672B"/>
    <w:rsid w:val="00F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055A"/>
  <w15:docId w15:val="{C0A0C0BC-3FC0-46CD-9973-735821B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3981" w:right="254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482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61"/>
      <w:ind w:left="1349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E672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2B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E67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67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KMBT_C224e-20180514064224</vt:lpstr>
    </vt:vector>
  </TitlesOfParts>
  <Company>RSD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KMBT_C224e-20180514064224</dc:title>
  <dc:subject/>
  <dc:creator>Horová Hana</dc:creator>
  <cp:keywords/>
  <cp:lastModifiedBy>Horová Hana</cp:lastModifiedBy>
  <cp:revision>2</cp:revision>
  <dcterms:created xsi:type="dcterms:W3CDTF">2018-05-14T06:30:00Z</dcterms:created>
  <dcterms:modified xsi:type="dcterms:W3CDTF">2018-05-14T06:30:00Z</dcterms:modified>
</cp:coreProperties>
</file>