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2D0" w:rsidRDefault="00CA7F0F">
      <w:pPr>
        <w:spacing w:after="367" w:line="259" w:lineRule="auto"/>
        <w:ind w:left="375" w:firstLine="0"/>
        <w:jc w:val="center"/>
      </w:pPr>
      <w:r>
        <w:rPr>
          <w:sz w:val="28"/>
        </w:rPr>
        <w:t>SMLOUVA</w:t>
      </w:r>
    </w:p>
    <w:p w:rsidR="002B22D0" w:rsidRDefault="00CA7F0F">
      <w:r>
        <w:t>uzavřená mezi</w:t>
      </w:r>
    </w:p>
    <w:p w:rsidR="002B22D0" w:rsidRDefault="00CA7F0F">
      <w:pPr>
        <w:spacing w:after="51" w:line="244" w:lineRule="auto"/>
        <w:ind w:left="274" w:right="182" w:firstLine="0"/>
      </w:pPr>
      <w:r>
        <w:rPr>
          <w:sz w:val="22"/>
        </w:rPr>
        <w:t>Pořadatel: Smetanův dům Litomyšl</w:t>
      </w:r>
    </w:p>
    <w:p w:rsidR="002B22D0" w:rsidRDefault="00CA7F0F">
      <w:pPr>
        <w:ind w:left="288"/>
      </w:pPr>
      <w:r>
        <w:t xml:space="preserve">Vyřizuje: </w:t>
      </w:r>
      <w:proofErr w:type="spellStart"/>
      <w:r>
        <w:t>MgA</w:t>
      </w:r>
      <w:proofErr w:type="spellEnd"/>
      <w:r>
        <w:t>. Leoš Krejčí, ředitel</w:t>
      </w:r>
      <w:r>
        <w:t xml:space="preserve"> </w:t>
      </w:r>
    </w:p>
    <w:p w:rsidR="00CA7F0F" w:rsidRDefault="00CA7F0F">
      <w:pPr>
        <w:spacing w:after="0" w:line="244" w:lineRule="auto"/>
        <w:ind w:left="264" w:right="3371" w:firstLine="0"/>
        <w:rPr>
          <w:sz w:val="22"/>
        </w:rPr>
      </w:pPr>
      <w:r>
        <w:rPr>
          <w:sz w:val="22"/>
        </w:rPr>
        <w:t xml:space="preserve">se sídlem: Komenského náměstí 402, 570 </w:t>
      </w:r>
      <w:proofErr w:type="gramStart"/>
      <w:r>
        <w:rPr>
          <w:sz w:val="22"/>
        </w:rPr>
        <w:t>0</w:t>
      </w:r>
      <w:r>
        <w:rPr>
          <w:sz w:val="22"/>
        </w:rPr>
        <w:t>l</w:t>
      </w:r>
      <w:proofErr w:type="gramEnd"/>
      <w:r>
        <w:rPr>
          <w:sz w:val="22"/>
        </w:rPr>
        <w:t xml:space="preserve"> Litomyšl </w:t>
      </w:r>
    </w:p>
    <w:p w:rsidR="002B22D0" w:rsidRDefault="00CA7F0F">
      <w:pPr>
        <w:spacing w:after="0" w:line="244" w:lineRule="auto"/>
        <w:ind w:left="264" w:right="3371" w:firstLine="0"/>
      </w:pPr>
      <w:bookmarkStart w:id="0" w:name="_GoBack"/>
      <w:bookmarkEnd w:id="0"/>
      <w:proofErr w:type="spellStart"/>
      <w:r>
        <w:rPr>
          <w:sz w:val="22"/>
        </w:rPr>
        <w:t>lč</w:t>
      </w:r>
      <w:proofErr w:type="spellEnd"/>
      <w:r>
        <w:rPr>
          <w:sz w:val="22"/>
        </w:rPr>
        <w:t>: 00527416, DIČ: —</w:t>
      </w:r>
    </w:p>
    <w:p w:rsidR="002B22D0" w:rsidRDefault="00CA7F0F">
      <w:pPr>
        <w:spacing w:after="0" w:line="259" w:lineRule="auto"/>
        <w:ind w:left="0" w:right="605" w:firstLine="0"/>
        <w:jc w:val="right"/>
      </w:pPr>
      <w:r>
        <w:rPr>
          <w:sz w:val="26"/>
        </w:rPr>
        <w:t>(dále jen pořadatel)</w:t>
      </w:r>
    </w:p>
    <w:p w:rsidR="002B22D0" w:rsidRDefault="00CA7F0F">
      <w:pPr>
        <w:spacing w:after="0" w:line="259" w:lineRule="auto"/>
        <w:ind w:left="5076" w:firstLine="0"/>
        <w:jc w:val="left"/>
      </w:pPr>
      <w:r>
        <w:rPr>
          <w:noProof/>
        </w:rPr>
        <w:drawing>
          <wp:inline distT="0" distB="0" distL="0" distR="0">
            <wp:extent cx="378106" cy="12192"/>
            <wp:effectExtent l="0" t="0" r="0" b="0"/>
            <wp:docPr id="2421" name="Picture 2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1" name="Picture 24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810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2D0" w:rsidRDefault="00CA7F0F">
      <w:pPr>
        <w:ind w:left="250" w:right="2060"/>
      </w:pPr>
      <w:r>
        <w:t>Soubor/ umělec: Michal Nesvadba — ” Michal k snídani” Zastoupený společností: Pragokoncert Bohemia a.s.</w:t>
      </w:r>
    </w:p>
    <w:p w:rsidR="002B22D0" w:rsidRDefault="00CA7F0F">
      <w:pPr>
        <w:ind w:left="206"/>
      </w:pPr>
      <w:r>
        <w:t xml:space="preserve">jednající prostřednictvím: Ing. Jiřího </w:t>
      </w:r>
      <w:proofErr w:type="spellStart"/>
      <w:r>
        <w:t>Darona</w:t>
      </w:r>
      <w:proofErr w:type="spellEnd"/>
      <w:r>
        <w:t>, pověřeným členem představenstva</w:t>
      </w:r>
    </w:p>
    <w:p w:rsidR="002B22D0" w:rsidRDefault="00CA7F0F">
      <w:pPr>
        <w:ind w:left="240"/>
      </w:pPr>
      <w:r>
        <w:t>Zapsaná v obchodním rejstříku vedeném Městským soudem v Praze, oddíl B, v</w:t>
      </w:r>
      <w:r>
        <w:t>ložka 4669 kontaktní adresa: Pragokoncert Bohemia a.s., U Bulhara 3, 110 00 Praha</w:t>
      </w:r>
    </w:p>
    <w:p w:rsidR="002B22D0" w:rsidRDefault="00CA7F0F">
      <w:pPr>
        <w:ind w:left="1945"/>
      </w:pPr>
      <w:r>
        <w:t xml:space="preserve">Helena Byrtusová, </w:t>
      </w:r>
    </w:p>
    <w:p w:rsidR="002B22D0" w:rsidRDefault="00CA7F0F">
      <w:pPr>
        <w:spacing w:after="190"/>
        <w:ind w:left="226"/>
      </w:pPr>
      <w:r>
        <w:t xml:space="preserve">IČO: 25318136, </w:t>
      </w:r>
      <w:proofErr w:type="gramStart"/>
      <w:r>
        <w:t>DIČ.•</w:t>
      </w:r>
      <w:proofErr w:type="gramEnd"/>
      <w:r>
        <w:t xml:space="preserve">CZ25318136, Bank. spojení: </w:t>
      </w:r>
    </w:p>
    <w:p w:rsidR="002B22D0" w:rsidRDefault="00CA7F0F">
      <w:pPr>
        <w:spacing w:after="47"/>
        <w:ind w:left="221" w:right="197" w:firstLine="6103"/>
      </w:pPr>
      <w:r>
        <w:t>(dále jen Pragokoncert) v tomto znění:</w:t>
      </w:r>
    </w:p>
    <w:p w:rsidR="002B22D0" w:rsidRDefault="00CA7F0F">
      <w:pPr>
        <w:ind w:left="547" w:hanging="317"/>
      </w:pPr>
      <w:r>
        <w:t>l. Pragokoncert se zavazuje zprostředkovat pro pořadatele vystoupení pana Michala Nesvadby dle této specifikace. AUTOGRAMIÁDA NENÍ SOUČÁSTÍ TÉTO SML.</w:t>
      </w:r>
    </w:p>
    <w:p w:rsidR="002B22D0" w:rsidRDefault="00CA7F0F">
      <w:pPr>
        <w:numPr>
          <w:ilvl w:val="0"/>
          <w:numId w:val="1"/>
        </w:numPr>
        <w:ind w:left="548" w:hanging="346"/>
      </w:pPr>
      <w:r>
        <w:t>Dne 13. května 2018 (neděle</w:t>
      </w:r>
      <w:proofErr w:type="gramStart"/>
      <w:r>
        <w:t>) ,</w:t>
      </w:r>
      <w:proofErr w:type="gramEnd"/>
      <w:r>
        <w:t xml:space="preserve"> parkování blízko prostor pro: </w:t>
      </w:r>
      <w:r>
        <w:t>Toyota</w:t>
      </w:r>
    </w:p>
    <w:p w:rsidR="002B22D0" w:rsidRDefault="00CA7F0F">
      <w:pPr>
        <w:numPr>
          <w:ilvl w:val="0"/>
          <w:numId w:val="1"/>
        </w:numPr>
        <w:ind w:left="548" w:hanging="346"/>
      </w:pPr>
      <w:r>
        <w:t xml:space="preserve">začátek vystoupení: </w:t>
      </w:r>
      <w:r>
        <w:rPr>
          <w:u w:val="single" w:color="000000"/>
        </w:rPr>
        <w:t>14:00</w:t>
      </w:r>
      <w:r>
        <w:t>hod.</w:t>
      </w:r>
      <w:r>
        <w:t xml:space="preserve"> </w:t>
      </w:r>
      <w:proofErr w:type="gramStart"/>
      <w:r>
        <w:t>( příjezd</w:t>
      </w:r>
      <w:proofErr w:type="gramEnd"/>
      <w:r>
        <w:t xml:space="preserve"> na místo: 13:00hod.) v sále/místě: Smetanův dům, Komenského náměstí 402, Litomyšl (adr.pro navigaci!) kontaktní osoba na </w:t>
      </w:r>
      <w:proofErr w:type="spellStart"/>
      <w:r>
        <w:t>místě+mob</w:t>
      </w:r>
      <w:proofErr w:type="spellEnd"/>
      <w:r>
        <w:t xml:space="preserve">.: *Leoš Krejčí </w:t>
      </w:r>
    </w:p>
    <w:p w:rsidR="002B22D0" w:rsidRDefault="00CA7F0F">
      <w:pPr>
        <w:spacing w:after="60" w:line="259" w:lineRule="auto"/>
        <w:ind w:left="5729" w:firstLine="0"/>
        <w:jc w:val="left"/>
      </w:pPr>
      <w:r>
        <w:rPr>
          <w:noProof/>
        </w:rPr>
        <w:drawing>
          <wp:inline distT="0" distB="0" distL="0" distR="0">
            <wp:extent cx="1515471" cy="36576"/>
            <wp:effectExtent l="0" t="0" r="0" b="0"/>
            <wp:docPr id="11320" name="Picture 11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0" name="Picture 113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5471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2D0" w:rsidRDefault="00CA7F0F">
      <w:pPr>
        <w:numPr>
          <w:ilvl w:val="0"/>
          <w:numId w:val="1"/>
        </w:numPr>
        <w:spacing w:after="214"/>
        <w:ind w:left="548" w:hanging="346"/>
      </w:pPr>
      <w:r>
        <w:t>program</w:t>
      </w:r>
      <w:r>
        <w:t xml:space="preserve"> s názvem „Michal k snídani” o délce 60 </w:t>
      </w:r>
      <w:r>
        <w:t>minut. Vystoupení se uskuteční v rámci a</w:t>
      </w:r>
      <w:r>
        <w:t>kce „Program</w:t>
      </w:r>
      <w:r>
        <w:t xml:space="preserve"> pro děti na vstupenky”.</w:t>
      </w:r>
    </w:p>
    <w:p w:rsidR="002B22D0" w:rsidRDefault="00CA7F0F">
      <w:pPr>
        <w:numPr>
          <w:ilvl w:val="0"/>
          <w:numId w:val="2"/>
        </w:numPr>
        <w:ind w:hanging="351"/>
      </w:pPr>
      <w:r>
        <w:t>Umělecký výkon, jenž je předmětem této smlouvy, bude proveden za následujících finančních podmínek:</w:t>
      </w:r>
    </w:p>
    <w:p w:rsidR="002B22D0" w:rsidRDefault="00CA7F0F">
      <w:pPr>
        <w:spacing w:after="105"/>
        <w:ind w:left="100" w:right="3909" w:firstLine="682"/>
      </w:pPr>
      <w:r>
        <w:rPr>
          <w:noProof/>
        </w:rPr>
        <w:drawing>
          <wp:inline distT="0" distB="0" distL="0" distR="0">
            <wp:extent cx="27443" cy="9144"/>
            <wp:effectExtent l="0" t="0" r="0" b="0"/>
            <wp:docPr id="2294" name="Picture 2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4" name="Picture 22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4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Vstupné 1 </w:t>
      </w:r>
      <w:r>
        <w:t xml:space="preserve">x 45.000,- + 15 </w:t>
      </w:r>
      <w:r>
        <w:rPr>
          <w:vertAlign w:val="superscript"/>
        </w:rPr>
        <w:t>%</w:t>
      </w:r>
      <w:r>
        <w:t xml:space="preserve"> </w:t>
      </w:r>
      <w:r>
        <w:t>DPH Vstupné:</w:t>
      </w:r>
    </w:p>
    <w:p w:rsidR="002B22D0" w:rsidRDefault="00CA7F0F">
      <w:pPr>
        <w:spacing w:after="184"/>
        <w:ind w:left="840" w:hanging="336"/>
      </w:pPr>
      <w:r>
        <w:rPr>
          <w:noProof/>
        </w:rPr>
        <w:drawing>
          <wp:inline distT="0" distB="0" distL="0" distR="0">
            <wp:extent cx="27443" cy="12192"/>
            <wp:effectExtent l="0" t="0" r="0" b="0"/>
            <wp:docPr id="2295" name="Picture 2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5" name="Picture 229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4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je pořadatel povinen uhradit nejpozději do 10. května 2018, a to na účet Pr</w:t>
      </w:r>
      <w:r>
        <w:t xml:space="preserve">agokoncertu na základě vystavené faktury </w:t>
      </w:r>
      <w:proofErr w:type="gramStart"/>
      <w:r>
        <w:t>( zálohové</w:t>
      </w:r>
      <w:proofErr w:type="gramEnd"/>
      <w:r>
        <w:t xml:space="preserve"> — proforma ).</w:t>
      </w:r>
    </w:p>
    <w:p w:rsidR="002B22D0" w:rsidRDefault="00CA7F0F">
      <w:pPr>
        <w:numPr>
          <w:ilvl w:val="0"/>
          <w:numId w:val="2"/>
        </w:numPr>
        <w:ind w:hanging="351"/>
      </w:pPr>
      <w:r>
        <w:t>Pořadatel je povinen vrátit Pragokoncertu podepsanou sml.do 5prac. dní od jejího doručení.</w:t>
      </w:r>
    </w:p>
    <w:p w:rsidR="002B22D0" w:rsidRDefault="00CA7F0F">
      <w:pPr>
        <w:numPr>
          <w:ilvl w:val="0"/>
          <w:numId w:val="2"/>
        </w:numPr>
        <w:ind w:hanging="351"/>
      </w:pPr>
      <w:r>
        <w:t xml:space="preserve">Pořadatel je povinen zajistit: </w:t>
      </w:r>
      <w:r>
        <w:rPr>
          <w:noProof/>
        </w:rPr>
        <w:drawing>
          <wp:inline distT="0" distB="0" distL="0" distR="0">
            <wp:extent cx="27443" cy="15240"/>
            <wp:effectExtent l="0" t="0" r="0" b="0"/>
            <wp:docPr id="2296" name="Picture 2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6" name="Picture 229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43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řádnou propagaci akce </w:t>
      </w:r>
      <w:r>
        <w:rPr>
          <w:noProof/>
        </w:rPr>
        <w:drawing>
          <wp:inline distT="0" distB="0" distL="0" distR="0">
            <wp:extent cx="24394" cy="12192"/>
            <wp:effectExtent l="0" t="0" r="0" b="0"/>
            <wp:docPr id="2297" name="Picture 2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7" name="Picture 229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9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aby představení bylo řádně připraveno po s</w:t>
      </w:r>
      <w:r>
        <w:t xml:space="preserve">tránce společenské, bezpečnostní, hygienické a </w:t>
      </w:r>
      <w:proofErr w:type="gramStart"/>
      <w:r>
        <w:t>technické</w:t>
      </w:r>
      <w:proofErr w:type="gramEnd"/>
      <w:r>
        <w:t xml:space="preserve"> a to na svůj náklad, není-li ve smlouvě uvedeno jinak.</w:t>
      </w:r>
    </w:p>
    <w:p w:rsidR="002B22D0" w:rsidRDefault="00CA7F0F">
      <w:pPr>
        <w:ind w:left="100"/>
      </w:pPr>
      <w:r>
        <w:t>Technické podmínky vystoupení:</w:t>
      </w:r>
    </w:p>
    <w:p w:rsidR="002B22D0" w:rsidRDefault="00CA7F0F">
      <w:pPr>
        <w:numPr>
          <w:ilvl w:val="0"/>
          <w:numId w:val="3"/>
        </w:numPr>
        <w:ind w:hanging="336"/>
      </w:pPr>
      <w:r>
        <w:t xml:space="preserve">pronájem sálu- prostor, teplota sálu i šatny min. 18 </w:t>
      </w:r>
      <w:r>
        <w:rPr>
          <w:vertAlign w:val="superscript"/>
        </w:rPr>
        <w:t>0</w:t>
      </w:r>
      <w:proofErr w:type="gramStart"/>
      <w:r>
        <w:t>C ,</w:t>
      </w:r>
      <w:proofErr w:type="gramEnd"/>
    </w:p>
    <w:p w:rsidR="002B22D0" w:rsidRDefault="00CA7F0F">
      <w:pPr>
        <w:numPr>
          <w:ilvl w:val="0"/>
          <w:numId w:val="3"/>
        </w:numPr>
        <w:ind w:hanging="336"/>
      </w:pPr>
      <w:r>
        <w:t>jevištní technik pomoc při nošení u vykládání a nakládá</w:t>
      </w:r>
      <w:r>
        <w:t xml:space="preserve">ní scény z/do </w:t>
      </w:r>
      <w:proofErr w:type="gramStart"/>
      <w:r>
        <w:t>auta - uklizené</w:t>
      </w:r>
      <w:proofErr w:type="gramEnd"/>
      <w:r>
        <w:t xml:space="preserve"> pódium/ nebo praktikábl min. 3x3m, min. 50cm výška, </w:t>
      </w:r>
      <w:r>
        <w:t xml:space="preserve">/ nejlépe černý horizont </w:t>
      </w:r>
      <w:r>
        <w:t xml:space="preserve">není </w:t>
      </w:r>
      <w:proofErr w:type="spellStart"/>
      <w:r>
        <w:t>podm</w:t>
      </w:r>
      <w:proofErr w:type="spellEnd"/>
      <w:r>
        <w:t>.</w:t>
      </w:r>
    </w:p>
    <w:p w:rsidR="002B22D0" w:rsidRDefault="00CA7F0F">
      <w:pPr>
        <w:numPr>
          <w:ilvl w:val="0"/>
          <w:numId w:val="3"/>
        </w:numPr>
        <w:spacing w:after="44"/>
        <w:ind w:hanging="336"/>
      </w:pPr>
      <w:r>
        <w:t xml:space="preserve">1x šatna pro umělce se zrcadlem, stolem a 2x židle, </w:t>
      </w:r>
      <w:proofErr w:type="gramStart"/>
      <w:r>
        <w:t xml:space="preserve">prosíme - </w:t>
      </w:r>
      <w:r>
        <w:t>klíč</w:t>
      </w:r>
      <w:proofErr w:type="gramEnd"/>
      <w:r>
        <w:t xml:space="preserve"> pro uzamknutí osobních věcí v době hraní, je variabilní—nutné </w:t>
      </w:r>
      <w:proofErr w:type="spellStart"/>
      <w:r>
        <w:t>info</w:t>
      </w:r>
      <w:proofErr w:type="spellEnd"/>
      <w:r>
        <w:t xml:space="preserve"> dopředu,</w:t>
      </w:r>
      <w:r>
        <w:t xml:space="preserve"> ne</w:t>
      </w:r>
      <w:r>
        <w:t xml:space="preserve"> v den akce, pokud není takto možné </w:t>
      </w:r>
    </w:p>
    <w:p w:rsidR="002B22D0" w:rsidRDefault="00CA7F0F">
      <w:pPr>
        <w:numPr>
          <w:ilvl w:val="0"/>
          <w:numId w:val="3"/>
        </w:numPr>
        <w:spacing w:after="37"/>
        <w:ind w:hanging="336"/>
      </w:pPr>
      <w:r>
        <w:lastRenderedPageBreak/>
        <w:t>na pódiu I x předem vyzkoušený mikrofon s dlouhou šňůrou nebo bezdrátový + S</w:t>
      </w:r>
      <w:r>
        <w:t>TOJAN</w:t>
      </w:r>
      <w:proofErr w:type="gramStart"/>
      <w:r>
        <w:t>! !</w:t>
      </w:r>
      <w:proofErr w:type="gramEnd"/>
      <w:r>
        <w:t xml:space="preserve"> !</w:t>
      </w:r>
    </w:p>
    <w:p w:rsidR="002B22D0" w:rsidRDefault="00CA7F0F">
      <w:pPr>
        <w:numPr>
          <w:ilvl w:val="0"/>
          <w:numId w:val="3"/>
        </w:numPr>
        <w:ind w:hanging="336"/>
      </w:pPr>
      <w:r>
        <w:t xml:space="preserve">funkční CD přehrávač + mix pult + reprobedny na stojanech + zvukař, který bude program zvučit dle instrukcí účinkujícího — umístění pultu před! bednami max.do 10 </w:t>
      </w:r>
      <w:r>
        <w:t>ti metrů od jeviště</w:t>
      </w:r>
      <w:proofErr w:type="gramStart"/>
      <w:r>
        <w:t>! !</w:t>
      </w:r>
      <w:proofErr w:type="gramEnd"/>
      <w:r>
        <w:t xml:space="preserve"> Stropní - zabudované reproduktory — nelze využít, musí být z</w:t>
      </w:r>
      <w:r>
        <w:t xml:space="preserve"> prostoru jeviště! - osvětlení — divadelní zpředu na střed jeviště min. v síle 2x 1000</w:t>
      </w:r>
      <w:proofErr w:type="gramStart"/>
      <w:r>
        <w:t>w ,</w:t>
      </w:r>
      <w:proofErr w:type="gramEnd"/>
      <w:r>
        <w:t xml:space="preserve"> v příp. dostatečného denního světla není nutné.</w:t>
      </w:r>
    </w:p>
    <w:p w:rsidR="002B22D0" w:rsidRDefault="00CA7F0F">
      <w:pPr>
        <w:numPr>
          <w:ilvl w:val="0"/>
          <w:numId w:val="3"/>
        </w:numPr>
        <w:spacing w:after="13" w:line="244" w:lineRule="auto"/>
        <w:ind w:hanging="336"/>
      </w:pPr>
      <w:r>
        <w:rPr>
          <w:sz w:val="22"/>
        </w:rPr>
        <w:t xml:space="preserve">zvuková aparatura a zvukař musí být na místě akce l </w:t>
      </w:r>
      <w:r>
        <w:rPr>
          <w:sz w:val="22"/>
        </w:rPr>
        <w:t xml:space="preserve">hod. </w:t>
      </w:r>
      <w:r>
        <w:rPr>
          <w:sz w:val="22"/>
        </w:rPr>
        <w:t>před začátkem vystoupení, zodpovídá za 100% funkčnost aparatury</w:t>
      </w:r>
      <w:r>
        <w:rPr>
          <w:sz w:val="22"/>
        </w:rPr>
        <w:t xml:space="preserve"> i mikrofonu po celou dobu vystoupení </w:t>
      </w:r>
      <w:r>
        <w:rPr>
          <w:noProof/>
        </w:rPr>
        <w:drawing>
          <wp:inline distT="0" distB="0" distL="0" distR="0">
            <wp:extent cx="36591" cy="18288"/>
            <wp:effectExtent l="0" t="0" r="0" b="0"/>
            <wp:docPr id="5638" name="Picture 5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8" name="Picture 56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91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umístění propagační tabule která je součástí scény, v případě zajištění vlastního sponzora pořadatelem, podléhá toto písemnému schválení Pragokoncertem</w:t>
      </w:r>
    </w:p>
    <w:p w:rsidR="002B22D0" w:rsidRDefault="00CA7F0F">
      <w:pPr>
        <w:numPr>
          <w:ilvl w:val="0"/>
          <w:numId w:val="3"/>
        </w:numPr>
        <w:spacing w:after="171"/>
        <w:ind w:hanging="336"/>
      </w:pPr>
      <w:proofErr w:type="spellStart"/>
      <w:r>
        <w:t>Vpříp</w:t>
      </w:r>
      <w:proofErr w:type="spellEnd"/>
      <w:r>
        <w:t>. nedodržení technických požadavků, je umělec oprávněn po u</w:t>
      </w:r>
      <w:r>
        <w:t>vedení konkrétních nedostatků, představení odmítnout bez nároku na vrácení vy</w:t>
      </w:r>
      <w:r>
        <w:t>placeného honoráře, uvádíme po zkušenostech, kdy na místě chybí — kvalitní zvuk či místo nebylo připraveno pro umělecký výkon, viz. Bod č.4!</w:t>
      </w:r>
    </w:p>
    <w:p w:rsidR="002B22D0" w:rsidRDefault="00CA7F0F">
      <w:pPr>
        <w:numPr>
          <w:ilvl w:val="0"/>
          <w:numId w:val="3"/>
        </w:numPr>
        <w:spacing w:after="150"/>
        <w:ind w:hanging="336"/>
      </w:pPr>
      <w:r>
        <w:t>pořadatel je dále povinen zajistit na s</w:t>
      </w:r>
      <w:r>
        <w:t xml:space="preserve">vé náklady pořadatelskou službu a to tak, aby umělec mohl bez problémů realizovat představení. Pořadatelská služba je povinna zajistit, aby na jeviště vstupovaly pouze děti vyzvané umělcem!!! Pořadatelská služba je povinna zabránit nekontrolovanému vstupu </w:t>
      </w:r>
      <w:r>
        <w:t>diváků na jeviště</w:t>
      </w:r>
      <w:proofErr w:type="gramStart"/>
      <w:r>
        <w:t>! !!</w:t>
      </w:r>
      <w:proofErr w:type="gramEnd"/>
      <w:r>
        <w:t xml:space="preserve"> Po skončení představení zůstává s umělcem v nejbližším kontaktu pro příp. </w:t>
      </w:r>
      <w:r>
        <w:t>pomoc s organizací při focení či podpisech!</w:t>
      </w:r>
    </w:p>
    <w:p w:rsidR="002B22D0" w:rsidRDefault="00CA7F0F">
      <w:pPr>
        <w:spacing w:after="196" w:line="244" w:lineRule="auto"/>
        <w:ind w:left="28" w:right="182" w:firstLine="0"/>
      </w:pPr>
      <w:r>
        <w:rPr>
          <w:sz w:val="22"/>
        </w:rPr>
        <w:t>V případě, že pořadatel nezajistí dostatečně pořadatelskou službu a přítomnost diváků na jevišti znemožní umělci prov</w:t>
      </w:r>
      <w:r>
        <w:rPr>
          <w:sz w:val="22"/>
        </w:rPr>
        <w:t xml:space="preserve">ést umělecký výkon, má umělec právo ukončit představení a opustit jeviště </w:t>
      </w:r>
      <w:proofErr w:type="gramStart"/>
      <w:r>
        <w:rPr>
          <w:sz w:val="22"/>
        </w:rPr>
        <w:t>dříve</w:t>
      </w:r>
      <w:proofErr w:type="gramEnd"/>
      <w:r>
        <w:rPr>
          <w:sz w:val="22"/>
        </w:rPr>
        <w:t xml:space="preserve"> než je stanovená smluvní doba. Pořadateli v tomto případě nevzniká nárok na případnou náhradu škody nebo na částečné vrácení honoráře.</w:t>
      </w:r>
    </w:p>
    <w:p w:rsidR="002B22D0" w:rsidRDefault="00CA7F0F">
      <w:pPr>
        <w:numPr>
          <w:ilvl w:val="0"/>
          <w:numId w:val="4"/>
        </w:numPr>
        <w:spacing w:after="196" w:line="244" w:lineRule="auto"/>
        <w:ind w:right="194" w:hanging="336"/>
      </w:pPr>
      <w:r>
        <w:rPr>
          <w:sz w:val="22"/>
        </w:rPr>
        <w:t>Pořadatel zajistí, že nebudou pořizovány obrazové a zvukové záznamy (natáčení představení) uměleckých výkonů nebo prováděny přenosy s výjimkou případů povolených zákonem, či písemným souhlasem od Pragokoncertu. Fotografování je povoleno.</w:t>
      </w:r>
    </w:p>
    <w:p w:rsidR="002B22D0" w:rsidRDefault="00CA7F0F">
      <w:pPr>
        <w:numPr>
          <w:ilvl w:val="0"/>
          <w:numId w:val="4"/>
        </w:numPr>
        <w:spacing w:after="208"/>
        <w:ind w:right="194" w:hanging="336"/>
      </w:pPr>
      <w:r>
        <w:t>Smluvní strany jso</w:t>
      </w:r>
      <w:r>
        <w:t>u oprávněny odstoupit od smlouvy z důvodů zakládajících objektivní nemožnost plnění, v těchto případech nevzniká žádné smluvní straně nárok na náhradu škody. Důvody odstoupení musí však být sděleny druhé straně neprodleně, jakmile se o důvodu dozví, a to p</w:t>
      </w:r>
      <w:r>
        <w:t>od sankcí ztráty práva na odstoupení od smlouvy bez náhrady. Nedostatečný počet prodaných vstupenek není důvodem ke zrušení smlouvy.</w:t>
      </w:r>
    </w:p>
    <w:p w:rsidR="002B22D0" w:rsidRDefault="00CA7F0F">
      <w:pPr>
        <w:numPr>
          <w:ilvl w:val="0"/>
          <w:numId w:val="4"/>
        </w:numPr>
        <w:spacing w:after="192"/>
        <w:ind w:right="194" w:hanging="336"/>
      </w:pPr>
      <w:r>
        <w:t>Neuskuteční-li se smluvené vystoupení zaviněním umělce či souboru, zajistí Pragokoncert úhradu škody pořadateli ve výši cen</w:t>
      </w:r>
      <w:r>
        <w:t>y hrazené Pragokoncertu na základě daňového dokladu, odpadne-li vystoupení zaviněním pořadatele, uhradí tento škodu Pragokoncertu, a to ve výši ceny sjednané v této smlouvě. Škoda nevzniká v případě, že je zrušení představení způsobeno vyšší mocí. V případ</w:t>
      </w:r>
      <w:r>
        <w:t>ě nemoci umělce je stanoven nový náhradní termín, který podléhá souhlasu obou st</w:t>
      </w:r>
      <w:r>
        <w:t>ran.</w:t>
      </w:r>
    </w:p>
    <w:p w:rsidR="002B22D0" w:rsidRDefault="00CA7F0F">
      <w:pPr>
        <w:numPr>
          <w:ilvl w:val="0"/>
          <w:numId w:val="4"/>
        </w:numPr>
        <w:spacing w:after="196" w:line="244" w:lineRule="auto"/>
        <w:ind w:right="194" w:hanging="336"/>
      </w:pPr>
      <w:r>
        <w:rPr>
          <w:sz w:val="22"/>
        </w:rPr>
        <w:t>V případě nepříznivého počasí, pokud bylo vystoupení plánováno do přírodního či open air prostředí, je pořadatel povinen zajistit náhradní kryté prostory viz. bod. č. 4!</w:t>
      </w:r>
    </w:p>
    <w:p w:rsidR="002B22D0" w:rsidRDefault="00CA7F0F">
      <w:pPr>
        <w:spacing w:after="168"/>
        <w:ind w:left="327" w:right="250" w:hanging="327"/>
      </w:pPr>
      <w:r>
        <w:t>9</w:t>
      </w:r>
      <w:r>
        <w:t>, Uzavření této smlouvy nezbavuje pořadatele povinnosti žádat o povolení veřejné produkce a uhradit provozovací honoráře ve smyslu příslušných platných právních předpisů, případně uhradit i další poplatky spojené s realizací sjednaného vystoupení.</w:t>
      </w:r>
    </w:p>
    <w:p w:rsidR="002B22D0" w:rsidRDefault="00CA7F0F">
      <w:pPr>
        <w:spacing w:after="258"/>
        <w:ind w:left="322" w:hanging="317"/>
      </w:pPr>
      <w:r>
        <w:t>10 Spory o nárocích vyplývajících z této smlouvy nebo v souvislosti s jejím plněním rozhodují soudy.</w:t>
      </w:r>
    </w:p>
    <w:p w:rsidR="002B22D0" w:rsidRDefault="00CA7F0F">
      <w:pPr>
        <w:ind w:left="317" w:right="269" w:hanging="322"/>
      </w:pPr>
      <w:r>
        <w:rPr>
          <w:noProof/>
        </w:rPr>
        <w:lastRenderedPageBreak/>
        <w:drawing>
          <wp:inline distT="0" distB="0" distL="0" distR="0">
            <wp:extent cx="121969" cy="73153"/>
            <wp:effectExtent l="0" t="0" r="0" b="0"/>
            <wp:docPr id="11325" name="Picture 11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5" name="Picture 1132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69" cy="73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Změny a doplňky k této smlouvě musí být provedeny písemně a potvrzeny smluvními stranami. Smlouva se vystavuje ve dvou originálech a každá ze smluvních st</w:t>
      </w:r>
      <w:r>
        <w:t xml:space="preserve">ran obdrží po jednom </w:t>
      </w:r>
      <w:proofErr w:type="spellStart"/>
      <w:r>
        <w:t>paré</w:t>
      </w:r>
      <w:proofErr w:type="spellEnd"/>
      <w:r>
        <w:t>. Smlouva nabývá platnosti dnem podpisu.</w:t>
      </w:r>
    </w:p>
    <w:p w:rsidR="002B22D0" w:rsidRDefault="002B22D0">
      <w:pPr>
        <w:spacing w:after="0" w:line="259" w:lineRule="auto"/>
        <w:ind w:left="-34" w:firstLine="0"/>
        <w:jc w:val="left"/>
        <w:rPr>
          <w:noProof/>
        </w:rPr>
      </w:pPr>
    </w:p>
    <w:p w:rsidR="00CA7F0F" w:rsidRDefault="00CA7F0F">
      <w:pPr>
        <w:spacing w:after="0" w:line="259" w:lineRule="auto"/>
        <w:ind w:left="-34" w:firstLine="0"/>
        <w:jc w:val="left"/>
      </w:pPr>
      <w:r>
        <w:t>V Praze 3.5.2018</w:t>
      </w:r>
    </w:p>
    <w:p w:rsidR="00CA7F0F" w:rsidRDefault="00CA7F0F">
      <w:pPr>
        <w:spacing w:after="0" w:line="259" w:lineRule="auto"/>
        <w:ind w:left="-34" w:firstLine="0"/>
        <w:jc w:val="left"/>
      </w:pPr>
    </w:p>
    <w:p w:rsidR="00CA7F0F" w:rsidRDefault="00CA7F0F">
      <w:pPr>
        <w:spacing w:after="0" w:line="259" w:lineRule="auto"/>
        <w:ind w:left="-34" w:firstLine="0"/>
        <w:jc w:val="left"/>
      </w:pPr>
    </w:p>
    <w:p w:rsidR="00CA7F0F" w:rsidRDefault="00CA7F0F">
      <w:pPr>
        <w:spacing w:after="0" w:line="259" w:lineRule="auto"/>
        <w:ind w:left="-34" w:firstLine="0"/>
        <w:jc w:val="left"/>
      </w:pPr>
      <w:r>
        <w:t>Za Pragokoncert Bohemia a.s.</w:t>
      </w:r>
      <w:r>
        <w:tab/>
      </w:r>
      <w:r>
        <w:tab/>
      </w:r>
      <w:r>
        <w:tab/>
      </w:r>
      <w:r>
        <w:tab/>
      </w:r>
      <w:r>
        <w:tab/>
        <w:t>Za pořadatele</w:t>
      </w:r>
    </w:p>
    <w:sectPr w:rsidR="00CA7F0F">
      <w:pgSz w:w="11827" w:h="16589"/>
      <w:pgMar w:top="1299" w:right="1575" w:bottom="595" w:left="13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148B5"/>
    <w:multiLevelType w:val="hybridMultilevel"/>
    <w:tmpl w:val="25E8BD84"/>
    <w:lvl w:ilvl="0" w:tplc="08A27A5A">
      <w:start w:val="1"/>
      <w:numFmt w:val="lowerLetter"/>
      <w:lvlText w:val="%1)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A70C016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DF88108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BD639E6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EFA03B4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34A5264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75E3EDC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ECA487A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0AE514E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151BB8"/>
    <w:multiLevelType w:val="hybridMultilevel"/>
    <w:tmpl w:val="3B34BDF4"/>
    <w:lvl w:ilvl="0" w:tplc="C4244C60">
      <w:start w:val="2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478C67A">
      <w:start w:val="1"/>
      <w:numFmt w:val="lowerLetter"/>
      <w:lvlText w:val="%2"/>
      <w:lvlJc w:val="left"/>
      <w:pPr>
        <w:ind w:left="1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27207CA">
      <w:start w:val="1"/>
      <w:numFmt w:val="lowerRoman"/>
      <w:lvlText w:val="%3"/>
      <w:lvlJc w:val="left"/>
      <w:pPr>
        <w:ind w:left="1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E54A5C0">
      <w:start w:val="1"/>
      <w:numFmt w:val="decimal"/>
      <w:lvlText w:val="%4"/>
      <w:lvlJc w:val="left"/>
      <w:pPr>
        <w:ind w:left="2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C76E3A0">
      <w:start w:val="1"/>
      <w:numFmt w:val="lowerLetter"/>
      <w:lvlText w:val="%5"/>
      <w:lvlJc w:val="left"/>
      <w:pPr>
        <w:ind w:left="3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39CB200">
      <w:start w:val="1"/>
      <w:numFmt w:val="lowerRoman"/>
      <w:lvlText w:val="%6"/>
      <w:lvlJc w:val="left"/>
      <w:pPr>
        <w:ind w:left="4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C90A9E8">
      <w:start w:val="1"/>
      <w:numFmt w:val="decimal"/>
      <w:lvlText w:val="%7"/>
      <w:lvlJc w:val="left"/>
      <w:pPr>
        <w:ind w:left="4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D8E2028">
      <w:start w:val="1"/>
      <w:numFmt w:val="lowerLetter"/>
      <w:lvlText w:val="%8"/>
      <w:lvlJc w:val="left"/>
      <w:pPr>
        <w:ind w:left="5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0329ADE">
      <w:start w:val="1"/>
      <w:numFmt w:val="lowerRoman"/>
      <w:lvlText w:val="%9"/>
      <w:lvlJc w:val="left"/>
      <w:pPr>
        <w:ind w:left="6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631229"/>
    <w:multiLevelType w:val="hybridMultilevel"/>
    <w:tmpl w:val="C7689D80"/>
    <w:lvl w:ilvl="0" w:tplc="E064116A">
      <w:start w:val="5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242E654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E7B822EC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FA82E82C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518AB00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3C27108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1EC1D36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12C5D02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CDAFB00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0543D7"/>
    <w:multiLevelType w:val="hybridMultilevel"/>
    <w:tmpl w:val="C30C5D38"/>
    <w:lvl w:ilvl="0" w:tplc="94A2B1BE">
      <w:start w:val="1"/>
      <w:numFmt w:val="bullet"/>
      <w:lvlText w:val="-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E008E4">
      <w:start w:val="1"/>
      <w:numFmt w:val="bullet"/>
      <w:lvlText w:val="o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3E7576">
      <w:start w:val="1"/>
      <w:numFmt w:val="bullet"/>
      <w:lvlText w:val="▪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7E64E0">
      <w:start w:val="1"/>
      <w:numFmt w:val="bullet"/>
      <w:lvlText w:val="•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CED0D2">
      <w:start w:val="1"/>
      <w:numFmt w:val="bullet"/>
      <w:lvlText w:val="o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D9CE662">
      <w:start w:val="1"/>
      <w:numFmt w:val="bullet"/>
      <w:lvlText w:val="▪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0AE34C">
      <w:start w:val="1"/>
      <w:numFmt w:val="bullet"/>
      <w:lvlText w:val="•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2A2485E">
      <w:start w:val="1"/>
      <w:numFmt w:val="bullet"/>
      <w:lvlText w:val="o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FE9B70">
      <w:start w:val="1"/>
      <w:numFmt w:val="bullet"/>
      <w:lvlText w:val="▪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D0"/>
    <w:rsid w:val="002B22D0"/>
    <w:rsid w:val="00CA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0EEB9"/>
  <w15:docId w15:val="{E3CAB18A-C096-498A-AEA0-7298662E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4" w:line="249" w:lineRule="auto"/>
      <w:ind w:left="298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Souček</dc:creator>
  <cp:keywords/>
  <cp:lastModifiedBy>Souček</cp:lastModifiedBy>
  <cp:revision>2</cp:revision>
  <dcterms:created xsi:type="dcterms:W3CDTF">2018-05-11T12:13:00Z</dcterms:created>
  <dcterms:modified xsi:type="dcterms:W3CDTF">2018-05-11T12:13:00Z</dcterms:modified>
</cp:coreProperties>
</file>